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4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69"/>
        <w:gridCol w:w="1533"/>
        <w:gridCol w:w="1653"/>
        <w:gridCol w:w="16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9348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Table 3: Subgroup analysis of prevalence of sarcopenia based on various factors.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4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Outcomes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Number of trials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OR/RR (95% CI)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Heterogeneity,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 (%)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Pooled results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1.82(1.27-2.61)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Subgroup analyses based age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Mean age≥70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0.19(0.14-0.25)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Mean age˂70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0.18(0.14-0.23)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  (0.07-0.10)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Subgroup analyses based on article type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Cross-sectional study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 (0.13-0.23)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Longitudinal study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 (0.07-0.26)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Cohort study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 (0.13-0.30)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Case-control study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 (0.07-0.24)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Subgroup analyses based on number of sample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N≥300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 (0.15-0.24)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N˂300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 (0.13-0.23)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93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Subgroup analyses based on quality of included studies (NOS)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 (0.16-0.31)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˂</w:t>
            </w:r>
            <w:r>
              <w:rPr>
                <w:rStyle w:val="7"/>
                <w:lang w:val="en-US" w:eastAsia="zh-CN" w:bidi="ar"/>
              </w:rPr>
              <w:t>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 (0.12-0.17)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Subgroup analyses based on diagnostic criterion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LMM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 (0.11-0.28)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LMM + LMS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 (0.15-0.24)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LSMI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 (0.11-0.24)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93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Subgroup analyses based on definition of sarcopenia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AWGS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 (0.13-0.18)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EWGSOP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 (0.14-0.44)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FISH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 (0.10-0.18)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KNHANES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 (0.28-0.31)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Subgroup analyses based on diagnostic modality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 (0.12-0.22)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DEXA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 (0.13-0.22)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 (0.41-0.53)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inextensible tape measure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 (0.19-0.29)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Subgroup analyses based on rergion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Japan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 (0.12-0.19)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Brazil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 (0.06-0.38)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 (0.07-0.26)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Korea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 (0.10-0.30)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446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Others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 (0.19-0.31)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9348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OR= odds ratio; RR= relative ratio; CI= confidence interval; Hb= hemoglobin; NOS= Newcastle-Ottawa Scale; NR= not report.DEXA: Dual-energy X ray absorptiometry; BIA: bioelectrical impedance analysis</w:t>
            </w:r>
            <w:r>
              <w:rPr>
                <w:rStyle w:val="7"/>
                <w:lang w:val="en-US" w:eastAsia="zh-CN" w:bidi="ar"/>
              </w:rPr>
              <w:t>；</w:t>
            </w:r>
            <w:r>
              <w:rPr>
                <w:rStyle w:val="8"/>
                <w:rFonts w:eastAsia="宋体"/>
                <w:lang w:val="en-US" w:eastAsia="zh-CN" w:bidi="ar"/>
              </w:rPr>
              <w:t>CT: computed tomography; LMM: low muscle mass; LMS: low muscle strength; LSMI: low skeletal muscle mass index; AWGS:  the Asian Working Group for Sarcopenia; FISH: the Foundation for the National Institutes of Health; EWGSOP: the European Working Group on Sarcopenia in Older People; KNHANES: The Korea National Health and Nutrition Examination Study.</w:t>
            </w:r>
          </w:p>
        </w:tc>
      </w:tr>
    </w:tbl>
    <w:p/>
    <w:sectPr>
      <w:pgSz w:w="12928" w:h="18314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65A75"/>
    <w:rsid w:val="121945E4"/>
    <w:rsid w:val="2AD5347C"/>
    <w:rsid w:val="3CE26C8E"/>
    <w:rsid w:val="424B4BF0"/>
    <w:rsid w:val="5F1B1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5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4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2021-03-20T09:40:00Z</dcterms:created>
  <dc:creator>Apoptosis</dc:creator>
  <cp:lastModifiedBy>Apoptosis</cp:lastModifiedBy>
  <dcterms:modified xsi:type="dcterms:W3CDTF">2021-03-20T12:38:52Z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