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2"/>
        <w:gridCol w:w="2060"/>
        <w:gridCol w:w="2807"/>
        <w:gridCol w:w="8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32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Table 3: Meta-analysis of Risk factors for sarcopenia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Number of trials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Pooled OR (95% 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I2 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6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Old age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1.16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1.06-1.27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85.6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Sex (male)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1.25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0.79-1.97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83.3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0.65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0.51-0.82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95.4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HbA1c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1.69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1.01-2.83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44.8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Osteoporosis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4.79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1.58-14.52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16.3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Diabetic neuropathy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0.61-3.86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0.97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0.93-1.00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Duration of 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1.31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0.75-2.27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Concurrent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0.90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0.13-6.06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79.7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exercise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0.29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0.07-1.19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86.5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Metformin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0.37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0.21-0.63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Dietary protein intake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0.24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0.03-2.23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76.0 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3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OR= odds rate; CI= confident interval; BMI= Body Mass Index; HbA1c=  glycated hemoglobin; eGFR= estimated glomerular filtration rate.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FF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2021-03-20T14:03:03Z</dcterms:created>
  <dc:creator>Apoptosis</dc:creator>
  <cp:lastModifiedBy>Apoptosis</cp:lastModifiedBy>
  <dcterms:modified xsi:type="dcterms:W3CDTF">2021-03-20T14:08:23Z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