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Supplementary</w:t>
      </w:r>
    </w:p>
    <w:p>
      <w:pPr>
        <w:rPr>
          <w:rFonts w:ascii="Times New Roman" w:hAnsi="Times New Roman" w:cs="Times New Roman"/>
          <w:color w:val="000000" w:themeColor="text1"/>
          <w:sz w:val="18"/>
          <w:szCs w:val="18"/>
          <w14:textFill>
            <w14:solidFill>
              <w14:schemeClr w14:val="tx1"/>
            </w14:solidFill>
          </w14:textFill>
        </w:rPr>
      </w:pPr>
    </w:p>
    <w:p>
      <w:pPr>
        <w:pStyle w:val="2"/>
        <w:rPr>
          <w:rFonts w:ascii="Times New Roman" w:hAnsi="Times New Roman" w:cs="Times New Roman" w:eastAsiaTheme="minorEastAsia"/>
          <w:b/>
          <w:bCs/>
          <w:color w:val="000000" w:themeColor="text1"/>
          <w:sz w:val="24"/>
          <w:szCs w:val="24"/>
          <w14:textFill>
            <w14:solidFill>
              <w14:schemeClr w14:val="tx1"/>
            </w14:solidFill>
          </w14:textFill>
        </w:rPr>
      </w:pPr>
      <w:r>
        <w:rPr>
          <w:rFonts w:hint="eastAsia" w:ascii="Times New Roman" w:hAnsi="Times New Roman" w:cs="Times New Roman" w:eastAsiaTheme="minorEastAsia"/>
          <w:b/>
          <w:bCs/>
          <w:color w:val="000000" w:themeColor="text1"/>
          <w:sz w:val="24"/>
          <w:szCs w:val="24"/>
          <w14:textFill>
            <w14:solidFill>
              <w14:schemeClr w14:val="tx1"/>
            </w14:solidFill>
          </w14:textFill>
        </w:rPr>
        <w:t>S1. T</w:t>
      </w:r>
      <w:r>
        <w:rPr>
          <w:rFonts w:hint="eastAsia" w:ascii="Times New Roman" w:hAnsi="Times New Roman" w:cs="Times New Roman" w:eastAsiaTheme="minorEastAsia"/>
          <w:b/>
          <w:bCs/>
          <w:color w:val="000000" w:themeColor="text1"/>
          <w:sz w:val="24"/>
          <w:szCs w:val="24"/>
          <w:lang w:val="en-AU"/>
          <w14:textFill>
            <w14:solidFill>
              <w14:schemeClr w14:val="tx1"/>
            </w14:solidFill>
          </w14:textFill>
        </w:rPr>
        <w:t>he</w:t>
      </w:r>
      <w:r>
        <w:rPr>
          <w:rFonts w:hint="eastAsia" w:ascii="Times New Roman" w:hAnsi="Times New Roman" w:cs="Times New Roman" w:eastAsiaTheme="minorEastAsia"/>
          <w:b/>
          <w:bCs/>
          <w:color w:val="000000" w:themeColor="text1"/>
          <w:sz w:val="24"/>
          <w:szCs w:val="24"/>
          <w14:textFill>
            <w14:solidFill>
              <w14:schemeClr w14:val="tx1"/>
            </w14:solidFill>
          </w14:textFill>
        </w:rPr>
        <w:t xml:space="preserve"> detail parameters of the validation case </w:t>
      </w:r>
    </w:p>
    <w:p>
      <w:pPr>
        <w:pStyle w:val="3"/>
        <w:rPr>
          <w:rFonts w:ascii="Times New Roman" w:hAnsi="Times New Roman" w:cs="Times New Roman" w:eastAsiaTheme="minorEastAsia"/>
          <w:color w:val="000000" w:themeColor="text1"/>
          <w:sz w:val="24"/>
          <w:szCs w:val="24"/>
          <w14:textFill>
            <w14:solidFill>
              <w14:schemeClr w14:val="tx1"/>
            </w14:solidFill>
          </w14:textFill>
        </w:rPr>
      </w:pPr>
      <w:r>
        <w:rPr>
          <w:rFonts w:hint="eastAsia" w:ascii="Times New Roman" w:hAnsi="Times New Roman" w:cs="Times New Roman" w:eastAsiaTheme="minorEastAsia"/>
          <w:color w:val="000000" w:themeColor="text1"/>
          <w:sz w:val="24"/>
          <w:szCs w:val="24"/>
          <w14:textFill>
            <w14:solidFill>
              <w14:schemeClr w14:val="tx1"/>
            </w14:solidFill>
          </w14:textFill>
        </w:rPr>
        <w:t xml:space="preserve">1. </w:t>
      </w:r>
      <w:r>
        <w:rPr>
          <w:rFonts w:hint="eastAsia" w:ascii="Times New Roman" w:hAnsi="Times New Roman" w:cs="Times New Roman" w:eastAsiaTheme="minorEastAsia"/>
          <w:color w:val="000000" w:themeColor="text1"/>
          <w:sz w:val="24"/>
          <w:szCs w:val="24"/>
          <w:lang w:val="en-AU"/>
          <w14:textFill>
            <w14:solidFill>
              <w14:schemeClr w14:val="tx1"/>
            </w14:solidFill>
          </w14:textFill>
        </w:rPr>
        <w:t>Growth Mode</w:t>
      </w:r>
    </w:p>
    <w:p>
      <w:pPr>
        <w:spacing w:line="360" w:lineRule="auto"/>
        <w:ind w:firstLine="480"/>
        <w:rPr>
          <w:rFonts w:ascii="Times New Roman" w:hAnsi="Times New Roman" w:cs="Times New Roman"/>
          <w:color w:val="000000" w:themeColor="text1"/>
          <w:sz w:val="24"/>
          <w:lang w:val="en-AU"/>
          <w14:textFill>
            <w14:solidFill>
              <w14:schemeClr w14:val="tx1"/>
            </w14:solidFill>
          </w14:textFill>
        </w:rPr>
      </w:pPr>
      <w:r>
        <w:rPr>
          <w:rFonts w:hint="eastAsia" w:ascii="Times New Roman" w:hAnsi="Times New Roman" w:cs="Times New Roman"/>
          <w:color w:val="000000" w:themeColor="text1"/>
          <w:sz w:val="24"/>
          <w:lang w:val="en-AU"/>
          <w14:textFill>
            <w14:solidFill>
              <w14:schemeClr w14:val="tx1"/>
            </w14:solidFill>
          </w14:textFill>
        </w:rPr>
        <w:t>Three components were assumed with growth in the model, which were the factories demand, electricity grid price, and natural gas price. Based on the multi-year feature of HOMER, the growth was represented as percentage variation based on previous year, which was equivalent to an exponential growth at given rate. The demand growth rate was set as 5% per year, so does the growth rate of electricity grid price and natural gas price.</w:t>
      </w:r>
    </w:p>
    <w:p>
      <w:pPr>
        <w:pStyle w:val="3"/>
        <w:rPr>
          <w:rFonts w:ascii="Times New Roman" w:hAnsi="Times New Roman" w:cs="Times New Roman" w:eastAsiaTheme="minorEastAsia"/>
          <w:color w:val="000000" w:themeColor="text1"/>
          <w:sz w:val="24"/>
          <w:szCs w:val="24"/>
          <w:lang w:val="en-AU"/>
          <w14:textFill>
            <w14:solidFill>
              <w14:schemeClr w14:val="tx1"/>
            </w14:solidFill>
          </w14:textFill>
        </w:rPr>
      </w:pPr>
      <w:r>
        <w:rPr>
          <w:rFonts w:hint="eastAsia" w:ascii="Times New Roman" w:hAnsi="Times New Roman" w:cs="Times New Roman" w:eastAsiaTheme="minorEastAsia"/>
          <w:color w:val="000000" w:themeColor="text1"/>
          <w:sz w:val="24"/>
          <w:szCs w:val="24"/>
          <w14:textFill>
            <w14:solidFill>
              <w14:schemeClr w14:val="tx1"/>
            </w14:solidFill>
          </w14:textFill>
        </w:rPr>
        <w:t>2.</w:t>
      </w:r>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 Electricity Grid</w:t>
      </w:r>
    </w:p>
    <w:p>
      <w:pPr>
        <w:spacing w:line="360" w:lineRule="auto"/>
        <w:ind w:firstLine="480"/>
        <w:rPr>
          <w:rFonts w:ascii="Times New Roman" w:hAnsi="Times New Roman" w:cs="Times New Roman"/>
          <w:color w:val="000000" w:themeColor="text1"/>
          <w:sz w:val="24"/>
          <w:lang w:val="en-AU"/>
          <w14:textFill>
            <w14:solidFill>
              <w14:schemeClr w14:val="tx1"/>
            </w14:solidFill>
          </w14:textFill>
        </w:rPr>
      </w:pPr>
      <w:r>
        <w:rPr>
          <w:rFonts w:hint="eastAsia" w:ascii="Times New Roman" w:hAnsi="Times New Roman" w:cs="Times New Roman"/>
          <w:color w:val="000000" w:themeColor="text1"/>
          <w:sz w:val="24"/>
          <w:lang w:val="en-AU"/>
          <w14:textFill>
            <w14:solidFill>
              <w14:schemeClr w14:val="tx1"/>
            </w14:solidFill>
          </w14:textFill>
        </w:rPr>
        <w:t>The grid structure used in the verification was based on the grid contract of the pharmaceutical company, with details listed below. The full grid cost included retail price, network cost, ancillary charge, and other management costs. It was then summarized to obtain the cost in each period.</w:t>
      </w:r>
    </w:p>
    <w:p>
      <w:pPr>
        <w:pStyle w:val="6"/>
        <w:keepNext/>
        <w:jc w:val="center"/>
        <w:rPr>
          <w:rFonts w:ascii="Times New Roman" w:hAnsi="Times New Roman" w:cs="Times New Roman" w:eastAsiaTheme="minorEastAsia"/>
          <w:color w:val="000000" w:themeColor="text1"/>
          <w:sz w:val="24"/>
          <w:szCs w:val="24"/>
          <w:lang w:val="en-AU"/>
          <w14:textFill>
            <w14:solidFill>
              <w14:schemeClr w14:val="tx1"/>
            </w14:solidFill>
          </w14:textFill>
        </w:rPr>
      </w:pPr>
      <w:bookmarkStart w:id="0" w:name="_Toc176128151"/>
      <w:bookmarkStart w:id="1" w:name="_Toc155011257"/>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Table </w:t>
      </w:r>
      <w:r>
        <w:rPr>
          <w:rFonts w:hint="eastAsia" w:ascii="Times New Roman" w:hAnsi="Times New Roman" w:cs="Times New Roman" w:eastAsiaTheme="minorEastAsia"/>
          <w:color w:val="000000" w:themeColor="text1"/>
          <w:sz w:val="24"/>
          <w:szCs w:val="24"/>
          <w14:textFill>
            <w14:solidFill>
              <w14:schemeClr w14:val="tx1"/>
            </w14:solidFill>
          </w14:textFill>
        </w:rPr>
        <w:t>S1</w:t>
      </w:r>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 Electricity grid cost summary of HOMER model</w:t>
      </w:r>
      <w:bookmarkEnd w:id="0"/>
      <w:bookmarkEnd w:id="1"/>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Borders>
              <w:top w:val="single" w:color="auto" w:sz="12" w:space="0"/>
              <w:left w:val="nil"/>
              <w:bottom w:val="single" w:color="000000" w:sz="12" w:space="0"/>
              <w:right w:val="nil"/>
            </w:tcBorders>
          </w:tcPr>
          <w:p>
            <w:pPr>
              <w:spacing w:line="260" w:lineRule="atLeas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Grid Cost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tcBorders>
              <w:top w:val="single" w:color="000000" w:sz="12" w:space="0"/>
              <w:left w:val="nil"/>
              <w:bottom w:val="single" w:color="000000" w:sz="12" w:space="0"/>
              <w:right w:val="nil"/>
            </w:tcBorders>
            <w:vAlign w:val="center"/>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Variable Cost in Different Period</w:t>
            </w:r>
          </w:p>
        </w:tc>
        <w:tc>
          <w:tcPr>
            <w:tcW w:w="2074" w:type="dxa"/>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7:00 – 9:00</w:t>
            </w:r>
          </w:p>
        </w:tc>
        <w:tc>
          <w:tcPr>
            <w:tcW w:w="2074" w:type="dxa"/>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0.1360</w:t>
            </w:r>
          </w:p>
        </w:tc>
        <w:tc>
          <w:tcPr>
            <w:tcW w:w="2074" w:type="dxa"/>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r>
              <w:rPr>
                <w:rFonts w:ascii="Times New Roman" w:hAnsi="Times New Roman" w:cs="Times New Roman"/>
                <w:color w:val="000000" w:themeColor="text1"/>
                <w:vertAlign w:val="subscript"/>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vMerge w:val="continue"/>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p>
        </w:tc>
        <w:tc>
          <w:tcPr>
            <w:tcW w:w="2074"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9:00 – 13:00</w:t>
            </w:r>
          </w:p>
        </w:tc>
        <w:tc>
          <w:tcPr>
            <w:tcW w:w="2074"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0.1360</w:t>
            </w:r>
          </w:p>
        </w:tc>
        <w:tc>
          <w:tcPr>
            <w:tcW w:w="2074"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r>
              <w:rPr>
                <w:rFonts w:ascii="Times New Roman" w:hAnsi="Times New Roman" w:cs="Times New Roman"/>
                <w:color w:val="000000" w:themeColor="text1"/>
                <w:vertAlign w:val="subscript"/>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p>
        </w:tc>
        <w:tc>
          <w:tcPr>
            <w:tcW w:w="2074"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13:00 – 17:00</w:t>
            </w:r>
          </w:p>
        </w:tc>
        <w:tc>
          <w:tcPr>
            <w:tcW w:w="2074"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0.1690</w:t>
            </w:r>
          </w:p>
        </w:tc>
        <w:tc>
          <w:tcPr>
            <w:tcW w:w="2074"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r>
              <w:rPr>
                <w:rFonts w:ascii="Times New Roman" w:hAnsi="Times New Roman" w:cs="Times New Roman"/>
                <w:color w:val="000000" w:themeColor="text1"/>
                <w:vertAlign w:val="subscript"/>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p>
        </w:tc>
        <w:tc>
          <w:tcPr>
            <w:tcW w:w="2074"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17:00 – 20:00</w:t>
            </w:r>
          </w:p>
        </w:tc>
        <w:tc>
          <w:tcPr>
            <w:tcW w:w="2074"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0.1690</w:t>
            </w:r>
          </w:p>
        </w:tc>
        <w:tc>
          <w:tcPr>
            <w:tcW w:w="2074"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r>
              <w:rPr>
                <w:rFonts w:ascii="Times New Roman" w:hAnsi="Times New Roman" w:cs="Times New Roman"/>
                <w:color w:val="000000" w:themeColor="text1"/>
                <w:vertAlign w:val="subscript"/>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p>
        </w:tc>
        <w:tc>
          <w:tcPr>
            <w:tcW w:w="2074"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20:00 – 22:00</w:t>
            </w:r>
          </w:p>
        </w:tc>
        <w:tc>
          <w:tcPr>
            <w:tcW w:w="2074"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0.1360</w:t>
            </w:r>
          </w:p>
        </w:tc>
        <w:tc>
          <w:tcPr>
            <w:tcW w:w="2074"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r>
              <w:rPr>
                <w:rFonts w:ascii="Times New Roman" w:hAnsi="Times New Roman" w:cs="Times New Roman"/>
                <w:color w:val="000000" w:themeColor="text1"/>
                <w:vertAlign w:val="subscript"/>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Borders>
              <w:top w:val="nil"/>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p>
        </w:tc>
        <w:tc>
          <w:tcPr>
            <w:tcW w:w="2074" w:type="dxa"/>
            <w:tcBorders>
              <w:top w:val="nil"/>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Other and Weekend</w:t>
            </w:r>
          </w:p>
        </w:tc>
        <w:tc>
          <w:tcPr>
            <w:tcW w:w="2074" w:type="dxa"/>
            <w:tcBorders>
              <w:top w:val="nil"/>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0.0852</w:t>
            </w:r>
          </w:p>
        </w:tc>
        <w:tc>
          <w:tcPr>
            <w:tcW w:w="2074" w:type="dxa"/>
            <w:tcBorders>
              <w:top w:val="nil"/>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r>
              <w:rPr>
                <w:rFonts w:ascii="Times New Roman" w:hAnsi="Times New Roman" w:cs="Times New Roman"/>
                <w:color w:val="000000" w:themeColor="text1"/>
                <w:vertAlign w:val="subscript"/>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tcBorders>
              <w:top w:val="single" w:color="000000" w:sz="12" w:space="0"/>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Demand Charge</w:t>
            </w:r>
          </w:p>
        </w:tc>
        <w:tc>
          <w:tcPr>
            <w:tcW w:w="2074" w:type="dxa"/>
            <w:tcBorders>
              <w:top w:val="single" w:color="000000" w:sz="12" w:space="0"/>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13.55</w:t>
            </w:r>
          </w:p>
        </w:tc>
        <w:tc>
          <w:tcPr>
            <w:tcW w:w="2074" w:type="dxa"/>
            <w:tcBorders>
              <w:top w:val="single" w:color="000000" w:sz="12" w:space="0"/>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$/kVA/month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tcBorders>
              <w:top w:val="single" w:color="000000" w:sz="12" w:space="0"/>
              <w:left w:val="nil"/>
              <w:bottom w:val="single" w:color="auto"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Other Fix Charge</w:t>
            </w:r>
          </w:p>
        </w:tc>
        <w:tc>
          <w:tcPr>
            <w:tcW w:w="2074" w:type="dxa"/>
            <w:tcBorders>
              <w:top w:val="single" w:color="000000" w:sz="12" w:space="0"/>
              <w:left w:val="nil"/>
              <w:bottom w:val="single" w:color="auto"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6264.04</w:t>
            </w:r>
          </w:p>
        </w:tc>
        <w:tc>
          <w:tcPr>
            <w:tcW w:w="2074" w:type="dxa"/>
            <w:tcBorders>
              <w:top w:val="single" w:color="000000" w:sz="12" w:space="0"/>
              <w:left w:val="nil"/>
              <w:bottom w:val="single" w:color="auto" w:sz="12" w:space="0"/>
              <w:right w:val="nil"/>
            </w:tcBorders>
          </w:tcPr>
          <w:p>
            <w:pPr>
              <w:keepNext/>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$/year</w:t>
            </w:r>
          </w:p>
        </w:tc>
      </w:tr>
    </w:tbl>
    <w:p>
      <w:pPr>
        <w:spacing w:line="360" w:lineRule="auto"/>
        <w:ind w:firstLine="480"/>
        <w:rPr>
          <w:rFonts w:ascii="Times New Roman" w:hAnsi="Times New Roman" w:cs="Times New Roman"/>
          <w:color w:val="000000" w:themeColor="text1"/>
          <w:sz w:val="24"/>
          <w:lang w:val="en-AU"/>
          <w14:textFill>
            <w14:solidFill>
              <w14:schemeClr w14:val="tx1"/>
            </w14:solidFill>
          </w14:textFill>
        </w:rPr>
      </w:pPr>
      <w:r>
        <w:rPr>
          <w:rFonts w:hint="eastAsia" w:ascii="Times New Roman" w:hAnsi="Times New Roman" w:cs="Times New Roman"/>
          <w:color w:val="000000" w:themeColor="text1"/>
          <w:sz w:val="24"/>
          <w:lang w:val="en-AU"/>
          <w14:textFill>
            <w14:solidFill>
              <w14:schemeClr w14:val="tx1"/>
            </w14:solidFill>
          </w14:textFill>
        </w:rPr>
        <w:t xml:space="preserve">In the proposed method, the grid was further summarized to represent the different feature between daytime and night-time, as defined the generation output period of solar facilities. The grid cost of each period was calculated based on the length and the associated cost of this period. The further summarized grid cost structure was shown </w:t>
      </w:r>
      <w:r>
        <w:rPr>
          <w:rFonts w:hint="eastAsia" w:ascii="Times New Roman" w:hAnsi="Times New Roman" w:cs="Times New Roman"/>
          <w:color w:val="000000" w:themeColor="text1"/>
          <w:sz w:val="24"/>
          <w14:textFill>
            <w14:solidFill>
              <w14:schemeClr w14:val="tx1"/>
            </w14:solidFill>
          </w14:textFill>
        </w:rPr>
        <w:t>in Table S2</w:t>
      </w:r>
      <w:r>
        <w:rPr>
          <w:rFonts w:hint="eastAsia" w:ascii="Times New Roman" w:hAnsi="Times New Roman" w:cs="Times New Roman"/>
          <w:color w:val="000000" w:themeColor="text1"/>
          <w:sz w:val="24"/>
          <w:lang w:val="en-AU"/>
          <w14:textFill>
            <w14:solidFill>
              <w14:schemeClr w14:val="tx1"/>
            </w14:solidFill>
          </w14:textFill>
        </w:rPr>
        <w:t>:</w:t>
      </w:r>
    </w:p>
    <w:p>
      <w:pPr>
        <w:pStyle w:val="6"/>
        <w:keepNext/>
        <w:jc w:val="center"/>
        <w:rPr>
          <w:rFonts w:ascii="Times New Roman" w:hAnsi="Times New Roman" w:cs="Times New Roman" w:eastAsiaTheme="minorEastAsia"/>
          <w:color w:val="000000" w:themeColor="text1"/>
          <w:sz w:val="24"/>
          <w:szCs w:val="24"/>
          <w:lang w:val="en-AU"/>
          <w14:textFill>
            <w14:solidFill>
              <w14:schemeClr w14:val="tx1"/>
            </w14:solidFill>
          </w14:textFill>
        </w:rPr>
      </w:pPr>
      <w:bookmarkStart w:id="2" w:name="_Toc176128152"/>
      <w:bookmarkStart w:id="3" w:name="_Toc155011258"/>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Table </w:t>
      </w:r>
      <w:r>
        <w:rPr>
          <w:rFonts w:hint="eastAsia" w:ascii="Times New Roman" w:hAnsi="Times New Roman" w:cs="Times New Roman" w:eastAsiaTheme="minorEastAsia"/>
          <w:color w:val="000000" w:themeColor="text1"/>
          <w:sz w:val="24"/>
          <w:szCs w:val="24"/>
          <w14:textFill>
            <w14:solidFill>
              <w14:schemeClr w14:val="tx1"/>
            </w14:solidFill>
          </w14:textFill>
        </w:rPr>
        <w:t>S2</w:t>
      </w:r>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 Electricity grid cost summary of proposed method</w:t>
      </w:r>
      <w:bookmarkEnd w:id="2"/>
      <w:bookmarkEnd w:id="3"/>
    </w:p>
    <w:tbl>
      <w:tblPr>
        <w:tblStyle w:val="12"/>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4"/>
            <w:tcBorders>
              <w:bottom w:val="single" w:color="000000" w:sz="12" w:space="0"/>
            </w:tcBorders>
          </w:tcPr>
          <w:p>
            <w:pPr>
              <w:spacing w:line="260" w:lineRule="atLeas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Electricity Grid Cost Summary</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vMerge w:val="restart"/>
            <w:tcBorders>
              <w:top w:val="single" w:color="000000" w:sz="12" w:space="0"/>
              <w:bottom w:val="single" w:color="000000" w:sz="12" w:space="0"/>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Variable Cost in Different Period</w:t>
            </w:r>
          </w:p>
        </w:tc>
        <w:tc>
          <w:tcPr>
            <w:tcW w:w="2074" w:type="dxa"/>
            <w:tcBorders>
              <w:top w:val="single" w:color="000000" w:sz="12" w:space="0"/>
              <w:bottom w:val="single" w:color="000000" w:sz="12" w:space="0"/>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Day average</w:t>
            </w:r>
          </w:p>
        </w:tc>
        <w:tc>
          <w:tcPr>
            <w:tcW w:w="2074" w:type="dxa"/>
            <w:tcBorders>
              <w:top w:val="single" w:color="000000" w:sz="12" w:space="0"/>
              <w:bottom w:val="single" w:color="000000" w:sz="12" w:space="0"/>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0.1360</w:t>
            </w:r>
          </w:p>
        </w:tc>
        <w:tc>
          <w:tcPr>
            <w:tcW w:w="2074" w:type="dxa"/>
            <w:tcBorders>
              <w:top w:val="single" w:color="000000" w:sz="12" w:space="0"/>
              <w:bottom w:val="single" w:color="000000" w:sz="12" w:space="0"/>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r>
              <w:rPr>
                <w:rFonts w:ascii="Times New Roman" w:hAnsi="Times New Roman" w:cs="Times New Roman"/>
                <w:color w:val="000000" w:themeColor="text1"/>
                <w:vertAlign w:val="subscript"/>
                <w14:textFill>
                  <w14:solidFill>
                    <w14:schemeClr w14:val="tx1"/>
                  </w14:solidFill>
                </w14:textFill>
              </w:rPr>
              <w:t>h</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vMerge w:val="continue"/>
            <w:tcBorders>
              <w:top w:val="single" w:color="000000" w:sz="12" w:space="0"/>
            </w:tcBorders>
          </w:tcPr>
          <w:p>
            <w:pPr>
              <w:spacing w:line="260" w:lineRule="atLeast"/>
              <w:rPr>
                <w:rFonts w:ascii="Times New Roman" w:hAnsi="Times New Roman" w:cs="Times New Roman"/>
                <w:color w:val="000000" w:themeColor="text1"/>
                <w14:textFill>
                  <w14:solidFill>
                    <w14:schemeClr w14:val="tx1"/>
                  </w14:solidFill>
                </w14:textFill>
              </w:rPr>
            </w:pPr>
          </w:p>
        </w:tc>
        <w:tc>
          <w:tcPr>
            <w:tcW w:w="2074" w:type="dxa"/>
            <w:tcBorders>
              <w:top w:val="single" w:color="000000" w:sz="12" w:space="0"/>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Night average</w:t>
            </w:r>
          </w:p>
        </w:tc>
        <w:tc>
          <w:tcPr>
            <w:tcW w:w="2074" w:type="dxa"/>
            <w:tcBorders>
              <w:top w:val="single" w:color="000000" w:sz="12" w:space="0"/>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0.1360</w:t>
            </w:r>
          </w:p>
        </w:tc>
        <w:tc>
          <w:tcPr>
            <w:tcW w:w="2074" w:type="dxa"/>
            <w:tcBorders>
              <w:top w:val="single" w:color="000000" w:sz="12" w:space="0"/>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r>
              <w:rPr>
                <w:rFonts w:ascii="Times New Roman" w:hAnsi="Times New Roman" w:cs="Times New Roman"/>
                <w:color w:val="000000" w:themeColor="text1"/>
                <w:vertAlign w:val="subscript"/>
                <w14:textFill>
                  <w14:solidFill>
                    <w14:schemeClr w14:val="tx1"/>
                  </w14:solidFill>
                </w14:textFill>
              </w:rPr>
              <w:t>h</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gridSpan w:val="2"/>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Demand Charge</w:t>
            </w:r>
          </w:p>
        </w:tc>
        <w:tc>
          <w:tcPr>
            <w:tcW w:w="2074" w:type="dxa"/>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13.55</w:t>
            </w:r>
          </w:p>
        </w:tc>
        <w:tc>
          <w:tcPr>
            <w:tcW w:w="2074" w:type="dxa"/>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$/kVA/month</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gridSpan w:val="2"/>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Other Fix Charge</w:t>
            </w:r>
          </w:p>
        </w:tc>
        <w:tc>
          <w:tcPr>
            <w:tcW w:w="2074" w:type="dxa"/>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6264.04</w:t>
            </w:r>
          </w:p>
        </w:tc>
        <w:tc>
          <w:tcPr>
            <w:tcW w:w="2074" w:type="dxa"/>
          </w:tcPr>
          <w:p>
            <w:pPr>
              <w:keepNext/>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$/year</w:t>
            </w:r>
          </w:p>
        </w:tc>
      </w:tr>
    </w:tbl>
    <w:p>
      <w:pPr>
        <w:widowControl/>
        <w:jc w:val="left"/>
        <w:rPr>
          <w:rFonts w:cstheme="majorBidi"/>
          <w:color w:val="000000" w:themeColor="text1"/>
          <w:sz w:val="24"/>
          <w14:textFill>
            <w14:solidFill>
              <w14:schemeClr w14:val="tx1"/>
            </w14:solidFill>
          </w14:textFill>
        </w:rPr>
      </w:pPr>
    </w:p>
    <w:p>
      <w:pPr>
        <w:pStyle w:val="3"/>
        <w:rPr>
          <w:rFonts w:ascii="Times New Roman" w:hAnsi="Times New Roman" w:cs="Times New Roman" w:eastAsiaTheme="minorEastAsia"/>
          <w:color w:val="000000" w:themeColor="text1"/>
          <w:sz w:val="24"/>
          <w:szCs w:val="24"/>
          <w14:textFill>
            <w14:solidFill>
              <w14:schemeClr w14:val="tx1"/>
            </w14:solidFill>
          </w14:textFill>
        </w:rPr>
      </w:pPr>
      <w:r>
        <w:rPr>
          <w:rFonts w:hint="eastAsia" w:ascii="Times New Roman" w:hAnsi="Times New Roman" w:cs="Times New Roman" w:eastAsiaTheme="minorEastAsia"/>
          <w:color w:val="000000" w:themeColor="text1"/>
          <w:sz w:val="24"/>
          <w:szCs w:val="24"/>
          <w14:textFill>
            <w14:solidFill>
              <w14:schemeClr w14:val="tx1"/>
            </w14:solidFill>
          </w14:textFill>
        </w:rPr>
        <w:t>3 Natural Gas Grid</w:t>
      </w:r>
    </w:p>
    <w:p>
      <w:pPr>
        <w:spacing w:line="360" w:lineRule="auto"/>
        <w:ind w:firstLine="480"/>
        <w:rPr>
          <w:rFonts w:ascii="Times New Roman" w:hAnsi="Times New Roman" w:cs="Times New Roman"/>
          <w:color w:val="000000" w:themeColor="text1"/>
          <w:sz w:val="24"/>
          <w:lang w:val="en-AU"/>
          <w14:textFill>
            <w14:solidFill>
              <w14:schemeClr w14:val="tx1"/>
            </w14:solidFill>
          </w14:textFill>
        </w:rPr>
      </w:pPr>
      <w:r>
        <w:rPr>
          <w:rFonts w:hint="eastAsia" w:ascii="Times New Roman" w:hAnsi="Times New Roman" w:cs="Times New Roman"/>
          <w:color w:val="000000" w:themeColor="text1"/>
          <w:sz w:val="24"/>
          <w:lang w:val="en-AU"/>
          <w14:textFill>
            <w14:solidFill>
              <w14:schemeClr w14:val="tx1"/>
            </w14:solidFill>
          </w14:textFill>
        </w:rPr>
        <w:t>The cost structure of the natural gas grid was represented differently in HOMER model and the proposed method. The unit of the usage charge was set as $/m</w:t>
      </w:r>
      <w:r>
        <w:rPr>
          <w:rFonts w:hint="eastAsia" w:ascii="Times New Roman" w:hAnsi="Times New Roman" w:cs="Times New Roman"/>
          <w:color w:val="000000" w:themeColor="text1"/>
          <w:sz w:val="24"/>
          <w:vertAlign w:val="superscript"/>
          <w:lang w:val="en-AU"/>
          <w14:textFill>
            <w14:solidFill>
              <w14:schemeClr w14:val="tx1"/>
            </w14:solidFill>
          </w14:textFill>
        </w:rPr>
        <w:t>3</w:t>
      </w:r>
      <w:r>
        <w:rPr>
          <w:rFonts w:hint="eastAsia" w:ascii="Times New Roman" w:hAnsi="Times New Roman" w:cs="Times New Roman"/>
          <w:color w:val="000000" w:themeColor="text1"/>
          <w:sz w:val="24"/>
          <w:lang w:val="en-AU"/>
          <w14:textFill>
            <w14:solidFill>
              <w14:schemeClr w14:val="tx1"/>
            </w14:solidFill>
          </w14:textFill>
        </w:rPr>
        <w:t xml:space="preserve"> in HOMER model, and it was converted to $/kWh using the calorific value of natural gas such that it is having the same unit as electricity for ease of calculation. The fixed charge of natural gas grid was only included in the proposed method as HOMER model does not support other cost structure other than simple rate. The summarized natural gas grid cost structure of HOMER model and the proposed method was shown in </w:t>
      </w:r>
      <w:r>
        <w:rPr>
          <w:rFonts w:hint="eastAsia" w:ascii="Times New Roman" w:hAnsi="Times New Roman" w:cs="Times New Roman"/>
          <w:color w:val="000000" w:themeColor="text1"/>
          <w:sz w:val="24"/>
          <w:lang w:val="en-AU"/>
          <w14:textFill>
            <w14:solidFill>
              <w14:schemeClr w14:val="tx1"/>
            </w14:solidFill>
          </w14:textFill>
        </w:rPr>
        <w:fldChar w:fldCharType="begin"/>
      </w:r>
      <w:r>
        <w:rPr>
          <w:rFonts w:hint="eastAsia" w:ascii="Times New Roman" w:hAnsi="Times New Roman" w:cs="Times New Roman"/>
          <w:color w:val="000000" w:themeColor="text1"/>
          <w:sz w:val="24"/>
          <w:lang w:val="en-AU"/>
          <w14:textFill>
            <w14:solidFill>
              <w14:schemeClr w14:val="tx1"/>
            </w14:solidFill>
          </w14:textFill>
        </w:rPr>
        <w:instrText xml:space="preserve"> REF _Ref155987435 \h </w:instrText>
      </w:r>
      <w:r>
        <w:rPr>
          <w:rFonts w:hint="eastAsia" w:ascii="Times New Roman" w:hAnsi="Times New Roman" w:cs="Times New Roman"/>
          <w:color w:val="000000" w:themeColor="text1"/>
          <w:sz w:val="24"/>
          <w:lang w:val="en-AU"/>
          <w14:textFill>
            <w14:solidFill>
              <w14:schemeClr w14:val="tx1"/>
            </w14:solidFill>
          </w14:textFill>
        </w:rPr>
        <w:fldChar w:fldCharType="separate"/>
      </w:r>
      <w:r>
        <w:rPr>
          <w:rFonts w:hint="eastAsia" w:ascii="Times New Roman" w:hAnsi="Times New Roman" w:cs="Times New Roman"/>
          <w:color w:val="000000" w:themeColor="text1"/>
          <w:sz w:val="24"/>
          <w:lang w:val="en-AU"/>
          <w14:textFill>
            <w14:solidFill>
              <w14:schemeClr w14:val="tx1"/>
            </w14:solidFill>
          </w14:textFill>
        </w:rPr>
        <w:t xml:space="preserve">Table </w:t>
      </w:r>
      <w:r>
        <w:rPr>
          <w:rFonts w:hint="eastAsia" w:ascii="Times New Roman" w:hAnsi="Times New Roman" w:cs="Times New Roman"/>
          <w:color w:val="000000" w:themeColor="text1"/>
          <w:sz w:val="24"/>
          <w14:textFill>
            <w14:solidFill>
              <w14:schemeClr w14:val="tx1"/>
            </w14:solidFill>
          </w14:textFill>
        </w:rPr>
        <w:t>S</w:t>
      </w:r>
      <w:r>
        <w:rPr>
          <w:rFonts w:hint="eastAsia" w:ascii="Times New Roman" w:hAnsi="Times New Roman" w:cs="Times New Roman"/>
          <w:color w:val="000000" w:themeColor="text1"/>
          <w:sz w:val="24"/>
          <w:lang w:val="en-AU"/>
          <w14:textFill>
            <w14:solidFill>
              <w14:schemeClr w14:val="tx1"/>
            </w14:solidFill>
          </w14:textFill>
        </w:rPr>
        <w:fldChar w:fldCharType="end"/>
      </w:r>
      <w:r>
        <w:rPr>
          <w:rFonts w:hint="eastAsia" w:ascii="Times New Roman" w:hAnsi="Times New Roman" w:cs="Times New Roman"/>
          <w:color w:val="000000" w:themeColor="text1"/>
          <w:sz w:val="24"/>
          <w14:textFill>
            <w14:solidFill>
              <w14:schemeClr w14:val="tx1"/>
            </w14:solidFill>
          </w14:textFill>
        </w:rPr>
        <w:t>3</w:t>
      </w:r>
      <w:r>
        <w:rPr>
          <w:rFonts w:hint="eastAsia" w:ascii="Times New Roman" w:hAnsi="Times New Roman" w:cs="Times New Roman"/>
          <w:color w:val="000000" w:themeColor="text1"/>
          <w:sz w:val="24"/>
          <w:lang w:val="en-AU"/>
          <w14:textFill>
            <w14:solidFill>
              <w14:schemeClr w14:val="tx1"/>
            </w14:solidFill>
          </w14:textFill>
        </w:rPr>
        <w:t>:</w:t>
      </w:r>
    </w:p>
    <w:p>
      <w:pPr>
        <w:pStyle w:val="6"/>
        <w:keepNext/>
        <w:jc w:val="center"/>
        <w:rPr>
          <w:rFonts w:ascii="Times New Roman" w:hAnsi="Times New Roman" w:cs="Times New Roman" w:eastAsiaTheme="minorEastAsia"/>
          <w:color w:val="000000" w:themeColor="text1"/>
          <w:sz w:val="24"/>
          <w:szCs w:val="24"/>
          <w:lang w:val="en-AU"/>
          <w14:textFill>
            <w14:solidFill>
              <w14:schemeClr w14:val="tx1"/>
            </w14:solidFill>
          </w14:textFill>
        </w:rPr>
      </w:pPr>
      <w:bookmarkStart w:id="4" w:name="_Ref155987435"/>
      <w:bookmarkStart w:id="5" w:name="_Toc155011259"/>
      <w:bookmarkStart w:id="6" w:name="_Toc176128153"/>
      <w:r>
        <w:rPr>
          <w:rFonts w:ascii="Times New Roman" w:hAnsi="Times New Roman" w:cs="Times New Roman" w:eastAsiaTheme="minorEastAsia"/>
          <w:color w:val="000000" w:themeColor="text1"/>
          <w:sz w:val="24"/>
          <w:szCs w:val="24"/>
          <w:lang w:val="en-AU"/>
          <w14:textFill>
            <w14:solidFill>
              <w14:schemeClr w14:val="tx1"/>
            </w14:solidFill>
          </w14:textFill>
        </w:rPr>
        <w:t xml:space="preserve">Table </w:t>
      </w:r>
      <w:bookmarkEnd w:id="4"/>
      <w:r>
        <w:rPr>
          <w:rFonts w:ascii="Times New Roman" w:hAnsi="Times New Roman" w:cs="Times New Roman" w:eastAsiaTheme="minorEastAsia"/>
          <w:color w:val="000000" w:themeColor="text1"/>
          <w:sz w:val="24"/>
          <w:szCs w:val="24"/>
          <w14:textFill>
            <w14:solidFill>
              <w14:schemeClr w14:val="tx1"/>
            </w14:solidFill>
          </w14:textFill>
        </w:rPr>
        <w:t>S</w:t>
      </w:r>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ascii="Times New Roman" w:hAnsi="Times New Roman" w:cs="Times New Roman" w:eastAsiaTheme="minorEastAsia"/>
          <w:color w:val="000000" w:themeColor="text1"/>
          <w:sz w:val="24"/>
          <w:szCs w:val="24"/>
          <w:lang w:val="en-AU"/>
          <w14:textFill>
            <w14:solidFill>
              <w14:schemeClr w14:val="tx1"/>
            </w14:solidFill>
          </w14:textFill>
        </w:rPr>
        <w:t xml:space="preserve"> Natural gas grid cost summary</w:t>
      </w:r>
      <w:bookmarkEnd w:id="5"/>
      <w:bookmarkEnd w:id="6"/>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092"/>
        <w:gridCol w:w="1599"/>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12" w:space="0"/>
              <w:left w:val="nil"/>
              <w:bottom w:val="single" w:color="000000" w:sz="12" w:space="0"/>
              <w:right w:val="nil"/>
            </w:tcBorders>
          </w:tcPr>
          <w:p>
            <w:pPr>
              <w:spacing w:line="260" w:lineRule="atLeas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Natural Gas Grid Cost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23" w:type="pct"/>
            <w:tcBorders>
              <w:top w:val="single" w:color="000000" w:sz="12" w:space="0"/>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Cost Type</w:t>
            </w:r>
          </w:p>
        </w:tc>
        <w:tc>
          <w:tcPr>
            <w:tcW w:w="3576" w:type="pct"/>
            <w:gridSpan w:val="3"/>
            <w:tcBorders>
              <w:top w:val="single" w:color="000000" w:sz="12" w:space="0"/>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pct"/>
            <w:vMerge w:val="restart"/>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Usage Charge</w:t>
            </w:r>
          </w:p>
        </w:tc>
        <w:tc>
          <w:tcPr>
            <w:tcW w:w="1814" w:type="pct"/>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Proposed Method</w:t>
            </w:r>
          </w:p>
        </w:tc>
        <w:tc>
          <w:tcPr>
            <w:tcW w:w="938" w:type="pct"/>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0.01719</w:t>
            </w:r>
          </w:p>
        </w:tc>
        <w:tc>
          <w:tcPr>
            <w:tcW w:w="824" w:type="pct"/>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pct"/>
            <w:vMerge w:val="continue"/>
            <w:tcBorders>
              <w:top w:val="nil"/>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p>
        </w:tc>
        <w:tc>
          <w:tcPr>
            <w:tcW w:w="1814" w:type="pct"/>
            <w:tcBorders>
              <w:top w:val="nil"/>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HOMER</w:t>
            </w:r>
          </w:p>
        </w:tc>
        <w:tc>
          <w:tcPr>
            <w:tcW w:w="938" w:type="pct"/>
            <w:tcBorders>
              <w:top w:val="nil"/>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0.19</w:t>
            </w:r>
          </w:p>
        </w:tc>
        <w:tc>
          <w:tcPr>
            <w:tcW w:w="824" w:type="pct"/>
            <w:tcBorders>
              <w:top w:val="nil"/>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pct"/>
            <w:vMerge w:val="restart"/>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Fix Charge</w:t>
            </w:r>
          </w:p>
        </w:tc>
        <w:tc>
          <w:tcPr>
            <w:tcW w:w="1814" w:type="pct"/>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Proposed Method</w:t>
            </w:r>
          </w:p>
        </w:tc>
        <w:tc>
          <w:tcPr>
            <w:tcW w:w="938" w:type="pct"/>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277.972</w:t>
            </w:r>
          </w:p>
        </w:tc>
        <w:tc>
          <w:tcPr>
            <w:tcW w:w="824" w:type="pct"/>
            <w:tcBorders>
              <w:top w:val="single" w:color="000000" w:sz="12" w:space="0"/>
              <w:left w:val="nil"/>
              <w:bottom w:val="nil"/>
              <w:right w:val="nil"/>
            </w:tcBorders>
          </w:tcPr>
          <w:p>
            <w:pPr>
              <w:keepNext/>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pct"/>
            <w:vMerge w:val="continue"/>
            <w:tcBorders>
              <w:top w:val="nil"/>
              <w:left w:val="nil"/>
              <w:bottom w:val="single" w:color="auto"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p>
        </w:tc>
        <w:tc>
          <w:tcPr>
            <w:tcW w:w="1814" w:type="pct"/>
            <w:tcBorders>
              <w:top w:val="nil"/>
              <w:left w:val="nil"/>
              <w:bottom w:val="single" w:color="auto"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HOMER </w:t>
            </w:r>
          </w:p>
        </w:tc>
        <w:tc>
          <w:tcPr>
            <w:tcW w:w="938" w:type="pct"/>
            <w:tcBorders>
              <w:top w:val="nil"/>
              <w:left w:val="nil"/>
              <w:bottom w:val="single" w:color="auto"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824" w:type="pct"/>
            <w:tcBorders>
              <w:top w:val="nil"/>
              <w:left w:val="nil"/>
              <w:bottom w:val="single" w:color="auto" w:sz="12" w:space="0"/>
              <w:right w:val="nil"/>
            </w:tcBorders>
          </w:tcPr>
          <w:p>
            <w:pPr>
              <w:keepNext/>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$/day</w:t>
            </w:r>
          </w:p>
        </w:tc>
      </w:tr>
    </w:tbl>
    <w:p>
      <w:pPr>
        <w:pStyle w:val="3"/>
        <w:rPr>
          <w:rFonts w:ascii="Times New Roman" w:hAnsi="Times New Roman" w:cs="Times New Roman" w:eastAsiaTheme="minorEastAsia"/>
          <w:color w:val="000000" w:themeColor="text1"/>
          <w:sz w:val="24"/>
          <w:szCs w:val="24"/>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4</w:t>
      </w:r>
      <w:r>
        <w:rPr>
          <w:rFonts w:hint="eastAsia"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 Facility Se</w:t>
      </w:r>
      <w:r>
        <w:rPr>
          <w:rFonts w:hint="eastAsia" w:ascii="Times New Roman" w:hAnsi="Times New Roman" w:cs="Times New Roman" w:eastAsiaTheme="minorEastAsia"/>
          <w:color w:val="000000" w:themeColor="text1"/>
          <w:sz w:val="24"/>
          <w:szCs w:val="24"/>
          <w14:textFill>
            <w14:solidFill>
              <w14:schemeClr w14:val="tx1"/>
            </w14:solidFill>
          </w14:textFill>
        </w:rPr>
        <w:t>tup</w:t>
      </w:r>
    </w:p>
    <w:p>
      <w:pPr>
        <w:spacing w:line="360" w:lineRule="auto"/>
        <w:ind w:firstLine="480" w:firstLineChars="200"/>
        <w:rPr>
          <w:rFonts w:ascii="Times New Roman" w:hAnsi="Times New Roman" w:cs="Times New Roman"/>
          <w:color w:val="000000" w:themeColor="text1"/>
          <w:sz w:val="24"/>
          <w:lang w:val="en-AU"/>
          <w14:textFill>
            <w14:solidFill>
              <w14:schemeClr w14:val="tx1"/>
            </w14:solidFill>
          </w14:textFill>
        </w:rPr>
      </w:pPr>
      <w:r>
        <w:rPr>
          <w:rFonts w:hint="eastAsia" w:ascii="Times New Roman" w:hAnsi="Times New Roman" w:cs="Times New Roman"/>
          <w:color w:val="000000" w:themeColor="text1"/>
          <w:sz w:val="24"/>
          <w:lang w:val="en-AU"/>
          <w14:textFill>
            <w14:solidFill>
              <w14:schemeClr w14:val="tx1"/>
            </w14:solidFill>
          </w14:textFill>
        </w:rPr>
        <w:t>After setting up the details of the grid and factory demand used in the case, the cost parameters were required to be set up. In this section, the cost and performance parameter setup were demonstrated for both methods. However, as HOMER does not support solar thermal modules, only CHP, solar panels, and wind turbines will be included in this case.</w:t>
      </w:r>
    </w:p>
    <w:p>
      <w:pPr>
        <w:pStyle w:val="3"/>
        <w:rPr>
          <w:rFonts w:ascii="Times New Roman" w:hAnsi="Times New Roman" w:cs="Times New Roman" w:eastAsiaTheme="minorEastAsia"/>
          <w:color w:val="000000" w:themeColor="text1"/>
          <w:sz w:val="24"/>
          <w:szCs w:val="24"/>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5</w:t>
      </w:r>
      <w:r>
        <w:rPr>
          <w:rFonts w:hint="eastAsia" w:ascii="Times New Roman" w:hAnsi="Times New Roman" w:cs="Times New Roman" w:eastAsiaTheme="minorEastAsia"/>
          <w:color w:val="000000" w:themeColor="text1"/>
          <w:sz w:val="24"/>
          <w:szCs w:val="24"/>
          <w14:textFill>
            <w14:solidFill>
              <w14:schemeClr w14:val="tx1"/>
            </w14:solidFill>
          </w14:textFill>
        </w:rPr>
        <w:t>. CHP System</w:t>
      </w:r>
    </w:p>
    <w:p>
      <w:pPr>
        <w:spacing w:line="360" w:lineRule="auto"/>
        <w:ind w:firstLine="480" w:firstLineChars="200"/>
        <w:rPr>
          <w:rFonts w:ascii="Times New Roman" w:hAnsi="Times New Roman" w:cs="Times New Roman"/>
          <w:color w:val="000000" w:themeColor="text1"/>
          <w:sz w:val="24"/>
          <w:lang w:val="en-AU"/>
          <w14:textFill>
            <w14:solidFill>
              <w14:schemeClr w14:val="tx1"/>
            </w14:solidFill>
          </w14:textFill>
        </w:rPr>
      </w:pPr>
      <w:r>
        <w:rPr>
          <w:rFonts w:hint="eastAsia" w:ascii="Times New Roman" w:hAnsi="Times New Roman" w:cs="Times New Roman"/>
          <w:color w:val="000000" w:themeColor="text1"/>
          <w:sz w:val="24"/>
          <w:lang w:val="en-AU"/>
          <w14:textFill>
            <w14:solidFill>
              <w14:schemeClr w14:val="tx1"/>
            </w14:solidFill>
          </w14:textFill>
        </w:rPr>
        <w:t>The main difference between the HOMER model and the model of proposed method was the description of CHP units. In HOMER, CHP was described as an hourly operating facility, with its lifespan in hours and O&amp;M cost in $/hour. This was based on the hourly operating and dispatch strategy used in HOMER software. In the proposed method, the CHP was described as a % of the maximum operation capacity in each period, with its lifespan in years and O&amp;M cost in $/kWh energy output. The conversion between these two types of description was multiplying the operating capacity in each period, which is varying during the entire project period. Therefore, the O&amp;M cost was temporarily removed to proceed the verification process between the proposed method and HOMER. The lifespan of CHP units was based on previous technology specification, which was 10 years and 60,000 hours for each model.</w:t>
      </w:r>
    </w:p>
    <w:p>
      <w:pPr>
        <w:pStyle w:val="6"/>
        <w:keepNext/>
        <w:jc w:val="center"/>
        <w:rPr>
          <w:rFonts w:ascii="Times New Roman" w:hAnsi="Times New Roman" w:cs="Times New Roman" w:eastAsiaTheme="minorEastAsia"/>
          <w:color w:val="000000" w:themeColor="text1"/>
          <w:sz w:val="24"/>
          <w:szCs w:val="24"/>
          <w:lang w:val="en-AU"/>
          <w14:textFill>
            <w14:solidFill>
              <w14:schemeClr w14:val="tx1"/>
            </w14:solidFill>
          </w14:textFill>
        </w:rPr>
      </w:pPr>
      <w:bookmarkStart w:id="7" w:name="_Toc155011261"/>
      <w:bookmarkStart w:id="8" w:name="_Toc176128155"/>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Table </w:t>
      </w:r>
      <w:r>
        <w:rPr>
          <w:rFonts w:hint="eastAsia" w:ascii="Times New Roman" w:hAnsi="Times New Roman" w:cs="Times New Roman" w:eastAsiaTheme="minorEastAsia"/>
          <w:color w:val="000000" w:themeColor="text1"/>
          <w:sz w:val="24"/>
          <w:szCs w:val="24"/>
          <w14:textFill>
            <w14:solidFill>
              <w14:schemeClr w14:val="tx1"/>
            </w14:solidFill>
          </w14:textFill>
        </w:rPr>
        <w:t>S</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4</w:t>
      </w:r>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 CHP cost and performance parameters</w:t>
      </w:r>
      <w:bookmarkEnd w:id="7"/>
      <w:bookmarkEnd w:id="8"/>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147"/>
        <w:gridCol w:w="2637"/>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Borders>
              <w:top w:val="single" w:color="auto" w:sz="12" w:space="0"/>
              <w:left w:val="nil"/>
              <w:bottom w:val="single" w:color="000000" w:sz="12" w:space="0"/>
              <w:right w:val="nil"/>
            </w:tcBorders>
          </w:tcPr>
          <w:p>
            <w:pPr>
              <w:spacing w:line="260" w:lineRule="atLeas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CHP Cost and Performance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Unit Size</w:t>
            </w:r>
          </w:p>
        </w:tc>
        <w:tc>
          <w:tcPr>
            <w:tcW w:w="4784" w:type="dxa"/>
            <w:gridSpan w:val="2"/>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633</w:t>
            </w:r>
          </w:p>
        </w:tc>
        <w:tc>
          <w:tcPr>
            <w:tcW w:w="1269" w:type="dxa"/>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r>
              <w:rPr>
                <w:rFonts w:ascii="Times New Roman" w:hAnsi="Times New Roman" w:cs="Times New Roman"/>
                <w:color w:val="000000" w:themeColor="text1"/>
                <w:vertAlign w:val="subscript"/>
                <w14:textFill>
                  <w14:solidFill>
                    <w14:schemeClr w14:val="tx1"/>
                  </w14:solidFill>
                </w14:textFill>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tcBorders>
              <w:top w:val="nil"/>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Capital Cost</w:t>
            </w:r>
          </w:p>
        </w:tc>
        <w:tc>
          <w:tcPr>
            <w:tcW w:w="4784" w:type="dxa"/>
            <w:gridSpan w:val="2"/>
            <w:tcBorders>
              <w:top w:val="nil"/>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2837</w:t>
            </w:r>
          </w:p>
        </w:tc>
        <w:tc>
          <w:tcPr>
            <w:tcW w:w="1269" w:type="dxa"/>
            <w:tcBorders>
              <w:top w:val="nil"/>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Merge w:val="restart"/>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O&amp;M Cost</w:t>
            </w:r>
          </w:p>
        </w:tc>
        <w:tc>
          <w:tcPr>
            <w:tcW w:w="2147" w:type="dxa"/>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Proposed Method</w:t>
            </w:r>
          </w:p>
        </w:tc>
        <w:tc>
          <w:tcPr>
            <w:tcW w:w="2637" w:type="dxa"/>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0.042 (0 in verification)</w:t>
            </w:r>
          </w:p>
        </w:tc>
        <w:tc>
          <w:tcPr>
            <w:tcW w:w="1269" w:type="dxa"/>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r>
              <w:rPr>
                <w:rFonts w:ascii="Times New Roman" w:hAnsi="Times New Roman" w:cs="Times New Roman"/>
                <w:color w:val="000000" w:themeColor="text1"/>
                <w:vertAlign w:val="subscript"/>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Merge w:val="continue"/>
            <w:tcBorders>
              <w:top w:val="nil"/>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p>
        </w:tc>
        <w:tc>
          <w:tcPr>
            <w:tcW w:w="2147" w:type="dxa"/>
            <w:tcBorders>
              <w:top w:val="nil"/>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HOMER</w:t>
            </w:r>
          </w:p>
        </w:tc>
        <w:tc>
          <w:tcPr>
            <w:tcW w:w="2637" w:type="dxa"/>
            <w:tcBorders>
              <w:top w:val="nil"/>
              <w:left w:val="nil"/>
              <w:bottom w:val="single" w:color="000000" w:sz="12" w:space="0"/>
              <w:right w:val="nil"/>
            </w:tcBorders>
          </w:tcPr>
          <w:p>
            <w:pPr>
              <w:spacing w:line="260" w:lineRule="atLeast"/>
              <w:rPr>
                <w:rFonts w:ascii="Times New Roman" w:hAnsi="Times New Roman" w:cs="Times New Roman"/>
                <w:color w:val="000000" w:themeColor="text1"/>
                <w:lang w:val="en-AU"/>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0 </w:t>
            </w:r>
            <w:r>
              <w:rPr>
                <w:rFonts w:ascii="Times New Roman" w:hAnsi="Times New Roman" w:cs="Times New Roman"/>
                <w:color w:val="000000" w:themeColor="text1"/>
                <w:lang w:val="en-AU"/>
                <w14:textFill>
                  <w14:solidFill>
                    <w14:schemeClr w14:val="tx1"/>
                  </w14:solidFill>
                </w14:textFill>
              </w:rPr>
              <w:t xml:space="preserve">in </w:t>
            </w:r>
            <w:r>
              <w:rPr>
                <w:rFonts w:ascii="Times New Roman" w:hAnsi="Times New Roman" w:cs="Times New Roman"/>
                <w:color w:val="000000" w:themeColor="text1"/>
                <w14:textFill>
                  <w14:solidFill>
                    <w14:schemeClr w14:val="tx1"/>
                  </w14:solidFill>
                </w14:textFill>
              </w:rPr>
              <w:t>verification</w:t>
            </w:r>
            <w:r>
              <w:rPr>
                <w:rFonts w:ascii="Times New Roman" w:hAnsi="Times New Roman" w:cs="Times New Roman"/>
                <w:color w:val="000000" w:themeColor="text1"/>
                <w:lang w:val="en-AU"/>
                <w14:textFill>
                  <w14:solidFill>
                    <w14:schemeClr w14:val="tx1"/>
                  </w14:solidFill>
                </w14:textFill>
              </w:rPr>
              <w:t xml:space="preserve"> case</w:t>
            </w:r>
          </w:p>
        </w:tc>
        <w:tc>
          <w:tcPr>
            <w:tcW w:w="1269" w:type="dxa"/>
            <w:tcBorders>
              <w:top w:val="nil"/>
              <w:left w:val="nil"/>
              <w:bottom w:val="single" w:color="000000"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Electricity Efficiency</w:t>
            </w:r>
          </w:p>
        </w:tc>
        <w:tc>
          <w:tcPr>
            <w:tcW w:w="4784" w:type="dxa"/>
            <w:gridSpan w:val="2"/>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0.3445</w:t>
            </w:r>
          </w:p>
        </w:tc>
        <w:tc>
          <w:tcPr>
            <w:tcW w:w="1269" w:type="dxa"/>
            <w:tcBorders>
              <w:top w:val="single" w:color="000000"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Heat Efficiency</w:t>
            </w:r>
          </w:p>
        </w:tc>
        <w:tc>
          <w:tcPr>
            <w:tcW w:w="4784" w:type="dxa"/>
            <w:gridSpan w:val="2"/>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0.444</w:t>
            </w:r>
          </w:p>
        </w:tc>
        <w:tc>
          <w:tcPr>
            <w:tcW w:w="1269"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Merge w:val="restart"/>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Lifespan</w:t>
            </w:r>
          </w:p>
        </w:tc>
        <w:tc>
          <w:tcPr>
            <w:tcW w:w="2147"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Proposed Method</w:t>
            </w:r>
          </w:p>
        </w:tc>
        <w:tc>
          <w:tcPr>
            <w:tcW w:w="2637"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c>
          <w:tcPr>
            <w:tcW w:w="1269"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Years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Merge w:val="continue"/>
            <w:tcBorders>
              <w:top w:val="nil"/>
              <w:left w:val="nil"/>
              <w:bottom w:val="single" w:color="auto"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p>
        </w:tc>
        <w:tc>
          <w:tcPr>
            <w:tcW w:w="2147" w:type="dxa"/>
            <w:tcBorders>
              <w:top w:val="nil"/>
              <w:left w:val="nil"/>
              <w:bottom w:val="single" w:color="auto"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HOMER </w:t>
            </w:r>
          </w:p>
        </w:tc>
        <w:tc>
          <w:tcPr>
            <w:tcW w:w="2637" w:type="dxa"/>
            <w:tcBorders>
              <w:top w:val="nil"/>
              <w:left w:val="nil"/>
              <w:bottom w:val="single" w:color="auto"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60,000</w:t>
            </w:r>
          </w:p>
        </w:tc>
        <w:tc>
          <w:tcPr>
            <w:tcW w:w="1269" w:type="dxa"/>
            <w:tcBorders>
              <w:top w:val="nil"/>
              <w:left w:val="nil"/>
              <w:bottom w:val="single" w:color="auto" w:sz="12" w:space="0"/>
              <w:right w:val="nil"/>
            </w:tcBorders>
          </w:tcPr>
          <w:p>
            <w:pPr>
              <w:keepNext/>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Hours</w:t>
            </w:r>
          </w:p>
        </w:tc>
      </w:tr>
    </w:tbl>
    <w:p>
      <w:pPr>
        <w:pStyle w:val="3"/>
        <w:rPr>
          <w:rFonts w:ascii="Times New Roman" w:hAnsi="Times New Roman" w:cs="Times New Roman" w:eastAsiaTheme="minorEastAsia"/>
          <w:color w:val="000000" w:themeColor="text1"/>
          <w:sz w:val="24"/>
          <w:szCs w:val="24"/>
          <w:lang w:val="en-AU"/>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6</w:t>
      </w:r>
      <w:r>
        <w:rPr>
          <w:rFonts w:hint="eastAsia"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 Solar Panels</w:t>
      </w:r>
    </w:p>
    <w:p>
      <w:pPr>
        <w:spacing w:line="360" w:lineRule="auto"/>
        <w:ind w:firstLine="480" w:firstLineChars="200"/>
        <w:rPr>
          <w:rFonts w:ascii="Times New Roman" w:hAnsi="Times New Roman" w:cs="Times New Roman"/>
          <w:color w:val="000000" w:themeColor="text1"/>
          <w:sz w:val="24"/>
          <w:lang w:val="en-AU"/>
          <w14:textFill>
            <w14:solidFill>
              <w14:schemeClr w14:val="tx1"/>
            </w14:solidFill>
          </w14:textFill>
        </w:rPr>
      </w:pPr>
      <w:r>
        <w:rPr>
          <w:rFonts w:hint="eastAsia" w:ascii="Times New Roman" w:hAnsi="Times New Roman" w:cs="Times New Roman"/>
          <w:color w:val="000000" w:themeColor="text1"/>
          <w:sz w:val="24"/>
          <w:lang w:val="en-AU"/>
          <w14:textFill>
            <w14:solidFill>
              <w14:schemeClr w14:val="tx1"/>
            </w14:solidFill>
          </w14:textFill>
        </w:rPr>
        <w:t>For an on-site solar installation, the factory has a limited area available. In this study, the available area for renewable energy installation was 8000 m2. For the solar panel module selected for this project, the average installation density was 200W per meter square, which led to a maximum installation of 1600 kW of solar panel.</w:t>
      </w:r>
    </w:p>
    <w:p>
      <w:pPr>
        <w:spacing w:line="360" w:lineRule="auto"/>
        <w:ind w:firstLine="480" w:firstLineChars="200"/>
        <w:rPr>
          <w:rFonts w:ascii="Times New Roman" w:hAnsi="Times New Roman" w:cs="Times New Roman"/>
          <w:color w:val="000000" w:themeColor="text1"/>
          <w:sz w:val="24"/>
          <w:lang w:val="en-AU"/>
          <w14:textFill>
            <w14:solidFill>
              <w14:schemeClr w14:val="tx1"/>
            </w14:solidFill>
          </w14:textFill>
        </w:rPr>
      </w:pPr>
      <w:r>
        <w:rPr>
          <w:rFonts w:hint="eastAsia" w:ascii="Times New Roman" w:hAnsi="Times New Roman" w:cs="Times New Roman"/>
          <w:color w:val="000000" w:themeColor="text1"/>
          <w:sz w:val="24"/>
          <w:lang w:val="en-AU"/>
          <w14:textFill>
            <w14:solidFill>
              <w14:schemeClr w14:val="tx1"/>
            </w14:solidFill>
          </w14:textFill>
        </w:rPr>
        <w:t>For the installation setting of solar panel, the minimum installation unit size was assumed to be 10kW, which was equivalent to 50m2 of installation, about the size of installing solar panel as a full row same as the length of warehouse (around 30 m).</w:t>
      </w:r>
    </w:p>
    <w:p>
      <w:pPr>
        <w:pStyle w:val="6"/>
        <w:keepNext/>
        <w:jc w:val="center"/>
        <w:rPr>
          <w:rFonts w:ascii="Times New Roman" w:hAnsi="Times New Roman" w:cs="Times New Roman" w:eastAsiaTheme="minorEastAsia"/>
          <w:color w:val="000000" w:themeColor="text1"/>
          <w:sz w:val="24"/>
          <w:szCs w:val="24"/>
          <w:lang w:val="en-AU"/>
          <w14:textFill>
            <w14:solidFill>
              <w14:schemeClr w14:val="tx1"/>
            </w14:solidFill>
          </w14:textFill>
        </w:rPr>
      </w:pPr>
      <w:bookmarkStart w:id="9" w:name="_Toc176128156"/>
      <w:bookmarkStart w:id="10" w:name="_Toc155011262"/>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Table </w:t>
      </w:r>
      <w:r>
        <w:rPr>
          <w:rFonts w:hint="eastAsia" w:ascii="Times New Roman" w:hAnsi="Times New Roman" w:cs="Times New Roman" w:eastAsiaTheme="minorEastAsia"/>
          <w:color w:val="000000" w:themeColor="text1"/>
          <w:sz w:val="24"/>
          <w:szCs w:val="24"/>
          <w14:textFill>
            <w14:solidFill>
              <w14:schemeClr w14:val="tx1"/>
            </w14:solidFill>
          </w14:textFill>
        </w:rPr>
        <w:t>S</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5</w:t>
      </w:r>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 Solar panel cost and performance parameters</w:t>
      </w:r>
      <w:bookmarkEnd w:id="9"/>
      <w:bookmarkEnd w:id="10"/>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Borders>
              <w:top w:val="single" w:color="auto" w:sz="12" w:space="0"/>
              <w:left w:val="nil"/>
              <w:bottom w:val="single" w:color="auto" w:sz="12" w:space="0"/>
              <w:right w:val="nil"/>
            </w:tcBorders>
          </w:tcPr>
          <w:p>
            <w:pPr>
              <w:spacing w:line="260" w:lineRule="atLeas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Solar Panel Cost and Performance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auto"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Unit Size</w:t>
            </w:r>
          </w:p>
        </w:tc>
        <w:tc>
          <w:tcPr>
            <w:tcW w:w="2765" w:type="dxa"/>
            <w:tcBorders>
              <w:top w:val="single" w:color="auto"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c>
          <w:tcPr>
            <w:tcW w:w="2766" w:type="dxa"/>
            <w:tcBorders>
              <w:top w:val="single" w:color="auto"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Area Required</w:t>
            </w:r>
          </w:p>
        </w:tc>
        <w:tc>
          <w:tcPr>
            <w:tcW w:w="2765"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w:t>
            </w:r>
          </w:p>
        </w:tc>
        <w:tc>
          <w:tcPr>
            <w:tcW w:w="2766"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Capital Cost</w:t>
            </w:r>
          </w:p>
        </w:tc>
        <w:tc>
          <w:tcPr>
            <w:tcW w:w="2765"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2411</w:t>
            </w:r>
          </w:p>
        </w:tc>
        <w:tc>
          <w:tcPr>
            <w:tcW w:w="2766"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O&amp;M Cost</w:t>
            </w:r>
          </w:p>
        </w:tc>
        <w:tc>
          <w:tcPr>
            <w:tcW w:w="2765"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w:t>
            </w:r>
          </w:p>
        </w:tc>
        <w:tc>
          <w:tcPr>
            <w:tcW w:w="2766"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$/kW/year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nil"/>
              <w:left w:val="nil"/>
              <w:bottom w:val="single" w:color="auto"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Lifespan</w:t>
            </w:r>
          </w:p>
        </w:tc>
        <w:tc>
          <w:tcPr>
            <w:tcW w:w="2765" w:type="dxa"/>
            <w:tcBorders>
              <w:top w:val="nil"/>
              <w:left w:val="nil"/>
              <w:bottom w:val="single" w:color="auto"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w:t>
            </w:r>
          </w:p>
        </w:tc>
        <w:tc>
          <w:tcPr>
            <w:tcW w:w="2766" w:type="dxa"/>
            <w:tcBorders>
              <w:top w:val="nil"/>
              <w:left w:val="nil"/>
              <w:bottom w:val="single" w:color="auto" w:sz="12" w:space="0"/>
              <w:right w:val="nil"/>
            </w:tcBorders>
          </w:tcPr>
          <w:p>
            <w:pPr>
              <w:keepNext/>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Years</w:t>
            </w:r>
          </w:p>
        </w:tc>
      </w:tr>
    </w:tbl>
    <w:p>
      <w:pPr>
        <w:pStyle w:val="3"/>
        <w:rPr>
          <w:rFonts w:ascii="Times New Roman" w:hAnsi="Times New Roman" w:cs="Times New Roman" w:eastAsiaTheme="minorEastAsia"/>
          <w:color w:val="000000" w:themeColor="text1"/>
          <w:sz w:val="24"/>
          <w:szCs w:val="24"/>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7</w:t>
      </w:r>
      <w:r>
        <w:rPr>
          <w:rFonts w:hint="eastAsia" w:ascii="Times New Roman" w:hAnsi="Times New Roman" w:cs="Times New Roman" w:eastAsiaTheme="minorEastAsia"/>
          <w:color w:val="000000" w:themeColor="text1"/>
          <w:sz w:val="24"/>
          <w:szCs w:val="24"/>
          <w14:textFill>
            <w14:solidFill>
              <w14:schemeClr w14:val="tx1"/>
            </w14:solidFill>
          </w14:textFill>
        </w:rPr>
        <w:t>. Wind Turbine</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The selected wind turbine to be used in this case has a unit size of 600 kW, with hub height of 60 m. The unit size of wind turbine is highly related to the rotor diameter, which leads to a higher hub height. In actual applications, this could be further limited by other constraints from government requirements to others. Based on the total area available for renewable facility installation, and the area required for each wind turbine (5000 m</w:t>
      </w:r>
      <w:r>
        <w:rPr>
          <w:rFonts w:hint="eastAsia" w:ascii="Times New Roman" w:hAnsi="Times New Roman" w:cs="Times New Roman"/>
          <w:color w:val="000000" w:themeColor="text1"/>
          <w:sz w:val="24"/>
          <w:vertAlign w:val="superscript"/>
          <w14:textFill>
            <w14:solidFill>
              <w14:schemeClr w14:val="tx1"/>
            </w14:solidFill>
          </w14:textFill>
        </w:rPr>
        <w:t>2</w:t>
      </w:r>
      <w:r>
        <w:rPr>
          <w:rFonts w:hint="eastAsia" w:ascii="Times New Roman" w:hAnsi="Times New Roman" w:cs="Times New Roman"/>
          <w:color w:val="000000" w:themeColor="text1"/>
          <w:sz w:val="24"/>
          <w14:textFill>
            <w14:solidFill>
              <w14:schemeClr w14:val="tx1"/>
            </w14:solidFill>
          </w14:textFill>
        </w:rPr>
        <w:t xml:space="preserve"> for current model), the maximum installation of wind turbine was 1, and no further installation was allowed to be added.</w:t>
      </w:r>
    </w:p>
    <w:p>
      <w:pPr>
        <w:pStyle w:val="6"/>
        <w:keepNext/>
        <w:jc w:val="center"/>
        <w:rPr>
          <w:rFonts w:ascii="Times New Roman" w:hAnsi="Times New Roman" w:cs="Times New Roman" w:eastAsiaTheme="minorEastAsia"/>
          <w:color w:val="000000" w:themeColor="text1"/>
          <w:sz w:val="24"/>
          <w:szCs w:val="24"/>
          <w:lang w:val="en-AU"/>
          <w14:textFill>
            <w14:solidFill>
              <w14:schemeClr w14:val="tx1"/>
            </w14:solidFill>
          </w14:textFill>
        </w:rPr>
      </w:pPr>
      <w:bookmarkStart w:id="11" w:name="_Toc176128157"/>
      <w:bookmarkStart w:id="12" w:name="_Toc155011263"/>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Table </w:t>
      </w:r>
      <w:r>
        <w:rPr>
          <w:rFonts w:hint="eastAsia" w:ascii="Times New Roman" w:hAnsi="Times New Roman" w:cs="Times New Roman" w:eastAsiaTheme="minorEastAsia"/>
          <w:color w:val="000000" w:themeColor="text1"/>
          <w:sz w:val="24"/>
          <w:szCs w:val="24"/>
          <w14:textFill>
            <w14:solidFill>
              <w14:schemeClr w14:val="tx1"/>
            </w14:solidFill>
          </w14:textFill>
        </w:rPr>
        <w:t>S</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6</w:t>
      </w:r>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 Wind turbine cost and performance parameters</w:t>
      </w:r>
      <w:bookmarkEnd w:id="11"/>
      <w:bookmarkEnd w:id="1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Borders>
              <w:top w:val="single" w:color="auto" w:sz="12" w:space="0"/>
              <w:left w:val="nil"/>
              <w:bottom w:val="single" w:color="auto" w:sz="12" w:space="0"/>
              <w:right w:val="nil"/>
            </w:tcBorders>
          </w:tcPr>
          <w:p>
            <w:pPr>
              <w:spacing w:line="260" w:lineRule="atLeas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Wind Turbine Cost and Performance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auto"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Unit Size</w:t>
            </w:r>
          </w:p>
        </w:tc>
        <w:tc>
          <w:tcPr>
            <w:tcW w:w="2765" w:type="dxa"/>
            <w:tcBorders>
              <w:top w:val="single" w:color="auto"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w:t>
            </w:r>
          </w:p>
        </w:tc>
        <w:tc>
          <w:tcPr>
            <w:tcW w:w="2766" w:type="dxa"/>
            <w:tcBorders>
              <w:top w:val="single" w:color="auto" w:sz="12" w:space="0"/>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Hub Height</w:t>
            </w:r>
          </w:p>
        </w:tc>
        <w:tc>
          <w:tcPr>
            <w:tcW w:w="2765"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w:t>
            </w:r>
          </w:p>
        </w:tc>
        <w:tc>
          <w:tcPr>
            <w:tcW w:w="2766"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Area Required</w:t>
            </w:r>
          </w:p>
        </w:tc>
        <w:tc>
          <w:tcPr>
            <w:tcW w:w="2765"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5000</w:t>
            </w:r>
          </w:p>
        </w:tc>
        <w:tc>
          <w:tcPr>
            <w:tcW w:w="2766"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Capital Cost</w:t>
            </w:r>
          </w:p>
        </w:tc>
        <w:tc>
          <w:tcPr>
            <w:tcW w:w="2765"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2078</w:t>
            </w:r>
          </w:p>
        </w:tc>
        <w:tc>
          <w:tcPr>
            <w:tcW w:w="2766"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O&amp;M Cost</w:t>
            </w:r>
          </w:p>
        </w:tc>
        <w:tc>
          <w:tcPr>
            <w:tcW w:w="2765"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20.78</w:t>
            </w:r>
          </w:p>
        </w:tc>
        <w:tc>
          <w:tcPr>
            <w:tcW w:w="2766" w:type="dxa"/>
            <w:tcBorders>
              <w:top w:val="nil"/>
              <w:left w:val="nil"/>
              <w:bottom w:val="nil"/>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$/kW/year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nil"/>
              <w:left w:val="nil"/>
              <w:bottom w:val="single" w:color="auto"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Lifespan</w:t>
            </w:r>
          </w:p>
        </w:tc>
        <w:tc>
          <w:tcPr>
            <w:tcW w:w="2765" w:type="dxa"/>
            <w:tcBorders>
              <w:top w:val="nil"/>
              <w:left w:val="nil"/>
              <w:bottom w:val="single" w:color="auto" w:sz="12" w:space="0"/>
              <w:right w:val="nil"/>
            </w:tcBorders>
          </w:tcPr>
          <w:p>
            <w:pPr>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w:t>
            </w:r>
          </w:p>
        </w:tc>
        <w:tc>
          <w:tcPr>
            <w:tcW w:w="2766" w:type="dxa"/>
            <w:tcBorders>
              <w:top w:val="nil"/>
              <w:left w:val="nil"/>
              <w:bottom w:val="single" w:color="auto" w:sz="12" w:space="0"/>
              <w:right w:val="nil"/>
            </w:tcBorders>
          </w:tcPr>
          <w:p>
            <w:pPr>
              <w:keepNext/>
              <w:spacing w:line="260" w:lineRule="atLeas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Years</w:t>
            </w:r>
          </w:p>
        </w:tc>
      </w:tr>
    </w:tbl>
    <w:p>
      <w:pPr>
        <w:ind w:firstLine="420"/>
        <w:rPr>
          <w:color w:val="000000" w:themeColor="text1"/>
          <w14:textFill>
            <w14:solidFill>
              <w14:schemeClr w14:val="tx1"/>
            </w14:solidFill>
          </w14:textFill>
        </w:rPr>
      </w:pPr>
    </w:p>
    <w:p>
      <w:pPr>
        <w:pStyle w:val="2"/>
        <w:rPr>
          <w:rFonts w:ascii="Times New Roman" w:hAnsi="Times New Roman" w:cs="Times New Roman" w:eastAsiaTheme="minorEastAsia"/>
          <w:b/>
          <w:bCs/>
          <w:color w:val="000000" w:themeColor="text1"/>
          <w:sz w:val="24"/>
          <w:szCs w:val="24"/>
          <w14:textFill>
            <w14:solidFill>
              <w14:schemeClr w14:val="tx1"/>
            </w14:solidFill>
          </w14:textFill>
        </w:rPr>
      </w:pPr>
      <w:r>
        <w:rPr>
          <w:rFonts w:hint="eastAsia" w:ascii="Times New Roman" w:hAnsi="Times New Roman" w:cs="Times New Roman" w:eastAsiaTheme="minorEastAsia"/>
          <w:b/>
          <w:bCs/>
          <w:color w:val="000000" w:themeColor="text1"/>
          <w:sz w:val="24"/>
          <w:szCs w:val="24"/>
          <w14:textFill>
            <w14:solidFill>
              <w14:schemeClr w14:val="tx1"/>
            </w14:solidFill>
          </w14:textFill>
        </w:rPr>
        <w:t xml:space="preserve">S2. </w:t>
      </w:r>
      <w:r>
        <w:rPr>
          <w:rFonts w:hint="eastAsia" w:ascii="Times New Roman" w:hAnsi="Times New Roman" w:cs="Times New Roman" w:eastAsiaTheme="minorEastAsia"/>
          <w:b/>
          <w:bCs/>
          <w:color w:val="000000" w:themeColor="text1"/>
          <w:sz w:val="24"/>
          <w:szCs w:val="24"/>
          <w:lang w:val="en-AU"/>
          <w14:textFill>
            <w14:solidFill>
              <w14:schemeClr w14:val="tx1"/>
            </w14:solidFill>
          </w14:textFill>
        </w:rPr>
        <w:t xml:space="preserve">Demand details of </w:t>
      </w:r>
      <w:r>
        <w:rPr>
          <w:rFonts w:hint="eastAsia" w:ascii="Times New Roman" w:hAnsi="Times New Roman" w:cs="Times New Roman" w:eastAsiaTheme="minorEastAsia"/>
          <w:b/>
          <w:bCs/>
          <w:color w:val="000000" w:themeColor="text1"/>
          <w:sz w:val="24"/>
          <w:szCs w:val="24"/>
          <w14:textFill>
            <w14:solidFill>
              <w14:schemeClr w14:val="tx1"/>
            </w14:solidFill>
          </w14:textFill>
        </w:rPr>
        <w:t>the validation case</w:t>
      </w:r>
    </w:p>
    <w:p>
      <w:pPr>
        <w:spacing w:line="360" w:lineRule="auto"/>
        <w:ind w:firstLine="480" w:firstLineChars="200"/>
        <w:rPr>
          <w:rFonts w:ascii="Times New Roman" w:hAnsi="Times New Roman" w:cs="Times New Roman"/>
          <w:color w:val="000000" w:themeColor="text1"/>
          <w:sz w:val="24"/>
          <w:lang w:val="en-AU"/>
          <w14:textFill>
            <w14:solidFill>
              <w14:schemeClr w14:val="tx1"/>
            </w14:solidFill>
          </w14:textFill>
        </w:rPr>
      </w:pPr>
      <w:r>
        <w:rPr>
          <w:rFonts w:hint="eastAsia" w:ascii="Times New Roman" w:hAnsi="Times New Roman" w:cs="Times New Roman"/>
          <w:color w:val="000000" w:themeColor="text1"/>
          <w:sz w:val="24"/>
          <w:lang w:val="en-AU"/>
          <w14:textFill>
            <w14:solidFill>
              <w14:schemeClr w14:val="tx1"/>
            </w14:solidFill>
          </w14:textFill>
        </w:rPr>
        <w:t>The demand was analy</w:t>
      </w:r>
      <w:r>
        <w:rPr>
          <w:rFonts w:hint="eastAsia" w:ascii="Times New Roman" w:hAnsi="Times New Roman" w:cs="Times New Roman"/>
          <w:color w:val="000000" w:themeColor="text1"/>
          <w:sz w:val="24"/>
          <w14:textFill>
            <w14:solidFill>
              <w14:schemeClr w14:val="tx1"/>
            </w14:solidFill>
          </w14:textFill>
        </w:rPr>
        <w:t>z</w:t>
      </w:r>
      <w:r>
        <w:rPr>
          <w:rFonts w:hint="eastAsia" w:ascii="Times New Roman" w:hAnsi="Times New Roman" w:cs="Times New Roman"/>
          <w:color w:val="000000" w:themeColor="text1"/>
          <w:sz w:val="24"/>
          <w:lang w:val="en-AU"/>
          <w14:textFill>
            <w14:solidFill>
              <w14:schemeClr w14:val="tx1"/>
            </w14:solidFill>
          </w14:textFill>
        </w:rPr>
        <w:t xml:space="preserve">ed and assumed to be distributed evenly among the year, with the demand power shown </w:t>
      </w:r>
      <w:r>
        <w:rPr>
          <w:rFonts w:hint="eastAsia" w:ascii="Times New Roman" w:hAnsi="Times New Roman" w:cs="Times New Roman"/>
          <w:color w:val="000000" w:themeColor="text1"/>
          <w:sz w:val="24"/>
          <w14:textFill>
            <w14:solidFill>
              <w14:schemeClr w14:val="tx1"/>
            </w14:solidFill>
          </w14:textFill>
        </w:rPr>
        <w:t>in Table S</w:t>
      </w:r>
      <w:r>
        <w:rPr>
          <w:rFonts w:hint="eastAsia" w:ascii="Times New Roman" w:hAnsi="Times New Roman" w:cs="Times New Roman"/>
          <w:color w:val="000000" w:themeColor="text1"/>
          <w:sz w:val="24"/>
          <w:lang w:val="en-US" w:eastAsia="zh-CN"/>
          <w14:textFill>
            <w14:solidFill>
              <w14:schemeClr w14:val="tx1"/>
            </w14:solidFill>
          </w14:textFill>
        </w:rPr>
        <w:t>7</w:t>
      </w:r>
      <w:r>
        <w:rPr>
          <w:rFonts w:hint="eastAsia" w:ascii="Times New Roman" w:hAnsi="Times New Roman" w:cs="Times New Roman"/>
          <w:color w:val="000000" w:themeColor="text1"/>
          <w:sz w:val="24"/>
          <w:lang w:val="en-AU"/>
          <w14:textFill>
            <w14:solidFill>
              <w14:schemeClr w14:val="tx1"/>
            </w14:solidFill>
          </w14:textFill>
        </w:rPr>
        <w:t>:</w:t>
      </w:r>
    </w:p>
    <w:p>
      <w:pPr>
        <w:pStyle w:val="6"/>
        <w:keepNext/>
        <w:spacing w:line="360" w:lineRule="auto"/>
        <w:jc w:val="center"/>
        <w:rPr>
          <w:rFonts w:ascii="Times New Roman" w:hAnsi="Times New Roman" w:cs="Times New Roman" w:eastAsiaTheme="minorEastAsia"/>
          <w:color w:val="000000" w:themeColor="text1"/>
          <w:sz w:val="24"/>
          <w:szCs w:val="24"/>
          <w:lang w:val="en-AU"/>
          <w14:textFill>
            <w14:solidFill>
              <w14:schemeClr w14:val="tx1"/>
            </w14:solidFill>
          </w14:textFill>
        </w:rPr>
      </w:pPr>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Table </w:t>
      </w:r>
      <w:r>
        <w:rPr>
          <w:rFonts w:hint="eastAsia" w:ascii="Times New Roman" w:hAnsi="Times New Roman" w:cs="Times New Roman" w:eastAsiaTheme="minorEastAsia"/>
          <w:color w:val="000000" w:themeColor="text1"/>
          <w:sz w:val="24"/>
          <w:szCs w:val="24"/>
          <w14:textFill>
            <w14:solidFill>
              <w14:schemeClr w14:val="tx1"/>
            </w14:solidFill>
          </w14:textFill>
        </w:rPr>
        <w:t>S</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7</w:t>
      </w:r>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 Demand details of </w:t>
      </w:r>
      <w:r>
        <w:rPr>
          <w:rFonts w:hint="eastAsia" w:ascii="Times New Roman" w:hAnsi="Times New Roman" w:cs="Times New Roman" w:eastAsiaTheme="minorEastAsia"/>
          <w:b w:val="0"/>
          <w:bCs w:val="0"/>
          <w:color w:val="000000" w:themeColor="text1"/>
          <w:sz w:val="24"/>
          <w:szCs w:val="24"/>
          <w:lang w:val="en-AU"/>
          <w14:textFill>
            <w14:solidFill>
              <w14:schemeClr w14:val="tx1"/>
            </w14:solidFill>
          </w14:textFill>
        </w:rPr>
        <w:t>validation</w:t>
      </w:r>
      <w:r>
        <w:rPr>
          <w:rFonts w:hint="eastAsia" w:ascii="Times New Roman" w:hAnsi="Times New Roman" w:cs="Times New Roman" w:eastAsiaTheme="minorEastAsia"/>
          <w:color w:val="000000" w:themeColor="text1"/>
          <w:sz w:val="24"/>
          <w:szCs w:val="24"/>
          <w:lang w:val="en-AU"/>
          <w14:textFill>
            <w14:solidFill>
              <w14:schemeClr w14:val="tx1"/>
            </w14:solidFill>
          </w14:textFill>
        </w:rPr>
        <w:t xml:space="preserve"> case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268"/>
        <w:gridCol w:w="1984"/>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gridSpan w:val="2"/>
            <w:tcBorders>
              <w:top w:val="single" w:color="auto" w:sz="12" w:space="0"/>
              <w:left w:val="nil"/>
              <w:bottom w:val="single" w:color="000000" w:sz="12" w:space="0"/>
              <w:right w:val="nil"/>
            </w:tcBorders>
          </w:tcPr>
          <w:p>
            <w:pPr>
              <w:spacing w:line="260" w:lineRule="atLeast"/>
              <w:rPr>
                <w:rFonts w:ascii="Times New Roman" w:hAnsi="Times New Roman" w:cs="Times New Roman"/>
                <w:b/>
                <w:bCs/>
                <w:color w:val="000000"/>
              </w:rPr>
            </w:pPr>
            <w:r>
              <w:rPr>
                <w:rFonts w:ascii="Times New Roman" w:hAnsi="Times New Roman" w:cs="Times New Roman"/>
                <w:b/>
                <w:bCs/>
                <w:color w:val="000000"/>
              </w:rPr>
              <w:t>Demand Type</w:t>
            </w:r>
          </w:p>
        </w:tc>
        <w:tc>
          <w:tcPr>
            <w:tcW w:w="1984" w:type="dxa"/>
            <w:tcBorders>
              <w:top w:val="single" w:color="auto" w:sz="12" w:space="0"/>
              <w:left w:val="nil"/>
              <w:bottom w:val="single" w:color="000000" w:sz="12" w:space="0"/>
              <w:right w:val="nil"/>
            </w:tcBorders>
          </w:tcPr>
          <w:p>
            <w:pPr>
              <w:spacing w:line="260" w:lineRule="atLeast"/>
              <w:rPr>
                <w:rFonts w:ascii="Times New Roman" w:hAnsi="Times New Roman" w:cs="Times New Roman"/>
                <w:b/>
                <w:bCs/>
                <w:color w:val="000000"/>
              </w:rPr>
            </w:pPr>
            <w:r>
              <w:rPr>
                <w:rFonts w:ascii="Times New Roman" w:hAnsi="Times New Roman" w:cs="Times New Roman"/>
                <w:b/>
                <w:bCs/>
                <w:color w:val="000000"/>
              </w:rPr>
              <w:t>Average Power</w:t>
            </w:r>
          </w:p>
        </w:tc>
        <w:tc>
          <w:tcPr>
            <w:tcW w:w="1922" w:type="dxa"/>
            <w:tcBorders>
              <w:top w:val="single" w:color="auto" w:sz="12" w:space="0"/>
              <w:left w:val="nil"/>
              <w:bottom w:val="single" w:color="000000" w:sz="12" w:space="0"/>
              <w:right w:val="nil"/>
            </w:tcBorders>
          </w:tcPr>
          <w:p>
            <w:pPr>
              <w:spacing w:line="260" w:lineRule="atLeast"/>
              <w:rPr>
                <w:rFonts w:ascii="Times New Roman" w:hAnsi="Times New Roman" w:cs="Times New Roman"/>
                <w:b/>
                <w:bCs/>
                <w:color w:val="000000"/>
              </w:rPr>
            </w:pPr>
            <w:r>
              <w:rPr>
                <w:rFonts w:ascii="Times New Roman" w:hAnsi="Times New Roman" w:cs="Times New Roman"/>
                <w:b/>
                <w:bCs/>
                <w:color w:val="000000"/>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gridSpan w:val="2"/>
            <w:tcBorders>
              <w:top w:val="single" w:color="000000" w:sz="12" w:space="0"/>
              <w:left w:val="nil"/>
              <w:bottom w:val="nil"/>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Electricity Demand</w:t>
            </w:r>
          </w:p>
        </w:tc>
        <w:tc>
          <w:tcPr>
            <w:tcW w:w="1984" w:type="dxa"/>
            <w:tcBorders>
              <w:top w:val="single" w:color="000000" w:sz="12" w:space="0"/>
              <w:left w:val="nil"/>
              <w:bottom w:val="nil"/>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2730</w:t>
            </w:r>
          </w:p>
        </w:tc>
        <w:tc>
          <w:tcPr>
            <w:tcW w:w="1922" w:type="dxa"/>
            <w:tcBorders>
              <w:top w:val="single" w:color="000000" w:sz="12" w:space="0"/>
              <w:left w:val="nil"/>
              <w:bottom w:val="nil"/>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gridSpan w:val="2"/>
            <w:tcBorders>
              <w:top w:val="nil"/>
              <w:left w:val="nil"/>
              <w:bottom w:val="nil"/>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Heat Demand</w:t>
            </w:r>
          </w:p>
        </w:tc>
        <w:tc>
          <w:tcPr>
            <w:tcW w:w="1984" w:type="dxa"/>
            <w:tcBorders>
              <w:top w:val="nil"/>
              <w:left w:val="nil"/>
              <w:bottom w:val="nil"/>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1800</w:t>
            </w:r>
          </w:p>
        </w:tc>
        <w:tc>
          <w:tcPr>
            <w:tcW w:w="1922" w:type="dxa"/>
            <w:tcBorders>
              <w:top w:val="nil"/>
              <w:left w:val="nil"/>
              <w:bottom w:val="nil"/>
              <w:right w:val="nil"/>
            </w:tcBorders>
          </w:tcPr>
          <w:p>
            <w:pPr>
              <w:keepNext/>
              <w:spacing w:line="260" w:lineRule="atLeast"/>
              <w:rPr>
                <w:rFonts w:ascii="Times New Roman" w:hAnsi="Times New Roman" w:cs="Times New Roman"/>
                <w:color w:val="000000"/>
              </w:rPr>
            </w:pPr>
            <w:r>
              <w:rPr>
                <w:rFonts w:ascii="Times New Roman" w:hAnsi="Times New Roman" w:cs="Times New Roman"/>
                <w:color w:val="000000"/>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nil"/>
              <w:left w:val="nil"/>
              <w:bottom w:val="nil"/>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Variation in Homer</w:t>
            </w:r>
          </w:p>
        </w:tc>
        <w:tc>
          <w:tcPr>
            <w:tcW w:w="2268" w:type="dxa"/>
            <w:tcBorders>
              <w:top w:val="nil"/>
              <w:left w:val="nil"/>
              <w:bottom w:val="nil"/>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Between timesteps</w:t>
            </w:r>
          </w:p>
        </w:tc>
        <w:tc>
          <w:tcPr>
            <w:tcW w:w="1984" w:type="dxa"/>
            <w:tcBorders>
              <w:top w:val="nil"/>
              <w:left w:val="nil"/>
              <w:bottom w:val="nil"/>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10</w:t>
            </w:r>
          </w:p>
        </w:tc>
        <w:tc>
          <w:tcPr>
            <w:tcW w:w="1922" w:type="dxa"/>
            <w:tcBorders>
              <w:top w:val="nil"/>
              <w:left w:val="nil"/>
              <w:bottom w:val="nil"/>
              <w:right w:val="nil"/>
            </w:tcBorders>
          </w:tcPr>
          <w:p>
            <w:pPr>
              <w:keepNext/>
              <w:spacing w:line="260" w:lineRule="atLeast"/>
              <w:rPr>
                <w:rFonts w:ascii="Times New Roman" w:hAnsi="Times New Roman" w:cs="Times New Roman"/>
                <w:color w:val="000000"/>
              </w:rPr>
            </w:pPr>
            <w:r>
              <w:rPr>
                <w:rFonts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nil"/>
              <w:left w:val="nil"/>
              <w:bottom w:val="nil"/>
              <w:right w:val="nil"/>
            </w:tcBorders>
          </w:tcPr>
          <w:p>
            <w:pPr>
              <w:spacing w:line="260" w:lineRule="atLeast"/>
              <w:rPr>
                <w:rFonts w:ascii="Times New Roman" w:hAnsi="Times New Roman" w:cs="Times New Roman"/>
                <w:color w:val="000000"/>
              </w:rPr>
            </w:pPr>
          </w:p>
        </w:tc>
        <w:tc>
          <w:tcPr>
            <w:tcW w:w="2268" w:type="dxa"/>
            <w:tcBorders>
              <w:top w:val="nil"/>
              <w:left w:val="nil"/>
              <w:bottom w:val="nil"/>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Day-to-day</w:t>
            </w:r>
          </w:p>
        </w:tc>
        <w:tc>
          <w:tcPr>
            <w:tcW w:w="1984" w:type="dxa"/>
            <w:tcBorders>
              <w:top w:val="nil"/>
              <w:left w:val="nil"/>
              <w:bottom w:val="nil"/>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10</w:t>
            </w:r>
          </w:p>
        </w:tc>
        <w:tc>
          <w:tcPr>
            <w:tcW w:w="1922" w:type="dxa"/>
            <w:tcBorders>
              <w:top w:val="nil"/>
              <w:left w:val="nil"/>
              <w:bottom w:val="nil"/>
              <w:right w:val="nil"/>
            </w:tcBorders>
          </w:tcPr>
          <w:p>
            <w:pPr>
              <w:keepNext/>
              <w:spacing w:line="260" w:lineRule="atLeast"/>
              <w:rPr>
                <w:rFonts w:ascii="Times New Roman" w:hAnsi="Times New Roman" w:cs="Times New Roman"/>
                <w:color w:val="000000"/>
              </w:rPr>
            </w:pPr>
            <w:r>
              <w:rPr>
                <w:rFonts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nil"/>
              <w:left w:val="nil"/>
              <w:bottom w:val="nil"/>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Variation in Proposed Method</w:t>
            </w:r>
          </w:p>
        </w:tc>
        <w:tc>
          <w:tcPr>
            <w:tcW w:w="2268" w:type="dxa"/>
            <w:tcBorders>
              <w:top w:val="nil"/>
              <w:left w:val="nil"/>
              <w:bottom w:val="nil"/>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Between timesteps</w:t>
            </w:r>
          </w:p>
        </w:tc>
        <w:tc>
          <w:tcPr>
            <w:tcW w:w="1984" w:type="dxa"/>
            <w:tcBorders>
              <w:top w:val="nil"/>
              <w:left w:val="nil"/>
              <w:bottom w:val="nil"/>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0</w:t>
            </w:r>
          </w:p>
        </w:tc>
        <w:tc>
          <w:tcPr>
            <w:tcW w:w="1922" w:type="dxa"/>
            <w:tcBorders>
              <w:top w:val="nil"/>
              <w:left w:val="nil"/>
              <w:bottom w:val="nil"/>
              <w:right w:val="nil"/>
            </w:tcBorders>
          </w:tcPr>
          <w:p>
            <w:pPr>
              <w:keepNext/>
              <w:spacing w:line="260" w:lineRule="atLeast"/>
              <w:rPr>
                <w:rFonts w:ascii="Times New Roman" w:hAnsi="Times New Roman" w:cs="Times New Roman"/>
                <w:color w:val="000000"/>
              </w:rPr>
            </w:pPr>
            <w:r>
              <w:rPr>
                <w:rFonts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nil"/>
              <w:left w:val="nil"/>
              <w:bottom w:val="single" w:color="auto" w:sz="12" w:space="0"/>
              <w:right w:val="nil"/>
            </w:tcBorders>
          </w:tcPr>
          <w:p>
            <w:pPr>
              <w:spacing w:line="260" w:lineRule="atLeast"/>
              <w:rPr>
                <w:rFonts w:ascii="Times New Roman" w:hAnsi="Times New Roman" w:cs="Times New Roman"/>
                <w:color w:val="000000"/>
              </w:rPr>
            </w:pPr>
          </w:p>
        </w:tc>
        <w:tc>
          <w:tcPr>
            <w:tcW w:w="2268" w:type="dxa"/>
            <w:tcBorders>
              <w:top w:val="nil"/>
              <w:left w:val="nil"/>
              <w:bottom w:val="single" w:color="auto" w:sz="12" w:space="0"/>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Day-to-day</w:t>
            </w:r>
          </w:p>
        </w:tc>
        <w:tc>
          <w:tcPr>
            <w:tcW w:w="1984" w:type="dxa"/>
            <w:tcBorders>
              <w:top w:val="nil"/>
              <w:left w:val="nil"/>
              <w:bottom w:val="single" w:color="auto" w:sz="12" w:space="0"/>
              <w:right w:val="nil"/>
            </w:tcBorders>
          </w:tcPr>
          <w:p>
            <w:pPr>
              <w:spacing w:line="260" w:lineRule="atLeast"/>
              <w:rPr>
                <w:rFonts w:ascii="Times New Roman" w:hAnsi="Times New Roman" w:cs="Times New Roman"/>
                <w:color w:val="000000"/>
              </w:rPr>
            </w:pPr>
            <w:r>
              <w:rPr>
                <w:rFonts w:ascii="Times New Roman" w:hAnsi="Times New Roman" w:cs="Times New Roman"/>
                <w:color w:val="000000"/>
              </w:rPr>
              <w:t>0</w:t>
            </w:r>
          </w:p>
        </w:tc>
        <w:tc>
          <w:tcPr>
            <w:tcW w:w="1922" w:type="dxa"/>
            <w:tcBorders>
              <w:top w:val="nil"/>
              <w:left w:val="nil"/>
              <w:bottom w:val="single" w:color="auto" w:sz="12" w:space="0"/>
              <w:right w:val="nil"/>
            </w:tcBorders>
          </w:tcPr>
          <w:p>
            <w:pPr>
              <w:keepNext/>
              <w:spacing w:line="260" w:lineRule="atLeast"/>
              <w:rPr>
                <w:rFonts w:ascii="Times New Roman" w:hAnsi="Times New Roman" w:cs="Times New Roman"/>
                <w:color w:val="000000"/>
              </w:rPr>
            </w:pPr>
            <w:r>
              <w:rPr>
                <w:rFonts w:ascii="Times New Roman" w:hAnsi="Times New Roman" w:cs="Times New Roman"/>
                <w:color w:val="000000"/>
              </w:rPr>
              <w:t>%</w:t>
            </w:r>
          </w:p>
        </w:tc>
      </w:tr>
    </w:tbl>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val="en-AU"/>
          <w14:textFill>
            <w14:solidFill>
              <w14:schemeClr w14:val="tx1"/>
            </w14:solidFill>
          </w14:textFill>
        </w:rPr>
        <w:t>The lifespan of CHP units was based on previous technology specification</w:t>
      </w:r>
      <w:r>
        <w:rPr>
          <w:rFonts w:hint="eastAsia" w:ascii="Times New Roman" w:hAnsi="Times New Roman" w:cs="Times New Roman"/>
          <w:color w:val="000000" w:themeColor="text1"/>
          <w:sz w:val="24"/>
          <w:lang w:val="en-AU"/>
          <w14:textFill>
            <w14:solidFill>
              <w14:schemeClr w14:val="tx1"/>
            </w14:solidFill>
          </w14:textFill>
        </w:rPr>
        <w:fldChar w:fldCharType="begin"/>
      </w:r>
      <w:r>
        <w:rPr>
          <w:rFonts w:hint="eastAsia" w:ascii="Times New Roman" w:hAnsi="Times New Roman" w:cs="Times New Roman"/>
          <w:color w:val="000000" w:themeColor="text1"/>
          <w:sz w:val="24"/>
          <w:lang w:val="en-AU" w:eastAsia="zh-CN"/>
          <w14:textFill>
            <w14:solidFill>
              <w14:schemeClr w14:val="tx1"/>
            </w14:solidFill>
          </w14:textFill>
        </w:rPr>
        <w:instrText xml:space="preserve"> ADDIN  EN.CITE &lt;EndNote&gt;&lt;Cite&gt;&lt;Author&gt;Epa&lt;/Author&gt;&lt;Year&gt;2015&lt;/Year&gt;&lt;RecNum&gt;68&lt;/RecNum&gt;&lt;DisplayText&gt;&lt;style face="superscript"&gt;1&lt;/style&gt;&lt;/DisplayText&gt;&lt;record&gt;&lt;rec-number&gt;68&lt;/rec-number&gt;&lt;foreign-keys&gt;&lt;key app="EN" db-id="sfzt2wesbfxzteefxxhvve9029wxa59dr9e9" timestamp="1748690494"&gt;68&lt;/key&gt;&lt;/foreign-keys&gt;&lt;ref-type name="Journal Article"&gt;17&lt;/ref-type&gt;&lt;contributors&gt;&lt;authors&gt;&lt;author&gt;Epa, US&lt;/author&gt;&lt;/authors&gt;&lt;/contributors&gt;&lt;titles&gt;&lt;title&gt;Catalog of CHP technologies&lt;/title&gt;&lt;secondary-title&gt;The US Environmental Protection Agency: Washington, DC, USA&lt;/secondary-title&gt;&lt;/titles&gt;&lt;periodical&gt;&lt;full-title&gt;The US Environmental Protection Agency: Washington, DC, USA&lt;/full-title&gt;&lt;/periodical&gt;&lt;dates&gt;&lt;year&gt;2015&lt;/year&gt;&lt;/dates&gt;&lt;urls&gt;&lt;/urls&gt;&lt;/record&gt;&lt;/Cite&gt;&lt;/EndNote&gt;</w:instrText>
      </w:r>
      <w:r>
        <w:rPr>
          <w:rFonts w:hint="eastAsia" w:ascii="Times New Roman" w:hAnsi="Times New Roman" w:cs="Times New Roman"/>
          <w:color w:val="000000" w:themeColor="text1"/>
          <w:sz w:val="24"/>
          <w:lang w:val="en-AU"/>
          <w14:textFill>
            <w14:solidFill>
              <w14:schemeClr w14:val="tx1"/>
            </w14:solidFill>
          </w14:textFill>
        </w:rPr>
        <w:fldChar w:fldCharType="separate"/>
      </w:r>
      <w:r>
        <w:rPr>
          <w:rFonts w:hint="eastAsia" w:ascii="Times New Roman" w:hAnsi="Times New Roman" w:cs="Times New Roman" w:eastAsiaTheme="minorEastAsia"/>
          <w:color w:val="000000" w:themeColor="text1"/>
          <w:kern w:val="2"/>
          <w:sz w:val="24"/>
          <w:szCs w:val="24"/>
          <w:vertAlign w:val="superscript"/>
          <w:lang w:val="en-AU" w:eastAsia="zh-CN" w:bidi="ar-SA"/>
          <w14:textFill>
            <w14:solidFill>
              <w14:schemeClr w14:val="tx1"/>
            </w14:solidFill>
          </w14:textFill>
        </w:rPr>
        <w:t>1</w:t>
      </w:r>
      <w:r>
        <w:rPr>
          <w:rFonts w:hint="eastAsia" w:ascii="Times New Roman" w:hAnsi="Times New Roman" w:cs="Times New Roman"/>
          <w:color w:val="000000" w:themeColor="text1"/>
          <w:sz w:val="24"/>
          <w:lang w:val="en-AU"/>
          <w14:textFill>
            <w14:solidFill>
              <w14:schemeClr w14:val="tx1"/>
            </w14:solidFill>
          </w14:textFill>
        </w:rPr>
        <w:fldChar w:fldCharType="end"/>
      </w:r>
      <w:r>
        <w:rPr>
          <w:rFonts w:hint="eastAsia" w:ascii="Times New Roman" w:hAnsi="Times New Roman" w:cs="Times New Roman"/>
          <w:color w:val="000000" w:themeColor="text1"/>
          <w:sz w:val="24"/>
          <w:lang w:val="en-AU"/>
          <w14:textFill>
            <w14:solidFill>
              <w14:schemeClr w14:val="tx1"/>
            </w14:solidFill>
          </w14:textFill>
        </w:rPr>
        <w:t>, which was 10 years and 60,000 hours for each model.</w:t>
      </w:r>
      <w:r>
        <w:rPr>
          <w:rFonts w:hint="eastAsia" w:ascii="Times New Roman" w:hAnsi="Times New Roman" w:cs="Times New Roman"/>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lang w:val="en-AU"/>
          <w14:textFill>
            <w14:solidFill>
              <w14:schemeClr w14:val="tx1"/>
            </w14:solidFill>
          </w14:textFill>
        </w:rPr>
        <w:t>For the solar panel module selected for this project, the average installation density was 200W per meter square, which led to a maximum installation of 1600 kW of solar panel.</w:t>
      </w:r>
      <w:r>
        <w:rPr>
          <w:rFonts w:hint="eastAsia" w:ascii="Times New Roman" w:hAnsi="Times New Roman" w:cs="Times New Roman"/>
          <w:color w:val="000000" w:themeColor="text1"/>
          <w:sz w:val="24"/>
          <w14:textFill>
            <w14:solidFill>
              <w14:schemeClr w14:val="tx1"/>
            </w14:solidFill>
          </w14:textFill>
        </w:rPr>
        <w:t xml:space="preserve"> Based on the total area available for renewable facility installation, and the area required for each wind turbine (5000 m</w:t>
      </w:r>
      <w:r>
        <w:rPr>
          <w:rFonts w:hint="eastAsia" w:ascii="Times New Roman" w:hAnsi="Times New Roman" w:cs="Times New Roman"/>
          <w:color w:val="000000" w:themeColor="text1"/>
          <w:sz w:val="24"/>
          <w:vertAlign w:val="superscript"/>
          <w14:textFill>
            <w14:solidFill>
              <w14:schemeClr w14:val="tx1"/>
            </w14:solidFill>
          </w14:textFill>
        </w:rPr>
        <w:t>2</w:t>
      </w:r>
      <w:r>
        <w:rPr>
          <w:rFonts w:hint="eastAsia" w:ascii="Times New Roman" w:hAnsi="Times New Roman" w:cs="Times New Roman"/>
          <w:color w:val="000000" w:themeColor="text1"/>
          <w:sz w:val="24"/>
          <w14:textFill>
            <w14:solidFill>
              <w14:schemeClr w14:val="tx1"/>
            </w14:solidFill>
          </w14:textFill>
        </w:rPr>
        <w:t xml:space="preserve"> for current model), the maximum installation of wind turbine was 1, and no further installation was allowed to be added.</w:t>
      </w:r>
    </w:p>
    <w:p>
      <w:pPr>
        <w:pStyle w:val="3"/>
        <w:rPr>
          <w:rFonts w:eastAsiaTheme="minorEastAsia"/>
        </w:rPr>
      </w:pPr>
      <w:r>
        <w:rPr>
          <w:rFonts w:hint="eastAsia" w:ascii="Times New Roman" w:hAnsi="Times New Roman" w:cs="Times New Roman" w:eastAsiaTheme="minorEastAsia"/>
          <w:b/>
          <w:bCs/>
          <w:sz w:val="24"/>
          <w:szCs w:val="24"/>
        </w:rPr>
        <w:t>S3</w:t>
      </w:r>
      <w:r>
        <w:rPr>
          <w:rFonts w:hint="eastAsia" w:ascii="Times New Roman" w:hAnsi="Times New Roman" w:cs="Times New Roman" w:eastAsiaTheme="minorEastAsia"/>
          <w:b/>
          <w:bCs/>
          <w:sz w:val="24"/>
          <w:szCs w:val="24"/>
          <w:lang w:val="en-AU"/>
        </w:rPr>
        <w:t xml:space="preserve"> Limitation and Constraints</w:t>
      </w:r>
      <w:r>
        <w:rPr>
          <w:rFonts w:hint="eastAsia" w:ascii="Times New Roman" w:hAnsi="Times New Roman" w:cs="Times New Roman" w:eastAsiaTheme="minorEastAsia"/>
          <w:b/>
          <w:bCs/>
          <w:sz w:val="24"/>
          <w:szCs w:val="24"/>
        </w:rPr>
        <w:t xml:space="preserve"> of </w:t>
      </w:r>
      <w:r>
        <w:rPr>
          <w:rFonts w:hint="eastAsia" w:ascii="Times New Roman" w:hAnsi="Times New Roman" w:cs="Times New Roman" w:eastAsiaTheme="minorEastAsia"/>
          <w:b/>
          <w:bCs/>
          <w:color w:val="000000" w:themeColor="text1"/>
          <w:sz w:val="24"/>
          <w:szCs w:val="24"/>
          <w14:textFill>
            <w14:solidFill>
              <w14:schemeClr w14:val="tx1"/>
            </w14:solidFill>
          </w14:textFill>
        </w:rPr>
        <w:t>the validation case</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The last thing before heading into the actual sizing was to determine several constraints. Two constraints were considered in this case. The area constraint limited the maximum installation of supply facilities, and the renewable energy constraints limited the renewable penetration of both renewable electricity and renewable heat.</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 Area Constraint</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In the proposed method, the installation of renewable facilities must stay in the maximum area available in the project. In the current project, the area is 8000 m2, which assisted defining the solution space of the optimization problem. The constraint was controlled by applying penalty if excess installation was observed. However, HOMER does not support the automatic application of this constraint. Therefore, this constraint was only used to define the maximum installation of renewable facilities individually, and the penalty for excess installation in the proposed method was set as zero in the verification case.</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 Renewable Energy Constraints</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 xml:space="preserve">The renewable energy portion constraints limit the maximum usage of renewable electricity and renewable heat in the entire energy usage profile. The limitation comes from various sources. For renewable heat, the main limitation is from the heat quality requirement. By calculating the enthalpy of the working fluid of renewable heat source based on the temperature and pressure, the maximum supply potential could be evaluated. Comparing with the enthalpy of required process temperature and pressure, the maximum portion of renewable heat in the entire heat supply profile could be calculated. The gap would be supplied by either gas boiler or other direct heating facilities. </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bookmarkStart w:id="13" w:name="_Hlk202717316"/>
      <w:r>
        <w:rPr>
          <w:rFonts w:hint="eastAsia" w:ascii="Times New Roman" w:hAnsi="Times New Roman" w:cs="Times New Roman"/>
          <w:color w:val="000000" w:themeColor="text1"/>
          <w:sz w:val="24"/>
          <w14:textFill>
            <w14:solidFill>
              <w14:schemeClr w14:val="tx1"/>
            </w14:solidFill>
          </w14:textFill>
        </w:rPr>
        <w:t>For renewable electricity, high renewable penetration could lead to several problems. Intermittent renewable generation requires local grid or other support facilities to cover the gap between generation and demand. It could be limited by energy suppliers to maintain a stable grid supply. In addition, the export of excess generation is limited as well, com</w:t>
      </w:r>
      <w:bookmarkEnd w:id="13"/>
      <w:r>
        <w:rPr>
          <w:rFonts w:hint="eastAsia" w:ascii="Times New Roman" w:hAnsi="Times New Roman" w:cs="Times New Roman"/>
          <w:color w:val="000000" w:themeColor="text1"/>
          <w:sz w:val="24"/>
          <w14:textFill>
            <w14:solidFill>
              <w14:schemeClr w14:val="tx1"/>
            </w14:solidFill>
          </w14:textFill>
        </w:rPr>
        <w:t>monly known as export limit. These limitations maintain the stability of the grid while allowing the renewable generation facilities to reduce the energy cost of the factory. These two parameters will be investigated in later sections. The RE ratio and RH ratio was set as one in current case, which could maximum allow full replacement of grid usage in this case.</w:t>
      </w:r>
    </w:p>
    <w:p>
      <w:pPr>
        <w:pStyle w:val="3"/>
        <w:rPr>
          <w:rFonts w:eastAsiaTheme="minorEastAsia"/>
        </w:rPr>
      </w:pPr>
      <w:r>
        <w:rPr>
          <w:rFonts w:hint="eastAsia" w:ascii="Times New Roman" w:hAnsi="Times New Roman" w:cs="Times New Roman" w:eastAsiaTheme="minorEastAsia"/>
          <w:b/>
          <w:bCs/>
          <w:sz w:val="24"/>
          <w:szCs w:val="24"/>
        </w:rPr>
        <w:t>S4 Optimization result under fixed installation</w:t>
      </w:r>
    </w:p>
    <w:p>
      <w:pPr>
        <w:spacing w:line="360" w:lineRule="auto"/>
        <w:ind w:firstLine="480" w:firstLineChars="200"/>
        <w:jc w:val="both"/>
        <w:rPr>
          <w:rFonts w:hint="eastAsia" w:ascii="Times New Roman" w:hAnsi="Times New Roman" w:cs="Times New Roman"/>
          <w:color w:val="000000" w:themeColor="text1"/>
          <w:sz w:val="24"/>
          <w14:textFill>
            <w14:solidFill>
              <w14:schemeClr w14:val="tx1"/>
            </w14:solidFill>
          </w14:textFill>
        </w:rPr>
      </w:pPr>
      <w:bookmarkStart w:id="17" w:name="_GoBack"/>
      <w:r>
        <w:rPr>
          <w:rFonts w:hint="eastAsia" w:ascii="Times New Roman" w:hAnsi="Times New Roman" w:cs="Times New Roman"/>
          <w:color w:val="000000" w:themeColor="text1"/>
          <w:sz w:val="24"/>
          <w14:textFill>
            <w14:solidFill>
              <w14:schemeClr w14:val="tx1"/>
            </w14:solidFill>
          </w14:textFill>
        </w:rPr>
        <w:t xml:space="preserve">The fixed installation optimized the case with dynamic installation feature removed. </w:t>
      </w:r>
      <w:r>
        <w:rPr>
          <w:rFonts w:ascii="Times New Roman" w:hAnsi="Times New Roman" w:cs="Times New Roman"/>
          <w:color w:val="000000" w:themeColor="text1"/>
          <w:sz w:val="24"/>
          <w14:textFill>
            <w14:solidFill>
              <w14:schemeClr w14:val="tx1"/>
            </w14:solidFill>
          </w14:textFill>
        </w:rPr>
        <w:t>T</w:t>
      </w:r>
      <w:r>
        <w:rPr>
          <w:rFonts w:hint="eastAsia" w:ascii="Times New Roman" w:hAnsi="Times New Roman" w:cs="Times New Roman"/>
          <w:color w:val="000000" w:themeColor="text1"/>
          <w:sz w:val="24"/>
          <w14:textFill>
            <w14:solidFill>
              <w14:schemeClr w14:val="tx1"/>
            </w14:solidFill>
          </w14:textFill>
        </w:rPr>
        <w:t xml:space="preserve">he result suggested 1600 kW of solar panel, and 26 units of CHP. </w:t>
      </w:r>
      <w:r>
        <w:rPr>
          <w:rFonts w:ascii="Times New Roman" w:hAnsi="Times New Roman" w:cs="Times New Roman"/>
          <w:color w:val="000000" w:themeColor="text1"/>
          <w:sz w:val="24"/>
          <w14:textFill>
            <w14:solidFill>
              <w14:schemeClr w14:val="tx1"/>
            </w14:solidFill>
          </w14:textFill>
        </w:rPr>
        <w:t>A</w:t>
      </w:r>
      <w:r>
        <w:rPr>
          <w:rFonts w:hint="eastAsia" w:ascii="Times New Roman" w:hAnsi="Times New Roman" w:cs="Times New Roman"/>
          <w:color w:val="000000" w:themeColor="text1"/>
          <w:sz w:val="24"/>
          <w14:textFill>
            <w14:solidFill>
              <w14:schemeClr w14:val="tx1"/>
            </w14:solidFill>
          </w14:textFill>
        </w:rPr>
        <w:t xml:space="preserve">t year 11, the CHP units need to be renewed as it comes to the end of facility lifespan. </w:t>
      </w:r>
      <w:r>
        <w:rPr>
          <w:rFonts w:ascii="Times New Roman" w:hAnsi="Times New Roman" w:cs="Times New Roman"/>
          <w:color w:val="000000" w:themeColor="text1"/>
          <w:sz w:val="24"/>
          <w14:textFill>
            <w14:solidFill>
              <w14:schemeClr w14:val="tx1"/>
            </w14:solidFill>
          </w14:textFill>
        </w:rPr>
        <w:t>T</w:t>
      </w:r>
      <w:r>
        <w:rPr>
          <w:rFonts w:hint="eastAsia" w:ascii="Times New Roman" w:hAnsi="Times New Roman" w:cs="Times New Roman"/>
          <w:color w:val="000000" w:themeColor="text1"/>
          <w:sz w:val="24"/>
          <w14:textFill>
            <w14:solidFill>
              <w14:schemeClr w14:val="tx1"/>
            </w14:solidFill>
          </w14:textFill>
        </w:rPr>
        <w:t xml:space="preserve">he CHP capex took a large portion of the total cost as seen from figure S2. </w:t>
      </w:r>
      <w:r>
        <w:rPr>
          <w:rFonts w:ascii="Times New Roman" w:hAnsi="Times New Roman" w:cs="Times New Roman"/>
          <w:color w:val="000000" w:themeColor="text1"/>
          <w:sz w:val="24"/>
          <w14:textFill>
            <w14:solidFill>
              <w14:schemeClr w14:val="tx1"/>
            </w14:solidFill>
          </w14:textFill>
        </w:rPr>
        <w:t>T</w:t>
      </w:r>
      <w:r>
        <w:rPr>
          <w:rFonts w:hint="eastAsia" w:ascii="Times New Roman" w:hAnsi="Times New Roman" w:cs="Times New Roman"/>
          <w:color w:val="000000" w:themeColor="text1"/>
          <w:sz w:val="24"/>
          <w14:textFill>
            <w14:solidFill>
              <w14:schemeClr w14:val="tx1"/>
            </w14:solidFill>
          </w14:textFill>
        </w:rPr>
        <w:t xml:space="preserve">his option provided a total cost of 258.44 million USD among 20 years, with a simple payback time of 4 years. </w:t>
      </w:r>
    </w:p>
    <w:bookmarkEnd w:id="17"/>
    <w:p>
      <w:pPr>
        <w:jc w:val="center"/>
      </w:pPr>
      <w:r>
        <w:drawing>
          <wp:inline distT="0" distB="0" distL="114300" distR="114300">
            <wp:extent cx="4322445" cy="3310255"/>
            <wp:effectExtent l="0" t="0" r="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5"/>
                    <a:stretch>
                      <a:fillRect/>
                    </a:stretch>
                  </pic:blipFill>
                  <pic:spPr>
                    <a:xfrm>
                      <a:off x="0" y="0"/>
                      <a:ext cx="4322445" cy="3310255"/>
                    </a:xfrm>
                    <a:prstGeom prst="rect">
                      <a:avLst/>
                    </a:prstGeom>
                  </pic:spPr>
                </pic:pic>
              </a:graphicData>
            </a:graphic>
          </wp:inline>
        </w:drawing>
      </w:r>
    </w:p>
    <w:p>
      <w:pPr>
        <w:spacing w:line="360" w:lineRule="auto"/>
        <w:ind w:firstLine="480" w:firstLineChars="200"/>
        <w:jc w:val="center"/>
        <w:rPr>
          <w:rFonts w:hint="eastAsia"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Figure S1 Total cost vs. BAU cost of fixed installation</w:t>
      </w:r>
    </w:p>
    <w:p>
      <w:pPr>
        <w:jc w:val="center"/>
      </w:pPr>
      <w:r>
        <w:drawing>
          <wp:inline distT="0" distB="0" distL="114300" distR="114300">
            <wp:extent cx="4322445" cy="3306445"/>
            <wp:effectExtent l="0" t="0" r="0" b="0"/>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6"/>
                    <a:stretch>
                      <a:fillRect/>
                    </a:stretch>
                  </pic:blipFill>
                  <pic:spPr>
                    <a:xfrm>
                      <a:off x="0" y="0"/>
                      <a:ext cx="4322445" cy="3306445"/>
                    </a:xfrm>
                    <a:prstGeom prst="rect">
                      <a:avLst/>
                    </a:prstGeom>
                  </pic:spPr>
                </pic:pic>
              </a:graphicData>
            </a:graphic>
          </wp:inline>
        </w:drawing>
      </w:r>
    </w:p>
    <w:p>
      <w:pPr>
        <w:spacing w:line="360" w:lineRule="auto"/>
        <w:ind w:firstLine="480" w:firstLineChars="200"/>
        <w:jc w:val="center"/>
        <w:rPr>
          <w:rFonts w:hint="eastAsia"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Figure S2 Yearly cash flow of fixed installation</w:t>
      </w:r>
    </w:p>
    <w:p>
      <w:pPr>
        <w:spacing w:line="360" w:lineRule="auto"/>
        <w:ind w:firstLine="480" w:firstLineChars="200"/>
        <w:jc w:val="both"/>
        <w:rPr>
          <w:rFonts w:hint="eastAsia"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O</w:t>
      </w:r>
      <w:r>
        <w:rPr>
          <w:rFonts w:hint="eastAsia" w:ascii="Times New Roman" w:hAnsi="Times New Roman" w:cs="Times New Roman"/>
          <w:color w:val="000000" w:themeColor="text1"/>
          <w:sz w:val="24"/>
          <w14:textFill>
            <w14:solidFill>
              <w14:schemeClr w14:val="tx1"/>
            </w14:solidFill>
          </w14:textFill>
        </w:rPr>
        <w:t xml:space="preserve">ther than the CHP capex in year 1 and year 11, the major cost came from CHP opex, mainly the fuel cost. </w:t>
      </w:r>
      <w:r>
        <w:rPr>
          <w:rFonts w:ascii="Times New Roman" w:hAnsi="Times New Roman" w:cs="Times New Roman"/>
          <w:color w:val="000000" w:themeColor="text1"/>
          <w:sz w:val="24"/>
          <w14:textFill>
            <w14:solidFill>
              <w14:schemeClr w14:val="tx1"/>
            </w14:solidFill>
          </w14:textFill>
        </w:rPr>
        <w:t>G</w:t>
      </w:r>
      <w:r>
        <w:rPr>
          <w:rFonts w:hint="eastAsia" w:ascii="Times New Roman" w:hAnsi="Times New Roman" w:cs="Times New Roman"/>
          <w:color w:val="000000" w:themeColor="text1"/>
          <w:sz w:val="24"/>
          <w14:textFill>
            <w14:solidFill>
              <w14:schemeClr w14:val="tx1"/>
            </w14:solidFill>
          </w14:textFill>
        </w:rPr>
        <w:t xml:space="preserve">rid cost is greater than the gas cost, demonstrated that the power to heat ratio of the demand is higher than the CHP output. </w:t>
      </w:r>
      <w:r>
        <w:rPr>
          <w:rFonts w:ascii="Times New Roman" w:hAnsi="Times New Roman" w:cs="Times New Roman"/>
          <w:color w:val="000000" w:themeColor="text1"/>
          <w:sz w:val="24"/>
          <w14:textFill>
            <w14:solidFill>
              <w14:schemeClr w14:val="tx1"/>
            </w14:solidFill>
          </w14:textFill>
        </w:rPr>
        <w:t>F</w:t>
      </w:r>
      <w:r>
        <w:rPr>
          <w:rFonts w:hint="eastAsia" w:ascii="Times New Roman" w:hAnsi="Times New Roman" w:cs="Times New Roman"/>
          <w:color w:val="000000" w:themeColor="text1"/>
          <w:sz w:val="24"/>
          <w14:textFill>
            <w14:solidFill>
              <w14:schemeClr w14:val="tx1"/>
            </w14:solidFill>
          </w14:textFill>
        </w:rPr>
        <w:t>urthermore, this also demonstrated that the CHP is having cost advantage when both electricity and heat output were used directly, and the economical performance was less attractive when only electricity output could be utilized (excess heat output was released directly). This was also demonstrated in the energy usage details in figure S3.</w:t>
      </w:r>
    </w:p>
    <w:p>
      <w:pPr>
        <w:spacing w:line="360" w:lineRule="auto"/>
        <w:ind w:firstLine="0" w:firstLineChars="0"/>
        <w:jc w:val="both"/>
        <w:rPr>
          <w:rFonts w:hint="eastAsia" w:ascii="Times New Roman" w:hAnsi="Times New Roman" w:cs="Times New Roman"/>
          <w:color w:val="000000" w:themeColor="text1"/>
          <w:sz w:val="24"/>
          <w14:textFill>
            <w14:solidFill>
              <w14:schemeClr w14:val="tx1"/>
            </w14:solidFill>
          </w14:textFill>
        </w:rPr>
      </w:pPr>
      <w:r>
        <w:drawing>
          <wp:inline distT="0" distB="0" distL="114300" distR="114300">
            <wp:extent cx="5562600" cy="3513455"/>
            <wp:effectExtent l="0" t="0" r="0" b="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7"/>
                    <a:stretch>
                      <a:fillRect/>
                    </a:stretch>
                  </pic:blipFill>
                  <pic:spPr>
                    <a:xfrm>
                      <a:off x="0" y="0"/>
                      <a:ext cx="5562600" cy="3513455"/>
                    </a:xfrm>
                    <a:prstGeom prst="rect">
                      <a:avLst/>
                    </a:prstGeom>
                  </pic:spPr>
                </pic:pic>
              </a:graphicData>
            </a:graphic>
          </wp:inline>
        </w:drawing>
      </w:r>
    </w:p>
    <w:p>
      <w:pPr>
        <w:spacing w:line="360" w:lineRule="auto"/>
        <w:ind w:firstLine="480" w:firstLineChars="200"/>
        <w:jc w:val="center"/>
        <w:rPr>
          <w:rFonts w:hint="eastAsia"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 xml:space="preserve">Figure S3 </w:t>
      </w:r>
      <w:r>
        <w:rPr>
          <w:rFonts w:hint="eastAsia" w:ascii="Times New Roman" w:hAnsi="Times New Roman" w:cs="Times New Roman"/>
          <w:color w:val="000000" w:themeColor="text1"/>
          <w:sz w:val="24"/>
          <w:highlight w:val="none"/>
          <w:lang w:val="en-US" w:eastAsia="zh-CN"/>
          <w14:textFill>
            <w14:solidFill>
              <w14:schemeClr w14:val="tx1"/>
            </w14:solidFill>
          </w14:textFill>
        </w:rPr>
        <w:t>E</w:t>
      </w:r>
      <w:r>
        <w:rPr>
          <w:rFonts w:hint="eastAsia" w:ascii="Times New Roman" w:hAnsi="Times New Roman" w:cs="Times New Roman"/>
          <w:color w:val="000000" w:themeColor="text1"/>
          <w:sz w:val="24"/>
          <w:highlight w:val="none"/>
          <w14:textFill>
            <w14:solidFill>
              <w14:schemeClr w14:val="tx1"/>
            </w14:solidFill>
          </w14:textFill>
        </w:rPr>
        <w:t>nergy usage detail</w:t>
      </w:r>
      <w:r>
        <w:rPr>
          <w:rFonts w:hint="eastAsia"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sz w:val="24"/>
          <w:lang w:val="en-US" w:eastAsia="zh-CN"/>
          <w14:textFill>
            <w14:solidFill>
              <w14:schemeClr w14:val="tx1"/>
            </w14:solidFill>
          </w14:textFill>
        </w:rPr>
        <w:t>(a)</w:t>
      </w:r>
      <w:r>
        <w:rPr>
          <w:rFonts w:hint="eastAsia" w:ascii="Times New Roman" w:hAnsi="Times New Roman" w:cs="Times New Roman"/>
          <w:color w:val="000000" w:themeColor="text1"/>
          <w:sz w:val="24"/>
          <w14:textFill>
            <w14:solidFill>
              <w14:schemeClr w14:val="tx1"/>
            </w14:solidFill>
          </w14:textFill>
        </w:rPr>
        <w:t xml:space="preserve">Energy usage of the industrial park; (b) Electricity usage details; (c) </w:t>
      </w:r>
      <w:bookmarkStart w:id="14" w:name="_Toc136532744"/>
      <w:bookmarkStart w:id="15" w:name="_Toc176128117"/>
      <w:bookmarkStart w:id="16" w:name="_Toc155011190"/>
      <w:r>
        <w:rPr>
          <w:rFonts w:hint="eastAsia" w:ascii="Times New Roman" w:hAnsi="Times New Roman" w:cs="Times New Roman"/>
          <w:color w:val="000000" w:themeColor="text1"/>
          <w:sz w:val="24"/>
          <w14:textFill>
            <w14:solidFill>
              <w14:schemeClr w14:val="tx1"/>
            </w14:solidFill>
          </w14:textFill>
        </w:rPr>
        <w:t xml:space="preserve">Heat usage details of </w:t>
      </w:r>
      <w:bookmarkEnd w:id="14"/>
      <w:bookmarkEnd w:id="15"/>
      <w:bookmarkEnd w:id="16"/>
      <w:r>
        <w:rPr>
          <w:rFonts w:hint="eastAsia" w:ascii="Times New Roman" w:hAnsi="Times New Roman" w:cs="Times New Roman"/>
          <w:color w:val="000000" w:themeColor="text1"/>
          <w:sz w:val="24"/>
          <w14:textFill>
            <w14:solidFill>
              <w14:schemeClr w14:val="tx1"/>
            </w14:solidFill>
          </w14:textFill>
        </w:rPr>
        <w:t>fixed installation</w:t>
      </w:r>
    </w:p>
    <w:p>
      <w:pPr>
        <w:spacing w:line="360" w:lineRule="auto"/>
        <w:ind w:firstLine="480" w:firstLineChars="200"/>
        <w:jc w:val="both"/>
        <w:rPr>
          <w:rFonts w:hint="eastAsia"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A</w:t>
      </w:r>
      <w:r>
        <w:rPr>
          <w:rFonts w:hint="eastAsia" w:ascii="Times New Roman" w:hAnsi="Times New Roman" w:cs="Times New Roman"/>
          <w:color w:val="000000" w:themeColor="text1"/>
          <w:sz w:val="24"/>
          <w14:textFill>
            <w14:solidFill>
              <w14:schemeClr w14:val="tx1"/>
            </w14:solidFill>
          </w14:textFill>
        </w:rPr>
        <w:t xml:space="preserve">s the CHP is having significant cost performance advantage, the majority of the demand was fulfilled by CHP output, covering both electricity and cooling demand. However, at year 20, the demand could not be fulfilled by the CHP output, showed more grid and gas usage comparing to previous years. </w:t>
      </w:r>
      <w:r>
        <w:rPr>
          <w:rFonts w:ascii="Times New Roman" w:hAnsi="Times New Roman" w:cs="Times New Roman"/>
          <w:color w:val="000000" w:themeColor="text1"/>
          <w:sz w:val="24"/>
          <w14:textFill>
            <w14:solidFill>
              <w14:schemeClr w14:val="tx1"/>
            </w14:solidFill>
          </w14:textFill>
        </w:rPr>
        <w:t>T</w:t>
      </w:r>
      <w:r>
        <w:rPr>
          <w:rFonts w:hint="eastAsia" w:ascii="Times New Roman" w:hAnsi="Times New Roman" w:cs="Times New Roman"/>
          <w:color w:val="000000" w:themeColor="text1"/>
          <w:sz w:val="24"/>
          <w14:textFill>
            <w14:solidFill>
              <w14:schemeClr w14:val="tx1"/>
            </w14:solidFill>
          </w14:textFill>
        </w:rPr>
        <w:t xml:space="preserve">he was the main drawback of the fixed installation optimization, as it could not trace the changing demand dynamically. </w:t>
      </w:r>
      <w:r>
        <w:rPr>
          <w:rFonts w:ascii="Times New Roman" w:hAnsi="Times New Roman" w:cs="Times New Roman"/>
          <w:color w:val="000000" w:themeColor="text1"/>
          <w:sz w:val="24"/>
          <w14:textFill>
            <w14:solidFill>
              <w14:schemeClr w14:val="tx1"/>
            </w14:solidFill>
          </w14:textFill>
        </w:rPr>
        <w:t>T</w:t>
      </w:r>
      <w:r>
        <w:rPr>
          <w:rFonts w:hint="eastAsia" w:ascii="Times New Roman" w:hAnsi="Times New Roman" w:cs="Times New Roman"/>
          <w:color w:val="000000" w:themeColor="text1"/>
          <w:sz w:val="24"/>
          <w14:textFill>
            <w14:solidFill>
              <w14:schemeClr w14:val="tx1"/>
            </w14:solidFill>
          </w14:textFill>
        </w:rPr>
        <w:t xml:space="preserve">he optimization result must made </w:t>
      </w:r>
      <w:r>
        <w:rPr>
          <w:rFonts w:ascii="Times New Roman" w:hAnsi="Times New Roman" w:cs="Times New Roman"/>
          <w:color w:val="000000" w:themeColor="text1"/>
          <w:sz w:val="24"/>
          <w14:textFill>
            <w14:solidFill>
              <w14:schemeClr w14:val="tx1"/>
            </w14:solidFill>
          </w14:textFill>
        </w:rPr>
        <w:t>decision</w:t>
      </w:r>
      <w:r>
        <w:rPr>
          <w:rFonts w:hint="eastAsia" w:ascii="Times New Roman" w:hAnsi="Times New Roman" w:cs="Times New Roman"/>
          <w:color w:val="000000" w:themeColor="text1"/>
          <w:sz w:val="24"/>
          <w14:textFill>
            <w14:solidFill>
              <w14:schemeClr w14:val="tx1"/>
            </w14:solidFill>
          </w14:textFill>
        </w:rPr>
        <w:t xml:space="preserve"> from either over capacity in most years or less capacity in later years. In this case, the CHP units had good economical performance, such that the capacity was planed such that over capacity took place in most of the project time. </w:t>
      </w:r>
      <w:r>
        <w:rPr>
          <w:rFonts w:ascii="Times New Roman" w:hAnsi="Times New Roman" w:cs="Times New Roman"/>
          <w:color w:val="000000" w:themeColor="text1"/>
          <w:sz w:val="24"/>
          <w14:textFill>
            <w14:solidFill>
              <w14:schemeClr w14:val="tx1"/>
            </w14:solidFill>
          </w14:textFill>
        </w:rPr>
        <w:t>T</w:t>
      </w:r>
      <w:r>
        <w:rPr>
          <w:rFonts w:hint="eastAsia" w:ascii="Times New Roman" w:hAnsi="Times New Roman" w:cs="Times New Roman"/>
          <w:color w:val="000000" w:themeColor="text1"/>
          <w:sz w:val="24"/>
          <w14:textFill>
            <w14:solidFill>
              <w14:schemeClr w14:val="tx1"/>
            </w14:solidFill>
          </w14:textFill>
        </w:rPr>
        <w:t xml:space="preserve">his also led to less utilization rate of the CHP units, and </w:t>
      </w:r>
      <w:r>
        <w:rPr>
          <w:rFonts w:ascii="Times New Roman" w:hAnsi="Times New Roman" w:cs="Times New Roman"/>
          <w:color w:val="000000" w:themeColor="text1"/>
          <w:sz w:val="24"/>
          <w14:textFill>
            <w14:solidFill>
              <w14:schemeClr w14:val="tx1"/>
            </w14:solidFill>
          </w14:textFill>
        </w:rPr>
        <w:t>unnecessary</w:t>
      </w:r>
      <w:r>
        <w:rPr>
          <w:rFonts w:hint="eastAsia" w:ascii="Times New Roman" w:hAnsi="Times New Roman" w:cs="Times New Roman"/>
          <w:color w:val="000000" w:themeColor="text1"/>
          <w:sz w:val="24"/>
          <w14:textFill>
            <w14:solidFill>
              <w14:schemeClr w14:val="tx1"/>
            </w14:solidFill>
          </w14:textFill>
        </w:rPr>
        <w:t xml:space="preserve"> replacement cost of less utilized CHP units.</w:t>
      </w:r>
    </w:p>
    <w:p>
      <w:pPr>
        <w:jc w:val="center"/>
        <w:rPr>
          <w:rFonts w:hint="eastAsia" w:eastAsiaTheme="minorEastAsia"/>
          <w:color w:val="000000" w:themeColor="text1"/>
          <w:lang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8946319"/>
    </w:sdtPr>
    <w:sdtEndPr>
      <w:rPr>
        <w:rFonts w:ascii="Times New Roman" w:hAnsi="Times New Roman" w:cs="Times New Roman"/>
        <w:sz w:val="21"/>
        <w:szCs w:val="21"/>
      </w:rPr>
    </w:sdtEndPr>
    <w:sdtContent>
      <w:p>
        <w:pPr>
          <w:pStyle w:val="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64E8178F"/>
    <w:rsid w:val="000362F1"/>
    <w:rsid w:val="00076C94"/>
    <w:rsid w:val="001A0BEF"/>
    <w:rsid w:val="00277526"/>
    <w:rsid w:val="0028206B"/>
    <w:rsid w:val="002A4CA4"/>
    <w:rsid w:val="0034083E"/>
    <w:rsid w:val="003B297B"/>
    <w:rsid w:val="003F7C4B"/>
    <w:rsid w:val="00404718"/>
    <w:rsid w:val="008C1AC3"/>
    <w:rsid w:val="008D03F7"/>
    <w:rsid w:val="00913154"/>
    <w:rsid w:val="00A21701"/>
    <w:rsid w:val="00B056D2"/>
    <w:rsid w:val="00C30325"/>
    <w:rsid w:val="00C67BA8"/>
    <w:rsid w:val="00C94C42"/>
    <w:rsid w:val="00CF5ED0"/>
    <w:rsid w:val="00E648D7"/>
    <w:rsid w:val="00EB4660"/>
    <w:rsid w:val="00FF4D2B"/>
    <w:rsid w:val="07852E98"/>
    <w:rsid w:val="0CB10F93"/>
    <w:rsid w:val="0DB101B9"/>
    <w:rsid w:val="118061A2"/>
    <w:rsid w:val="12ED052F"/>
    <w:rsid w:val="16FE00C6"/>
    <w:rsid w:val="1ADC4B9E"/>
    <w:rsid w:val="1D557BC2"/>
    <w:rsid w:val="20337E79"/>
    <w:rsid w:val="21870D42"/>
    <w:rsid w:val="231B29FB"/>
    <w:rsid w:val="23FD57DC"/>
    <w:rsid w:val="2674192E"/>
    <w:rsid w:val="2FDF01EA"/>
    <w:rsid w:val="3A94148E"/>
    <w:rsid w:val="44512A8A"/>
    <w:rsid w:val="46520A26"/>
    <w:rsid w:val="48DA3144"/>
    <w:rsid w:val="4C3757C3"/>
    <w:rsid w:val="51173FB3"/>
    <w:rsid w:val="5A0174C2"/>
    <w:rsid w:val="60835E4C"/>
    <w:rsid w:val="61040A6A"/>
    <w:rsid w:val="62210B3B"/>
    <w:rsid w:val="64E8178F"/>
    <w:rsid w:val="66031C97"/>
    <w:rsid w:val="6838588D"/>
    <w:rsid w:val="6B5705C5"/>
    <w:rsid w:val="6B5B5205"/>
    <w:rsid w:val="6B826D51"/>
    <w:rsid w:val="6B842AE6"/>
    <w:rsid w:val="6CC76DD2"/>
    <w:rsid w:val="6CE77FDD"/>
    <w:rsid w:val="6E1B3D65"/>
    <w:rsid w:val="6E6D23F2"/>
    <w:rsid w:val="6F2658B6"/>
    <w:rsid w:val="7188509D"/>
    <w:rsid w:val="71D67147"/>
    <w:rsid w:val="74F6356A"/>
    <w:rsid w:val="750C4D78"/>
    <w:rsid w:val="76EC13DC"/>
    <w:rsid w:val="7EF44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sz w:val="40"/>
      <w:szCs w:val="40"/>
    </w:rPr>
  </w:style>
  <w:style w:type="paragraph" w:styleId="3">
    <w:name w:val="heading 3"/>
    <w:basedOn w:val="1"/>
    <w:next w:val="1"/>
    <w:unhideWhenUsed/>
    <w:qFormat/>
    <w:uiPriority w:val="9"/>
    <w:pPr>
      <w:keepNext/>
      <w:keepLines/>
      <w:spacing w:before="160" w:after="80"/>
      <w:outlineLvl w:val="2"/>
    </w:pPr>
    <w:rPr>
      <w:rFonts w:asciiTheme="majorHAnsi" w:hAnsiTheme="majorHAnsi" w:eastAsiaTheme="majorEastAsia" w:cstheme="majorBidi"/>
      <w:sz w:val="32"/>
      <w:szCs w:val="32"/>
    </w:rPr>
  </w:style>
  <w:style w:type="paragraph" w:styleId="4">
    <w:name w:val="heading 4"/>
    <w:basedOn w:val="1"/>
    <w:next w:val="1"/>
    <w:unhideWhenUsed/>
    <w:qFormat/>
    <w:uiPriority w:val="9"/>
    <w:pPr>
      <w:keepNext/>
      <w:keepLines/>
      <w:spacing w:before="80" w:after="40"/>
      <w:outlineLvl w:val="3"/>
    </w:pPr>
    <w:rPr>
      <w:rFonts w:cstheme="majorBidi"/>
      <w:sz w:val="28"/>
      <w:szCs w:val="28"/>
    </w:rPr>
  </w:style>
  <w:style w:type="paragraph" w:styleId="5">
    <w:name w:val="heading 5"/>
    <w:basedOn w:val="1"/>
    <w:next w:val="1"/>
    <w:unhideWhenUsed/>
    <w:qFormat/>
    <w:uiPriority w:val="9"/>
    <w:pPr>
      <w:keepNext/>
      <w:keepLines/>
      <w:spacing w:before="80" w:after="40"/>
      <w:outlineLvl w:val="4"/>
    </w:pPr>
    <w:rPr>
      <w:rFonts w:cstheme="majorBidi"/>
      <w:sz w:val="24"/>
    </w:rPr>
  </w:style>
  <w:style w:type="character" w:default="1" w:styleId="13">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qFormat/>
    <w:uiPriority w:val="0"/>
  </w:style>
  <w:style w:type="paragraph" w:styleId="8">
    <w:name w:val="footer"/>
    <w:basedOn w:val="1"/>
    <w:link w:val="20"/>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semiHidden/>
    <w:unhideWhenUsed/>
    <w:qFormat/>
    <w:uiPriority w:val="99"/>
    <w:pPr>
      <w:spacing w:beforeAutospacing="1" w:afterAutospacing="1"/>
      <w:jc w:val="left"/>
    </w:pPr>
    <w:rPr>
      <w:rFonts w:cs="Times New Roman"/>
      <w:kern w:val="0"/>
      <w:sz w:val="24"/>
    </w:rPr>
  </w:style>
  <w:style w:type="table" w:styleId="12">
    <w:name w:val="Table Grid"/>
    <w:basedOn w:val="11"/>
    <w:qFormat/>
    <w:uiPriority w:val="59"/>
    <w:pPr>
      <w:spacing w:line="260" w:lineRule="atLeast"/>
      <w:jc w:val="both"/>
    </w:pPr>
    <w:rPr>
      <w:rFonts w:ascii="Palatino Linotype" w:hAnsi="Palatino Linotype"/>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character" w:customStyle="1" w:styleId="16">
    <w:name w:val="font21"/>
    <w:basedOn w:val="13"/>
    <w:qFormat/>
    <w:uiPriority w:val="0"/>
    <w:rPr>
      <w:rFonts w:hint="eastAsia" w:ascii="宋体" w:hAnsi="宋体" w:eastAsia="宋体" w:cs="宋体"/>
      <w:color w:val="000000"/>
      <w:sz w:val="24"/>
      <w:szCs w:val="24"/>
      <w:u w:val="none"/>
    </w:rPr>
  </w:style>
  <w:style w:type="character" w:customStyle="1" w:styleId="17">
    <w:name w:val="font11"/>
    <w:basedOn w:val="13"/>
    <w:qFormat/>
    <w:uiPriority w:val="0"/>
    <w:rPr>
      <w:rFonts w:hint="eastAsia" w:ascii="宋体" w:hAnsi="宋体" w:eastAsia="宋体" w:cs="宋体"/>
      <w:color w:val="000000"/>
      <w:sz w:val="24"/>
      <w:szCs w:val="24"/>
      <w:u w:val="none"/>
    </w:rPr>
  </w:style>
  <w:style w:type="character" w:customStyle="1" w:styleId="18">
    <w:name w:val="font01"/>
    <w:basedOn w:val="13"/>
    <w:qFormat/>
    <w:uiPriority w:val="0"/>
    <w:rPr>
      <w:rFonts w:hint="eastAsia" w:ascii="宋体" w:hAnsi="宋体" w:eastAsia="宋体" w:cs="宋体"/>
      <w:color w:val="000000"/>
      <w:sz w:val="24"/>
      <w:szCs w:val="24"/>
      <w:u w:val="none"/>
      <w:vertAlign w:val="superscript"/>
    </w:rPr>
  </w:style>
  <w:style w:type="paragraph" w:customStyle="1" w:styleId="19">
    <w:name w:val="MDPI_2.2_heading2"/>
    <w:qFormat/>
    <w:uiPriority w:val="0"/>
    <w:pPr>
      <w:adjustRightInd w:val="0"/>
      <w:snapToGrid w:val="0"/>
      <w:spacing w:before="60" w:after="60" w:line="228" w:lineRule="auto"/>
      <w:ind w:left="2608"/>
      <w:outlineLvl w:val="1"/>
    </w:pPr>
    <w:rPr>
      <w:rFonts w:ascii="Palatino Linotype" w:hAnsi="Palatino Linotype" w:eastAsia="Times New Roman" w:cs="Times New Roman"/>
      <w:i/>
      <w:snapToGrid w:val="0"/>
      <w:color w:val="000000"/>
      <w:szCs w:val="22"/>
      <w:lang w:val="en-US" w:eastAsia="de-DE" w:bidi="en-US"/>
    </w:rPr>
  </w:style>
  <w:style w:type="character" w:customStyle="1" w:styleId="20">
    <w:name w:val="页脚 字符"/>
    <w:basedOn w:val="13"/>
    <w:link w:val="8"/>
    <w:qFormat/>
    <w:uiPriority w:val="99"/>
    <w:rPr>
      <w:rFonts w:asciiTheme="minorHAnsi" w:hAnsiTheme="minorHAnsi" w:eastAsiaTheme="minorEastAsia" w:cstheme="minorBidi"/>
      <w:kern w:val="2"/>
      <w:sz w:val="18"/>
      <w:szCs w:val="24"/>
    </w:rPr>
  </w:style>
  <w:style w:type="paragraph" w:customStyle="1" w:styleId="21">
    <w:name w:val="EndNote Bibliography Title"/>
    <w:qFormat/>
    <w:uiPriority w:val="0"/>
    <w:pPr>
      <w:jc w:val="center"/>
    </w:pPr>
    <w:rPr>
      <w:rFonts w:asciiTheme="minorHAnsi" w:hAnsiTheme="minorHAnsi" w:eastAsiaTheme="minorEastAsia" w:cstheme="minorBidi"/>
      <w:kern w:val="2"/>
      <w:szCs w:val="24"/>
      <w:lang w:val="en-US" w:eastAsia="zh-CN" w:bidi="ar-SA"/>
    </w:rPr>
  </w:style>
  <w:style w:type="paragraph" w:customStyle="1" w:styleId="22">
    <w:name w:val="EndNote Bibliography"/>
    <w:qFormat/>
    <w:uiPriority w:val="0"/>
    <w:pPr>
      <w:jc w:val="both"/>
    </w:pPr>
    <w:rPr>
      <w:rFonts w:asciiTheme="minorHAnsi" w:hAnsiTheme="minorHAnsi" w:eastAsiaTheme="minorEastAsia" w:cstheme="minorBidi"/>
      <w:kern w:val="2"/>
      <w:szCs w:val="24"/>
      <w:lang w:val="en-US" w:eastAsia="zh-CN" w:bidi="ar-SA"/>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2031</Words>
  <Characters>11577</Characters>
  <Lines>96</Lines>
  <Paragraphs>27</Paragraphs>
  <TotalTime>0</TotalTime>
  <ScaleCrop>false</ScaleCrop>
  <LinksUpToDate>false</LinksUpToDate>
  <CharactersWithSpaces>13581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2025-07-06T10:34:00Z</dcterms:created>
  <dc:creator>洪子鑫</dc:creator>
  <cp:lastModifiedBy>洪子鑫</cp:lastModifiedBy>
  <cp:lastPrinted>2025-06-13T00:18:00Z</cp:lastPrinted>
  <dcterms:modified xsi:type="dcterms:W3CDTF">2025-07-07T01:27:19Z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C1278FD2337C42598877DDFECE8BBF4E</vt:lpwstr>
  </property>
</Properties>
</file>