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2CC96" w14:textId="77777777" w:rsidR="00384055" w:rsidRPr="004070BD" w:rsidRDefault="00384055" w:rsidP="00384055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r w:rsidRPr="004070BD">
        <w:rPr>
          <w:color w:val="000000" w:themeColor="text1"/>
          <w:sz w:val="22"/>
          <w:szCs w:val="22"/>
        </w:rPr>
        <w:t>Table 3: study characteristics.  Obliteration rates are displayed for interventions (microsurgery, embolization, SRS) with conservative treatment as reference. Conservative management are marked as N/A. Hemorrhage rates are indicated for post-treatment (for intervention groups) compared to natural history for conservative groups. NR – Not Reported. GKS – Gamma Knife Surgery. SRS – Stereotactic Radiosurgery.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723"/>
        <w:gridCol w:w="822"/>
        <w:gridCol w:w="831"/>
        <w:gridCol w:w="807"/>
        <w:gridCol w:w="848"/>
        <w:gridCol w:w="1357"/>
        <w:gridCol w:w="1261"/>
        <w:gridCol w:w="1278"/>
        <w:gridCol w:w="667"/>
        <w:gridCol w:w="766"/>
      </w:tblGrid>
      <w:tr w:rsidR="00384055" w:rsidRPr="004070BD" w14:paraId="3E676B2A" w14:textId="77777777" w:rsidTr="000E6A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677F73C7" w14:textId="77777777" w:rsidR="00384055" w:rsidRPr="004070BD" w:rsidRDefault="00384055" w:rsidP="000E6A8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Study (First Author, Year)</w:t>
            </w:r>
          </w:p>
        </w:tc>
        <w:tc>
          <w:tcPr>
            <w:tcW w:w="809" w:type="dxa"/>
          </w:tcPr>
          <w:p w14:paraId="1F89789B" w14:textId="77777777" w:rsidR="00384055" w:rsidRPr="004070BD" w:rsidRDefault="00384055" w:rsidP="000E6A8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Design</w:t>
            </w:r>
          </w:p>
        </w:tc>
        <w:tc>
          <w:tcPr>
            <w:tcW w:w="800" w:type="dxa"/>
          </w:tcPr>
          <w:p w14:paraId="77E48794" w14:textId="77777777" w:rsidR="00384055" w:rsidRPr="004070BD" w:rsidRDefault="00384055" w:rsidP="000E6A8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 (Unruptured)</w:t>
            </w:r>
          </w:p>
        </w:tc>
        <w:tc>
          <w:tcPr>
            <w:tcW w:w="800" w:type="dxa"/>
          </w:tcPr>
          <w:p w14:paraId="15323E97" w14:textId="77777777" w:rsidR="00384055" w:rsidRPr="004070BD" w:rsidRDefault="00384055" w:rsidP="000E6A8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Reference Intervention</w:t>
            </w:r>
          </w:p>
        </w:tc>
        <w:tc>
          <w:tcPr>
            <w:tcW w:w="828" w:type="dxa"/>
          </w:tcPr>
          <w:p w14:paraId="4397EA37" w14:textId="77777777" w:rsidR="00384055" w:rsidRPr="004070BD" w:rsidRDefault="00384055" w:rsidP="000E6A8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Obliteration Rate (unruptured)</w:t>
            </w:r>
          </w:p>
        </w:tc>
        <w:tc>
          <w:tcPr>
            <w:tcW w:w="1253" w:type="dxa"/>
          </w:tcPr>
          <w:p w14:paraId="36012522" w14:textId="77777777" w:rsidR="00384055" w:rsidRPr="004070BD" w:rsidRDefault="00384055" w:rsidP="000E6A8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Annual Hemorrhage Rate (%/yr)</w:t>
            </w:r>
          </w:p>
        </w:tc>
        <w:tc>
          <w:tcPr>
            <w:tcW w:w="1178" w:type="dxa"/>
          </w:tcPr>
          <w:p w14:paraId="64FA6B6E" w14:textId="77777777" w:rsidR="00384055" w:rsidRPr="004070BD" w:rsidRDefault="00384055" w:rsidP="000E6A8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Mortality</w:t>
            </w:r>
          </w:p>
        </w:tc>
        <w:tc>
          <w:tcPr>
            <w:tcW w:w="1287" w:type="dxa"/>
          </w:tcPr>
          <w:p w14:paraId="75F8523E" w14:textId="77777777" w:rsidR="00384055" w:rsidRPr="004070BD" w:rsidRDefault="00384055" w:rsidP="000E6A8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mRS≥2 (Disability)</w:t>
            </w:r>
          </w:p>
        </w:tc>
        <w:tc>
          <w:tcPr>
            <w:tcW w:w="658" w:type="dxa"/>
          </w:tcPr>
          <w:p w14:paraId="52781B52" w14:textId="77777777" w:rsidR="00384055" w:rsidRPr="004070BD" w:rsidRDefault="00384055" w:rsidP="000E6A8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Mean Follow-Up (Years)</w:t>
            </w:r>
          </w:p>
        </w:tc>
        <w:tc>
          <w:tcPr>
            <w:tcW w:w="719" w:type="dxa"/>
          </w:tcPr>
          <w:p w14:paraId="64BCE9EF" w14:textId="77777777" w:rsidR="00384055" w:rsidRPr="004070BD" w:rsidRDefault="00384055" w:rsidP="000E6A8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Spetzler-Martin Grade (I-II/III-V)</w:t>
            </w:r>
          </w:p>
        </w:tc>
      </w:tr>
      <w:tr w:rsidR="00384055" w:rsidRPr="004070BD" w14:paraId="63B7884A" w14:textId="77777777" w:rsidTr="000E6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2086EEF8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t>Darsaut et al. (2024)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&lt;EndNote&gt;&lt;Cite&gt;&lt;Author&gt;Darsaut&lt;/Author&gt;&lt;Year&gt;2024&lt;/Year&gt;&lt;RecNum&gt;649&lt;/RecNum&gt;&lt;DisplayText&gt;&lt;style face="superscript"&gt;15&lt;/style&gt;&lt;/DisplayText&gt;&lt;record&gt;&lt;rec-number&gt;649&lt;/rec-number&gt;&lt;foreign-keys&gt;&lt;key app="EN" db-id="9w5xa9aajav2z3e5wp3vwxaodfvprwfrwpee" timestamp="1748940463"&gt;649&lt;/key&gt;&lt;/foreign-keys&gt;&lt;ref-type name="Journal Article"&gt;17&lt;/ref-type&gt;&lt;contributors&gt;&lt;authors&gt;&lt;author&gt;Darsaut, Tim E&lt;/author&gt;&lt;author&gt;Gentric, Jean-Christophe&lt;/author&gt;&lt;author&gt;Heppner, Jonathan&lt;/author&gt;&lt;author&gt;Lopez, Camille&lt;/author&gt;&lt;author&gt;Jabre, Roland&lt;/author&gt;&lt;author&gt;Iancu, Daniela&lt;/author&gt;&lt;author&gt;Roy, Daniel&lt;/author&gt;&lt;author&gt;Weill, Alain&lt;/author&gt;&lt;author&gt;Bojanowski, Michel W&lt;/author&gt;&lt;author&gt;Chaalala, Chiraz&lt;/author&gt;&lt;/authors&gt;&lt;/contributors&gt;&lt;titles&gt;&lt;title&gt;Conservative management of brain arteriovenous malformations: results of the prospective observation registry of a pragmatic trial&lt;/title&gt;&lt;secondary-title&gt;Journal of Neurosurgery&lt;/secondary-title&gt;&lt;/titles&gt;&lt;periodical&gt;&lt;full-title&gt;Journal of neurosurgery&lt;/full-title&gt;&lt;/periodical&gt;&lt;pages&gt;1-10&lt;/pages&gt;&lt;volume&gt;1&lt;/volume&gt;&lt;number&gt;aop&lt;/number&gt;&lt;dates&gt;&lt;year&gt;2024&lt;/year&gt;&lt;/dates&gt;&lt;isbn&gt;1933-0693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15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738A6939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Prospective observational registry (TOBAS)</w:t>
            </w:r>
          </w:p>
        </w:tc>
        <w:tc>
          <w:tcPr>
            <w:tcW w:w="800" w:type="dxa"/>
          </w:tcPr>
          <w:p w14:paraId="1FF39457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434 (87% [378] unruptured)</w:t>
            </w:r>
          </w:p>
        </w:tc>
        <w:tc>
          <w:tcPr>
            <w:tcW w:w="800" w:type="dxa"/>
          </w:tcPr>
          <w:p w14:paraId="5E8E7EFB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Conservative management</w:t>
            </w:r>
          </w:p>
        </w:tc>
        <w:tc>
          <w:tcPr>
            <w:tcW w:w="828" w:type="dxa"/>
          </w:tcPr>
          <w:p w14:paraId="1BAA57ED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N/A</w:t>
            </w:r>
          </w:p>
        </w:tc>
        <w:tc>
          <w:tcPr>
            <w:tcW w:w="1253" w:type="dxa"/>
          </w:tcPr>
          <w:p w14:paraId="70FBD26C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2.2% (unruptured); 1.3% (low-grade unruptured)</w:t>
            </w:r>
          </w:p>
        </w:tc>
        <w:tc>
          <w:tcPr>
            <w:tcW w:w="1178" w:type="dxa"/>
          </w:tcPr>
          <w:p w14:paraId="07C46356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>4% (14/378)</w:t>
            </w:r>
          </w:p>
          <w:p w14:paraId="14239583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>Low grade (</w:t>
            </w:r>
            <w:r w:rsidRPr="004070BD">
              <w:rPr>
                <w:color w:val="000000" w:themeColor="text1"/>
                <w:sz w:val="22"/>
                <w:szCs w:val="22"/>
              </w:rPr>
              <w:t xml:space="preserve">5/378), high grade (9/378) </w:t>
            </w:r>
          </w:p>
        </w:tc>
        <w:tc>
          <w:tcPr>
            <w:tcW w:w="1287" w:type="dxa"/>
          </w:tcPr>
          <w:p w14:paraId="342B9011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Style w:val="Strong"/>
                <w:rFonts w:eastAsiaTheme="majorEastAsia"/>
                <w:color w:val="000000" w:themeColor="text1"/>
                <w:sz w:val="22"/>
                <w:szCs w:val="22"/>
                <w:shd w:val="clear" w:color="auto" w:fill="FFFFFF"/>
              </w:rPr>
              <w:t>Unruptured</w: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>: 4% (14/378)</w:t>
            </w:r>
            <w:r w:rsidRPr="004070BD">
              <w:rPr>
                <w:color w:val="000000" w:themeColor="text1"/>
                <w:sz w:val="22"/>
                <w:szCs w:val="22"/>
              </w:rPr>
              <w:br/>
            </w:r>
            <w:r w:rsidRPr="004070BD">
              <w:rPr>
                <w:rStyle w:val="Strong"/>
                <w:rFonts w:eastAsiaTheme="majorEastAsia"/>
                <w:color w:val="000000" w:themeColor="text1"/>
                <w:sz w:val="22"/>
                <w:szCs w:val="22"/>
                <w:shd w:val="clear" w:color="auto" w:fill="FFFFFF"/>
              </w:rPr>
              <w:t>Low-grade unruptured</w: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>: 2% (4/195)</w:t>
            </w:r>
          </w:p>
        </w:tc>
        <w:tc>
          <w:tcPr>
            <w:tcW w:w="658" w:type="dxa"/>
          </w:tcPr>
          <w:p w14:paraId="0642AEFA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3.2 years</w:t>
            </w:r>
          </w:p>
        </w:tc>
        <w:tc>
          <w:tcPr>
            <w:tcW w:w="719" w:type="dxa"/>
          </w:tcPr>
          <w:p w14:paraId="473F5548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52%/ 48%</w:t>
            </w:r>
          </w:p>
        </w:tc>
      </w:tr>
      <w:tr w:rsidR="00384055" w:rsidRPr="004070BD" w14:paraId="18F3032B" w14:textId="77777777" w:rsidTr="000E6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12F4769F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rStyle w:val="relative"/>
                <w:rFonts w:eastAsiaTheme="majorEastAsia"/>
                <w:b w:val="0"/>
                <w:bCs w:val="0"/>
                <w:color w:val="000000" w:themeColor="text1"/>
                <w:sz w:val="22"/>
                <w:szCs w:val="22"/>
              </w:rPr>
              <w:t>Ding et al., (2019)</w:t>
            </w:r>
            <w:r w:rsidRPr="004070BD">
              <w:rPr>
                <w:rStyle w:val="relative"/>
                <w:rFonts w:eastAsiaTheme="majorEastAsia"/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rStyle w:val="relative"/>
                <w:rFonts w:eastAsiaTheme="majorEastAsia"/>
                <w:color w:val="000000" w:themeColor="text1"/>
                <w:sz w:val="22"/>
                <w:szCs w:val="22"/>
              </w:rPr>
              <w:instrText xml:space="preserve"> ADDIN EN.CITE &lt;EndNote&gt;&lt;Cite&gt;&lt;Author&gt;Ding&lt;/Author&gt;&lt;Year&gt;2019&lt;/Year&gt;&lt;RecNum&gt;650&lt;/RecNum&gt;&lt;DisplayText&gt;&lt;style face="superscript"&gt;30&lt;/style&gt;&lt;/DisplayText&gt;&lt;record&gt;&lt;rec-number&gt;650&lt;/rec-number&gt;&lt;foreign-keys&gt;&lt;key app="EN" db-id="9w5xa9aajav2z3e5wp3vwxaodfvprwfrwpee" timestamp="1748940463"&gt;650&lt;/key&gt;&lt;/foreign-keys&gt;&lt;ref-type name="Journal Article"&gt;17&lt;/ref-type&gt;&lt;contributors&gt;&lt;authors&gt;&lt;author&gt;Ding, Dale&lt;/author&gt;&lt;author&gt;Chen, Ching-Jen&lt;/author&gt;&lt;author&gt;Starke, Robert M&lt;/author&gt;&lt;author&gt;Kano, Hideyuki&lt;/author&gt;&lt;author&gt;Lee, John YK&lt;/author&gt;&lt;author&gt;Mathieu, David&lt;/author&gt;&lt;author&gt;Feliciano, Caleb&lt;/author&gt;&lt;author&gt;Rodriguez-Mercado, Rafael&lt;/author&gt;&lt;author&gt;Almodovar, Luis&lt;/author&gt;&lt;author&gt;Grills, Inga S&lt;/author&gt;&lt;/authors&gt;&lt;/contributors&gt;&lt;titles&gt;&lt;title&gt;Risk of brain arteriovenous malformation hemorrhage before and after stereotactic radiosurgery: a multicenter study&lt;/title&gt;&lt;secondary-title&gt;Stroke&lt;/secondary-title&gt;&lt;/titles&gt;&lt;periodical&gt;&lt;full-title&gt;Stroke&lt;/full-title&gt;&lt;/periodical&gt;&lt;pages&gt;1384-1391&lt;/pages&gt;&lt;volume&gt;50&lt;/volume&gt;&lt;number&gt;6&lt;/number&gt;&lt;dates&gt;&lt;year&gt;2019&lt;/year&gt;&lt;/dates&gt;&lt;isbn&gt;0039-2499&lt;/isbn&gt;&lt;urls&gt;&lt;/urls&gt;&lt;/record&gt;&lt;/Cite&gt;&lt;/EndNote&gt;</w:instrText>
            </w:r>
            <w:r w:rsidRPr="004070BD">
              <w:rPr>
                <w:rStyle w:val="relative"/>
                <w:rFonts w:eastAsiaTheme="majorEastAsia"/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rStyle w:val="relative"/>
                <w:rFonts w:eastAsiaTheme="majorEastAsia"/>
                <w:noProof/>
                <w:color w:val="000000" w:themeColor="text1"/>
                <w:sz w:val="22"/>
                <w:szCs w:val="22"/>
                <w:vertAlign w:val="superscript"/>
              </w:rPr>
              <w:t>30</w:t>
            </w:r>
            <w:r w:rsidRPr="004070BD">
              <w:rPr>
                <w:rStyle w:val="relative"/>
                <w:rFonts w:eastAsiaTheme="majorEastAsia"/>
                <w:color w:val="000000" w:themeColor="text1"/>
                <w:sz w:val="22"/>
                <w:szCs w:val="22"/>
              </w:rPr>
              <w:fldChar w:fldCharType="end"/>
            </w:r>
            <w:r w:rsidRPr="004070BD">
              <w:rPr>
                <w:rStyle w:val="relative"/>
                <w:rFonts w:eastAsiaTheme="majorEastAsia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09" w:type="dxa"/>
          </w:tcPr>
          <w:p w14:paraId="47776F47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Style w:val="relative"/>
                <w:rFonts w:eastAsiaTheme="majorEastAsia"/>
                <w:color w:val="000000" w:themeColor="text1"/>
                <w:sz w:val="22"/>
                <w:szCs w:val="22"/>
              </w:rPr>
              <w:t>Retrospective multicentre cohort study</w:t>
            </w:r>
          </w:p>
        </w:tc>
        <w:tc>
          <w:tcPr>
            <w:tcW w:w="800" w:type="dxa"/>
          </w:tcPr>
          <w:p w14:paraId="4BF4D580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Style w:val="relative"/>
                <w:rFonts w:eastAsiaTheme="majorEastAsia"/>
                <w:color w:val="000000" w:themeColor="text1"/>
                <w:sz w:val="22"/>
                <w:szCs w:val="22"/>
              </w:rPr>
              <w:t>1,266</w:t>
            </w:r>
          </w:p>
        </w:tc>
        <w:tc>
          <w:tcPr>
            <w:tcW w:w="800" w:type="dxa"/>
          </w:tcPr>
          <w:p w14:paraId="0AAF801F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Style w:val="relative"/>
                <w:rFonts w:eastAsiaTheme="majorEastAsia"/>
                <w:color w:val="000000" w:themeColor="text1"/>
                <w:sz w:val="22"/>
                <w:szCs w:val="22"/>
              </w:rPr>
              <w:t>Stereotactic radiosurgery</w:t>
            </w:r>
          </w:p>
        </w:tc>
        <w:tc>
          <w:tcPr>
            <w:tcW w:w="828" w:type="dxa"/>
          </w:tcPr>
          <w:p w14:paraId="09D2D8F7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Style w:val="relative"/>
                <w:rFonts w:eastAsiaTheme="majorEastAsia"/>
                <w:color w:val="000000" w:themeColor="text1"/>
                <w:sz w:val="22"/>
                <w:szCs w:val="22"/>
              </w:rPr>
              <w:t>62.5%</w:t>
            </w:r>
          </w:p>
        </w:tc>
        <w:tc>
          <w:tcPr>
            <w:tcW w:w="1253" w:type="dxa"/>
          </w:tcPr>
          <w:p w14:paraId="78DA3BF1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Style w:val="relative"/>
                <w:rFonts w:eastAsiaTheme="majorEastAsia"/>
                <w:color w:val="000000" w:themeColor="text1"/>
                <w:sz w:val="22"/>
                <w:szCs w:val="22"/>
              </w:rPr>
              <w:t>1.4% before SRS; 0.9% after SRS</w:t>
            </w:r>
          </w:p>
        </w:tc>
        <w:tc>
          <w:tcPr>
            <w:tcW w:w="1178" w:type="dxa"/>
          </w:tcPr>
          <w:p w14:paraId="673A7FF0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1.5%</w:t>
            </w:r>
          </w:p>
        </w:tc>
        <w:tc>
          <w:tcPr>
            <w:tcW w:w="1287" w:type="dxa"/>
          </w:tcPr>
          <w:p w14:paraId="4A4B0FE6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2.3%</w:t>
            </w:r>
          </w:p>
        </w:tc>
        <w:tc>
          <w:tcPr>
            <w:tcW w:w="658" w:type="dxa"/>
          </w:tcPr>
          <w:p w14:paraId="3CADD21B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6.5</w:t>
            </w:r>
          </w:p>
        </w:tc>
        <w:tc>
          <w:tcPr>
            <w:tcW w:w="719" w:type="dxa"/>
          </w:tcPr>
          <w:p w14:paraId="736230B2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Style w:val="relative"/>
                <w:rFonts w:eastAsiaTheme="majorEastAsia"/>
                <w:color w:val="000000" w:themeColor="text1"/>
                <w:sz w:val="22"/>
                <w:szCs w:val="22"/>
              </w:rPr>
              <w:t>65%/ 35%</w:t>
            </w:r>
          </w:p>
        </w:tc>
      </w:tr>
      <w:tr w:rsidR="00384055" w:rsidRPr="004070BD" w14:paraId="1AB4945B" w14:textId="77777777" w:rsidTr="000E6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3DCD4EAE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t>Jiang et al., (2022)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&lt;EndNote&gt;&lt;Cite&gt;&lt;Author&gt;Jiang&lt;/Author&gt;&lt;Year&gt;2022&lt;/Year&gt;&lt;RecNum&gt;651&lt;/RecNum&gt;&lt;DisplayText&gt;&lt;style face="superscript"&gt;29&lt;/style&gt;&lt;/DisplayText&gt;&lt;record&gt;&lt;rec-number&gt;651&lt;/rec-number&gt;&lt;foreign-keys&gt;&lt;key app="EN" db-id="9w5xa9aajav2z3e5wp3vwxaodfvprwfrwpee" timestamp="1748940463"&gt;651&lt;/key&gt;&lt;/foreign-keys&gt;&lt;ref-type name="Journal Article"&gt;17&lt;/ref-type&gt;&lt;contributors&gt;&lt;authors&gt;&lt;author&gt;Jiang, Yuanfeng&lt;/author&gt;&lt;author&gt;Zeng, Chaofan&lt;/author&gt;&lt;author&gt;Zhang, Yiqun&lt;/author&gt;&lt;author&gt;Xu, Xiaobo&lt;/author&gt;&lt;author&gt;Qiu, Hancheng&lt;/author&gt;&lt;author&gt;Jiang, Weijian&lt;/author&gt;&lt;/authors&gt;&lt;/contributors&gt;&lt;titles&gt;&lt;title&gt;Multimodality Treatment of Brain Arteriovenous Malformations with One‐Staged Hybrid Operation: Clinical Characteristics and Long‐Term Prognosis&lt;/title&gt;&lt;secondary-title&gt;Disease Markers&lt;/secondary-title&gt;&lt;/titles&gt;&lt;periodical&gt;&lt;full-title&gt;Disease Markers&lt;/full-title&gt;&lt;/periodical&gt;&lt;pages&gt;2559004&lt;/pages&gt;&lt;volume&gt;2022&lt;/volume&gt;&lt;number&gt;1&lt;/number&gt;&lt;dates&gt;&lt;year&gt;2022&lt;/year&gt;&lt;/dates&gt;&lt;isbn&gt;1875-8630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29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08503CAF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Prospective multicentre cohort study</w:t>
            </w:r>
          </w:p>
        </w:tc>
        <w:tc>
          <w:tcPr>
            <w:tcW w:w="800" w:type="dxa"/>
          </w:tcPr>
          <w:p w14:paraId="0934C664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61</w:t>
            </w:r>
          </w:p>
        </w:tc>
        <w:tc>
          <w:tcPr>
            <w:tcW w:w="800" w:type="dxa"/>
          </w:tcPr>
          <w:p w14:paraId="48ABA260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One-staged hybrid operation (embolization + microsurgical resection)</w:t>
            </w:r>
          </w:p>
        </w:tc>
        <w:tc>
          <w:tcPr>
            <w:tcW w:w="828" w:type="dxa"/>
          </w:tcPr>
          <w:p w14:paraId="7B81119E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100%</w:t>
            </w:r>
          </w:p>
        </w:tc>
        <w:tc>
          <w:tcPr>
            <w:tcW w:w="1253" w:type="dxa"/>
          </w:tcPr>
          <w:p w14:paraId="218DC4F3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4.2%</w:t>
            </w:r>
          </w:p>
        </w:tc>
        <w:tc>
          <w:tcPr>
            <w:tcW w:w="1178" w:type="dxa"/>
          </w:tcPr>
          <w:p w14:paraId="56C95D24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1.5%</w:t>
            </w:r>
          </w:p>
        </w:tc>
        <w:tc>
          <w:tcPr>
            <w:tcW w:w="1287" w:type="dxa"/>
          </w:tcPr>
          <w:p w14:paraId="06071722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6.9%</w:t>
            </w:r>
          </w:p>
        </w:tc>
        <w:tc>
          <w:tcPr>
            <w:tcW w:w="658" w:type="dxa"/>
          </w:tcPr>
          <w:p w14:paraId="590F19CA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3.1</w:t>
            </w:r>
          </w:p>
        </w:tc>
        <w:tc>
          <w:tcPr>
            <w:tcW w:w="719" w:type="dxa"/>
          </w:tcPr>
          <w:p w14:paraId="335D3B31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39</w:t>
            </w:r>
            <w:r w:rsidRPr="004070BD">
              <w:rPr>
                <w:rStyle w:val="relative"/>
                <w:rFonts w:eastAsiaTheme="majorEastAsia"/>
                <w:color w:val="000000" w:themeColor="text1"/>
                <w:sz w:val="22"/>
                <w:szCs w:val="22"/>
              </w:rPr>
              <w:t>%</w:t>
            </w:r>
            <w:r w:rsidRPr="004070BD">
              <w:rPr>
                <w:color w:val="000000" w:themeColor="text1"/>
                <w:sz w:val="22"/>
                <w:szCs w:val="22"/>
              </w:rPr>
              <w:t>/61</w:t>
            </w:r>
            <w:r w:rsidRPr="004070BD">
              <w:rPr>
                <w:rStyle w:val="relative"/>
                <w:rFonts w:eastAsiaTheme="majorEastAsia"/>
                <w:color w:val="000000" w:themeColor="text1"/>
                <w:sz w:val="22"/>
                <w:szCs w:val="22"/>
              </w:rPr>
              <w:t>%</w:t>
            </w:r>
          </w:p>
        </w:tc>
      </w:tr>
      <w:tr w:rsidR="00384055" w:rsidRPr="004070BD" w14:paraId="00A39F55" w14:textId="77777777" w:rsidTr="000E6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1CAC1A76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t>Ding et al., (2017)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&lt;EndNote&gt;&lt;Cite&gt;&lt;Author&gt;Ding&lt;/Author&gt;&lt;Year&gt;2017&lt;/Year&gt;&lt;RecNum&gt;652&lt;/RecNum&gt;&lt;DisplayText&gt;&lt;style face="superscript"&gt;31&lt;/style&gt;&lt;/DisplayText&gt;&lt;record&gt;&lt;rec-number&gt;652&lt;/rec-number&gt;&lt;foreign-keys&gt;&lt;key app="EN" db-id="9w5xa9aajav2z3e5wp3vwxaodfvprwfrwpee" timestamp="1748940464"&gt;652&lt;/key&gt;&lt;/foreign-keys&gt;&lt;ref-type name="Journal Article"&gt;17&lt;/ref-type&gt;&lt;contributors&gt;&lt;authors&gt;&lt;author&gt;Ding, Dale&lt;/author&gt;&lt;author&gt;Starke, Robert M&lt;/author&gt;&lt;author&gt;Kano, Hideyuki&lt;/author&gt;&lt;author&gt;Lee, John YK&lt;/author&gt;&lt;author&gt;Mathieu, David&lt;/author&gt;&lt;author&gt;Pierce, John&lt;/author&gt;&lt;author&gt;Huang, Paul&lt;/author&gt;&lt;author&gt;Missios, Symeon&lt;/author&gt;&lt;author&gt;Feliciano, Caleb&lt;/author&gt;&lt;author&gt;Rodriguez-Mercado, Rafael&lt;/author&gt;&lt;/authors&gt;&lt;/contributors&gt;&lt;titles&gt;&lt;title&gt;Radiosurgery for unruptured brain arteriovenous malformations: an international multicenter retrospective cohort study&lt;/title&gt;&lt;secondary-title&gt;Neurosurgery&lt;/secondary-title&gt;&lt;/titles&gt;&lt;periodical&gt;&lt;full-title&gt;Neurosurgery&lt;/full-title&gt;&lt;/periodical&gt;&lt;pages&gt;888-898&lt;/pages&gt;&lt;volume&gt;80&lt;/volume&gt;&lt;number&gt;6&lt;/number&gt;&lt;dates&gt;&lt;year&gt;2017&lt;/year&gt;&lt;/dates&gt;&lt;isbn&gt;0148-396X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31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117FEB93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Multicentre retrospective cohort study</w:t>
            </w:r>
          </w:p>
        </w:tc>
        <w:tc>
          <w:tcPr>
            <w:tcW w:w="800" w:type="dxa"/>
          </w:tcPr>
          <w:p w14:paraId="737D1D8C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938</w:t>
            </w:r>
          </w:p>
        </w:tc>
        <w:tc>
          <w:tcPr>
            <w:tcW w:w="800" w:type="dxa"/>
          </w:tcPr>
          <w:p w14:paraId="21E37813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Gamma Knife radiosurgery</w:t>
            </w:r>
          </w:p>
        </w:tc>
        <w:tc>
          <w:tcPr>
            <w:tcW w:w="828" w:type="dxa"/>
          </w:tcPr>
          <w:p w14:paraId="2E824041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65%</w:t>
            </w:r>
          </w:p>
        </w:tc>
        <w:tc>
          <w:tcPr>
            <w:tcW w:w="1253" w:type="dxa"/>
          </w:tcPr>
          <w:p w14:paraId="55E7BECD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1.4%</w:t>
            </w:r>
          </w:p>
        </w:tc>
        <w:tc>
          <w:tcPr>
            <w:tcW w:w="1178" w:type="dxa"/>
          </w:tcPr>
          <w:p w14:paraId="368F995D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NR</w:t>
            </w:r>
          </w:p>
        </w:tc>
        <w:tc>
          <w:tcPr>
            <w:tcW w:w="1287" w:type="dxa"/>
          </w:tcPr>
          <w:p w14:paraId="3DFB44ED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3% (permanent symptomatic radiation-induced changes)</w:t>
            </w:r>
          </w:p>
        </w:tc>
        <w:tc>
          <w:tcPr>
            <w:tcW w:w="658" w:type="dxa"/>
          </w:tcPr>
          <w:p w14:paraId="6B8FFE27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5.9 (~71 months)</w:t>
            </w:r>
          </w:p>
        </w:tc>
        <w:tc>
          <w:tcPr>
            <w:tcW w:w="719" w:type="dxa"/>
          </w:tcPr>
          <w:p w14:paraId="0E161801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43%/ 57%</w:t>
            </w:r>
          </w:p>
        </w:tc>
      </w:tr>
      <w:tr w:rsidR="00384055" w:rsidRPr="004070BD" w14:paraId="3EF363FC" w14:textId="77777777" w:rsidTr="000E6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20241F80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lastRenderedPageBreak/>
              <w:t>Schramm et al., (2016)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&lt;EndNote&gt;&lt;Cite&gt;&lt;Author&gt;Schramm&lt;/Author&gt;&lt;Year&gt;2017&lt;/Year&gt;&lt;RecNum&gt;632&lt;/RecNum&gt;&lt;DisplayText&gt;&lt;style face="superscript"&gt;16&lt;/style&gt;&lt;/DisplayText&gt;&lt;record&gt;&lt;rec-number&gt;632&lt;/rec-number&gt;&lt;foreign-keys&gt;&lt;key app="EN" db-id="9w5xa9aajav2z3e5wp3vwxaodfvprwfrwpee" timestamp="1748940461"&gt;632&lt;/key&gt;&lt;/foreign-keys&gt;&lt;ref-type name="Journal Article"&gt;17&lt;/ref-type&gt;&lt;contributors&gt;&lt;authors&gt;&lt;author&gt;Schramm, Johannes&lt;/author&gt;&lt;author&gt;Schaller, Karl&lt;/author&gt;&lt;author&gt;Esche, Jonas&lt;/author&gt;&lt;author&gt;Boström, Azize&lt;/author&gt;&lt;/authors&gt;&lt;/contributors&gt;&lt;titles&gt;&lt;title&gt;Microsurgery for cerebral arteriovenous malformations: subgroup outcomes in a consecutive series of 288 cases&lt;/title&gt;&lt;secondary-title&gt;Journal of neurosurgery&lt;/secondary-title&gt;&lt;/titles&gt;&lt;periodical&gt;&lt;full-title&gt;Journal of neurosurgery&lt;/full-title&gt;&lt;/periodical&gt;&lt;pages&gt;1056-1063&lt;/pages&gt;&lt;volume&gt;126&lt;/volume&gt;&lt;number&gt;4&lt;/number&gt;&lt;dates&gt;&lt;year&gt;2017&lt;/year&gt;&lt;/dates&gt;&lt;isbn&gt;1933-0693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16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24D93E01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Prospective single-surgeon series</w:t>
            </w:r>
          </w:p>
        </w:tc>
        <w:tc>
          <w:tcPr>
            <w:tcW w:w="800" w:type="dxa"/>
          </w:tcPr>
          <w:p w14:paraId="3D2C7CCD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144 unruptured</w:t>
            </w:r>
          </w:p>
        </w:tc>
        <w:tc>
          <w:tcPr>
            <w:tcW w:w="800" w:type="dxa"/>
          </w:tcPr>
          <w:p w14:paraId="6EBC8ACA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Microsurgery</w:t>
            </w:r>
          </w:p>
        </w:tc>
        <w:tc>
          <w:tcPr>
            <w:tcW w:w="828" w:type="dxa"/>
          </w:tcPr>
          <w:p w14:paraId="52256676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99% overall; 98.7% small AVMs</w:t>
            </w:r>
          </w:p>
        </w:tc>
        <w:tc>
          <w:tcPr>
            <w:tcW w:w="1253" w:type="dxa"/>
          </w:tcPr>
          <w:p w14:paraId="7FD8991A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Not specified</w:t>
            </w:r>
          </w:p>
        </w:tc>
        <w:tc>
          <w:tcPr>
            <w:tcW w:w="1178" w:type="dxa"/>
          </w:tcPr>
          <w:p w14:paraId="33766B4A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0% in unruptured cases</w:t>
            </w:r>
          </w:p>
        </w:tc>
        <w:tc>
          <w:tcPr>
            <w:tcW w:w="1287" w:type="dxa"/>
          </w:tcPr>
          <w:p w14:paraId="60FEBEA3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3.2% permanent significant deficit (ARUBA-eligible Grade I–II)</w:t>
            </w:r>
          </w:p>
        </w:tc>
        <w:tc>
          <w:tcPr>
            <w:tcW w:w="658" w:type="dxa"/>
          </w:tcPr>
          <w:p w14:paraId="27E45B5E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5.3 years (64 months)</w:t>
            </w:r>
          </w:p>
        </w:tc>
        <w:tc>
          <w:tcPr>
            <w:tcW w:w="719" w:type="dxa"/>
          </w:tcPr>
          <w:p w14:paraId="7E91EB0E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167/ 121 (Grades I–II: 167; III–V: 121)</w:t>
            </w:r>
          </w:p>
        </w:tc>
      </w:tr>
      <w:tr w:rsidR="00384055" w:rsidRPr="004070BD" w14:paraId="0F0AEBFE" w14:textId="77777777" w:rsidTr="000E6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1A4F839B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t>Starke et al., (2017)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&lt;EndNote&gt;&lt;Cite&gt;&lt;Author&gt;Starke&lt;/Author&gt;&lt;Year&gt;2017&lt;/Year&gt;&lt;RecNum&gt;654&lt;/RecNum&gt;&lt;DisplayText&gt;&lt;style face="superscript"&gt;32&lt;/style&gt;&lt;/DisplayText&gt;&lt;record&gt;&lt;rec-number&gt;654&lt;/rec-number&gt;&lt;foreign-keys&gt;&lt;key app="EN" db-id="9w5xa9aajav2z3e5wp3vwxaodfvprwfrwpee" timestamp="1748940464"&gt;654&lt;/key&gt;&lt;/foreign-keys&gt;&lt;ref-type name="Journal Article"&gt;17&lt;/ref-type&gt;&lt;contributors&gt;&lt;authors&gt;&lt;author&gt;Starke, Robert M&lt;/author&gt;&lt;author&gt;Kano, Hideyuki&lt;/author&gt;&lt;author&gt;Ding, Dale&lt;/author&gt;&lt;author&gt;Lee, John YK&lt;/author&gt;&lt;author&gt;Mathieu, David&lt;/author&gt;&lt;author&gt;Whitesell, Jamie&lt;/author&gt;&lt;author&gt;Pierce, John T&lt;/author&gt;&lt;author&gt;Huang, Paul P&lt;/author&gt;&lt;author&gt;Kondziolka, Douglas&lt;/author&gt;&lt;author&gt;Yen, Chun-Po&lt;/author&gt;&lt;/authors&gt;&lt;/contributors&gt;&lt;titles&gt;&lt;title&gt;Stereotactic radiosurgery for cerebral arteriovenous malformations: evaluation of long-term outcomes in a multicenter cohort&lt;/title&gt;&lt;secondary-title&gt;Journal of neurosurgery&lt;/secondary-title&gt;&lt;/titles&gt;&lt;periodical&gt;&lt;full-title&gt;Journal of neurosurgery&lt;/full-title&gt;&lt;/periodical&gt;&lt;pages&gt;36-44&lt;/pages&gt;&lt;volume&gt;126&lt;/volume&gt;&lt;number&gt;1&lt;/number&gt;&lt;dates&gt;&lt;year&gt;2017&lt;/year&gt;&lt;/dates&gt;&lt;isbn&gt;1933-0693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32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7778889A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Multicentre retrospective cohort</w:t>
            </w:r>
          </w:p>
        </w:tc>
        <w:tc>
          <w:tcPr>
            <w:tcW w:w="800" w:type="dxa"/>
          </w:tcPr>
          <w:p w14:paraId="661D7E18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1,200* (unruptured subset)</w: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(total N=2,236)</w:t>
            </w:r>
          </w:p>
        </w:tc>
        <w:tc>
          <w:tcPr>
            <w:tcW w:w="800" w:type="dxa"/>
          </w:tcPr>
          <w:p w14:paraId="147B4C31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Gamma Knife Radiosurgery (GKRS) (single session)</w:t>
            </w:r>
          </w:p>
        </w:tc>
        <w:tc>
          <w:tcPr>
            <w:tcW w:w="828" w:type="dxa"/>
          </w:tcPr>
          <w:p w14:paraId="5926B5BD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64.7%</w:t>
            </w:r>
          </w:p>
        </w:tc>
        <w:tc>
          <w:tcPr>
            <w:tcW w:w="1253" w:type="dxa"/>
          </w:tcPr>
          <w:p w14:paraId="3D16E781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1.1%</w:t>
            </w:r>
          </w:p>
        </w:tc>
        <w:tc>
          <w:tcPr>
            <w:tcW w:w="1178" w:type="dxa"/>
          </w:tcPr>
          <w:p w14:paraId="32BC2385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NR</w:t>
            </w:r>
          </w:p>
        </w:tc>
        <w:tc>
          <w:tcPr>
            <w:tcW w:w="1287" w:type="dxa"/>
          </w:tcPr>
          <w:p w14:paraId="76AB6F1E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>9.7% symptomatic radiation changes (2.7% permanent deficits)</w:t>
            </w:r>
          </w:p>
        </w:tc>
        <w:tc>
          <w:tcPr>
            <w:tcW w:w="658" w:type="dxa"/>
          </w:tcPr>
          <w:p w14:paraId="29D2CEE1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7 years (range 1–20 years)</w:t>
            </w:r>
          </w:p>
        </w:tc>
        <w:tc>
          <w:tcPr>
            <w:tcW w:w="719" w:type="dxa"/>
          </w:tcPr>
          <w:p w14:paraId="175766AE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 xml:space="preserve">NR </w: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>(study used VRAS for prediction)</w:t>
            </w:r>
          </w:p>
        </w:tc>
      </w:tr>
      <w:tr w:rsidR="00384055" w:rsidRPr="004070BD" w14:paraId="20152A76" w14:textId="77777777" w:rsidTr="000E6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310C2D64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t>Chen et al., (2023)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&lt;EndNote&gt;&lt;Cite&gt;&lt;Author&gt;Chen&lt;/Author&gt;&lt;Year&gt;2023&lt;/Year&gt;&lt;RecNum&gt;655&lt;/RecNum&gt;&lt;DisplayText&gt;&lt;style face="superscript"&gt;33&lt;/style&gt;&lt;/DisplayText&gt;&lt;record&gt;&lt;rec-number&gt;655&lt;/rec-number&gt;&lt;foreign-keys&gt;&lt;key app="EN" db-id="9w5xa9aajav2z3e5wp3vwxaodfvprwfrwpee" timestamp="1748940464"&gt;655&lt;/key&gt;&lt;/foreign-keys&gt;&lt;ref-type name="Journal Article"&gt;17&lt;/ref-type&gt;&lt;contributors&gt;&lt;authors&gt;&lt;author&gt;Chen, Yu&lt;/author&gt;&lt;author&gt;Han, Heze&lt;/author&gt;&lt;author&gt;Jin, Hengwei&lt;/author&gt;&lt;author&gt;Meng, Xiangyu&lt;/author&gt;&lt;author&gt;Ma, Li&lt;/author&gt;&lt;author&gt;Li, Ruinan&lt;/author&gt;&lt;author&gt;Li, Zhipeng&lt;/author&gt;&lt;author&gt;Yan, Debin&lt;/author&gt;&lt;author&gt;Zhang, Haibin&lt;/author&gt;&lt;author&gt;Yuan, Kexin&lt;/author&gt;&lt;/authors&gt;&lt;/contributors&gt;&lt;titles&gt;&lt;title&gt;Association of embolization with long-term outcomes in brain arteriovenous malformations: a propensity score-matched analysis using nationwide multicenter prospective registry data&lt;/title&gt;&lt;secondary-title&gt;International Journal of Surgery&lt;/secondary-title&gt;&lt;/titles&gt;&lt;periodical&gt;&lt;full-title&gt;International Journal of Surgery&lt;/full-title&gt;&lt;/periodical&gt;&lt;pages&gt;1900-1909&lt;/pages&gt;&lt;volume&gt;109&lt;/volume&gt;&lt;number&gt;7&lt;/number&gt;&lt;dates&gt;&lt;year&gt;2023&lt;/year&gt;&lt;/dates&gt;&lt;urls&gt;&lt;/urls&gt;&lt;/record&gt;&lt;/Cite&gt;&lt;/EndNote&gt;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33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3B361F0F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Prospective cohort with PSM</w:t>
            </w:r>
          </w:p>
        </w:tc>
        <w:tc>
          <w:tcPr>
            <w:tcW w:w="800" w:type="dxa"/>
          </w:tcPr>
          <w:p w14:paraId="2652521A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288 (unruptured)</w:t>
            </w:r>
          </w:p>
        </w:tc>
        <w:tc>
          <w:tcPr>
            <w:tcW w:w="800" w:type="dxa"/>
          </w:tcPr>
          <w:p w14:paraId="3F246625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Stand-alone embolization (vs conservative management)</w:t>
            </w:r>
          </w:p>
        </w:tc>
        <w:tc>
          <w:tcPr>
            <w:tcW w:w="828" w:type="dxa"/>
          </w:tcPr>
          <w:p w14:paraId="726F63D8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 xml:space="preserve">Complete (11.6%) </w:t>
            </w:r>
          </w:p>
        </w:tc>
        <w:tc>
          <w:tcPr>
            <w:tcW w:w="1253" w:type="dxa"/>
          </w:tcPr>
          <w:p w14:paraId="36563D78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 xml:space="preserve">1.55% embolization (vs 0.51% conservative) </w:t>
            </w:r>
          </w:p>
        </w:tc>
        <w:tc>
          <w:tcPr>
            <w:tcW w:w="1178" w:type="dxa"/>
          </w:tcPr>
          <w:p w14:paraId="258102EE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 xml:space="preserve">0.42% </w:t>
            </w:r>
          </w:p>
        </w:tc>
        <w:tc>
          <w:tcPr>
            <w:tcW w:w="1287" w:type="dxa"/>
          </w:tcPr>
          <w:p w14:paraId="615A323C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No significant difference in mRS≥2</w:t>
            </w:r>
          </w:p>
        </w:tc>
        <w:tc>
          <w:tcPr>
            <w:tcW w:w="658" w:type="dxa"/>
          </w:tcPr>
          <w:p w14:paraId="5C461677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 xml:space="preserve">6.4 </w:t>
            </w:r>
          </w:p>
        </w:tc>
        <w:tc>
          <w:tcPr>
            <w:tcW w:w="719" w:type="dxa"/>
          </w:tcPr>
          <w:p w14:paraId="07D8B7F0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69% (I-III) / 31% (IV-V)</w:t>
            </w:r>
          </w:p>
        </w:tc>
      </w:tr>
      <w:tr w:rsidR="00384055" w:rsidRPr="004070BD" w14:paraId="1CFFF469" w14:textId="77777777" w:rsidTr="000E6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670AB427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t>Tos et al. (2025)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&lt;EndNote&gt;&lt;Cite&gt;&lt;Author&gt;Tos&lt;/Author&gt;&lt;Year&gt;2025&lt;/Year&gt;&lt;RecNum&gt;656&lt;/RecNum&gt;&lt;DisplayText&gt;&lt;style face="superscript"&gt;34&lt;/style&gt;&lt;/DisplayText&gt;&lt;record&gt;&lt;rec-number&gt;656&lt;/rec-number&gt;&lt;foreign-keys&gt;&lt;key app="EN" db-id="9w5xa9aajav2z3e5wp3vwxaodfvprwfrwpee" timestamp="1748940464"&gt;656&lt;/key&gt;&lt;/foreign-keys&gt;&lt;ref-type name="Journal Article"&gt;17&lt;/ref-type&gt;&lt;contributors&gt;&lt;authors&gt;&lt;author&gt;Tos, Salem M&lt;/author&gt;&lt;author&gt;Osama, Mahmoud&lt;/author&gt;&lt;author&gt;Mantziaris, Georgios&lt;/author&gt;&lt;author&gt;Hajikarimloo, Bardia&lt;/author&gt;&lt;author&gt;Adeeb, Nimer&lt;/author&gt;&lt;author&gt;Kandregula, Sandeep&lt;/author&gt;&lt;author&gt;Dmytriw, Adam A&lt;/author&gt;&lt;author&gt;Salim, Hamza Adel&lt;/author&gt;&lt;author&gt;Musmar, Basel&lt;/author&gt;&lt;author&gt;Naamani, Kareem El&lt;/author&gt;&lt;/authors&gt;&lt;/contributors&gt;&lt;titles&gt;&lt;title&gt;Spetzler-Martin grade I and II cerebral arteriovenous malformations: a propensity-score matched analysis of resection and stereotactic radiosurgery in adult patients&lt;/title&gt;&lt;secondary-title&gt;Neurosurgical review&lt;/secondary-title&gt;&lt;/titles&gt;&lt;periodical&gt;&lt;full-title&gt;Neurosurgical Review&lt;/full-title&gt;&lt;/periodical&gt;&lt;pages&gt;276&lt;/pages&gt;&lt;volume&gt;48&lt;/volume&gt;&lt;number&gt;1&lt;/number&gt;&lt;dates&gt;&lt;year&gt;2025&lt;/year&gt;&lt;/dates&gt;&lt;isbn&gt;1437-2320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34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20AE1A5B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Propensity-score matched</w:t>
            </w:r>
          </w:p>
        </w:tc>
        <w:tc>
          <w:tcPr>
            <w:tcW w:w="800" w:type="dxa"/>
          </w:tcPr>
          <w:p w14:paraId="5235D4E6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 xml:space="preserve">96 (48 microsurg; 48 SRS) </w:t>
            </w:r>
          </w:p>
        </w:tc>
        <w:tc>
          <w:tcPr>
            <w:tcW w:w="800" w:type="dxa"/>
          </w:tcPr>
          <w:p w14:paraId="76354C1A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Microsurgical resection (vs SRS)</w:t>
            </w:r>
          </w:p>
        </w:tc>
        <w:tc>
          <w:tcPr>
            <w:tcW w:w="828" w:type="dxa"/>
          </w:tcPr>
          <w:p w14:paraId="75B56566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100% (resection) vs. 58.3% (SRS)</w:t>
            </w:r>
          </w:p>
        </w:tc>
        <w:tc>
          <w:tcPr>
            <w:tcW w:w="1253" w:type="dxa"/>
          </w:tcPr>
          <w:p w14:paraId="4AFFDFE2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Not explicitly reported</w:t>
            </w:r>
          </w:p>
        </w:tc>
        <w:tc>
          <w:tcPr>
            <w:tcW w:w="1178" w:type="dxa"/>
          </w:tcPr>
          <w:p w14:paraId="553CB53F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2.1% (resection) vs. 0% (SRS)</w:t>
            </w:r>
          </w:p>
        </w:tc>
        <w:tc>
          <w:tcPr>
            <w:tcW w:w="1287" w:type="dxa"/>
          </w:tcPr>
          <w:p w14:paraId="15020B0E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2.5% (resection) vs. 6.5% (SRS)</w:t>
            </w:r>
          </w:p>
        </w:tc>
        <w:tc>
          <w:tcPr>
            <w:tcW w:w="658" w:type="dxa"/>
          </w:tcPr>
          <w:p w14:paraId="0A6ED169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3.0 (resection) vs. 3.0 (SRS)</w:t>
            </w:r>
          </w:p>
        </w:tc>
        <w:tc>
          <w:tcPr>
            <w:tcW w:w="719" w:type="dxa"/>
          </w:tcPr>
          <w:p w14:paraId="58645AE5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100% (I-II)</w:t>
            </w:r>
          </w:p>
        </w:tc>
      </w:tr>
      <w:tr w:rsidR="00384055" w:rsidRPr="004070BD" w14:paraId="2BEC6263" w14:textId="77777777" w:rsidTr="000E6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2250253B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t>Lang et al. (2018)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&lt;EndNote&gt;&lt;Cite&gt;&lt;Author&gt;Lang&lt;/Author&gt;&lt;Year&gt;2018&lt;/Year&gt;&lt;RecNum&gt;657&lt;/RecNum&gt;&lt;DisplayText&gt;&lt;style face="superscript"&gt;26&lt;/style&gt;&lt;/DisplayText&gt;&lt;record&gt;&lt;rec-number&gt;657&lt;/rec-number&gt;&lt;foreign-keys&gt;&lt;key app="EN" db-id="9w5xa9aajav2z3e5wp3vwxaodfvprwfrwpee" timestamp="1748940465"&gt;657&lt;/key&gt;&lt;/foreign-keys&gt;&lt;ref-type name="Journal Article"&gt;17&lt;/ref-type&gt;&lt;contributors&gt;&lt;authors&gt;&lt;author&gt;Lang, Min&lt;/author&gt;&lt;author&gt;Moore, Nina Z&lt;/author&gt;&lt;author&gt;Rasmussen, Peter A&lt;/author&gt;&lt;author&gt;Bain, Mark D&lt;/author&gt;&lt;/authors&gt;&lt;/contributors&gt;&lt;titles&gt;&lt;title&gt;Treatment outcomes of a randomized trial of unruptured brain arteriovenous malformation-eligible unruptured brain arteriovenous malformation patients&lt;/title&gt;&lt;secondary-title&gt;Neurosurgery&lt;/secondary-title&gt;&lt;/titles&gt;&lt;periodical&gt;&lt;full-title&gt;Neurosurgery&lt;/full-title&gt;&lt;/periodical&gt;&lt;pages&gt;548-555&lt;/pages&gt;&lt;volume&gt;83&lt;/volume&gt;&lt;number&gt;3&lt;/number&gt;&lt;dates&gt;&lt;year&gt;2018&lt;/year&gt;&lt;/dates&gt;&lt;isbn&gt;0148-396X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26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77B10E0A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Retrospective cohort</w:t>
            </w:r>
          </w:p>
        </w:tc>
        <w:tc>
          <w:tcPr>
            <w:tcW w:w="800" w:type="dxa"/>
          </w:tcPr>
          <w:p w14:paraId="5E748C05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105 (unruptured)</w:t>
            </w:r>
          </w:p>
        </w:tc>
        <w:tc>
          <w:tcPr>
            <w:tcW w:w="800" w:type="dxa"/>
          </w:tcPr>
          <w:p w14:paraId="382C755B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Microsurgery ± embolization vs. GKS ± embolization</w:t>
            </w:r>
          </w:p>
        </w:tc>
        <w:tc>
          <w:tcPr>
            <w:tcW w:w="828" w:type="dxa"/>
          </w:tcPr>
          <w:p w14:paraId="1C9F0039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95.5% (microsurgery) vs. 47.5% (GKS)</w:t>
            </w:r>
          </w:p>
        </w:tc>
        <w:tc>
          <w:tcPr>
            <w:tcW w:w="1253" w:type="dxa"/>
          </w:tcPr>
          <w:p w14:paraId="1AD84E38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2.1% (overall)</w: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(4.0% microsurgery, 1.2% GKS)</w:t>
            </w:r>
          </w:p>
        </w:tc>
        <w:tc>
          <w:tcPr>
            <w:tcW w:w="1178" w:type="dxa"/>
          </w:tcPr>
          <w:p w14:paraId="773D8711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3.8% (overall)</w: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(4.5% microsurgery, 3.3% GKS)</w:t>
            </w:r>
          </w:p>
        </w:tc>
        <w:tc>
          <w:tcPr>
            <w:tcW w:w="1287" w:type="dxa"/>
          </w:tcPr>
          <w:p w14:paraId="0E739762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Style w:val="Strong"/>
                <w:rFonts w:eastAsiaTheme="majorEastAsia"/>
                <w:color w:val="000000" w:themeColor="text1"/>
                <w:sz w:val="22"/>
                <w:szCs w:val="22"/>
                <w:shd w:val="clear" w:color="auto" w:fill="FFFFFF"/>
              </w:rPr>
              <w:t>9.1% (microsurgery)</w: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> vs </w:t>
            </w:r>
            <w:r w:rsidRPr="004070BD">
              <w:rPr>
                <w:rStyle w:val="Strong"/>
                <w:rFonts w:eastAsiaTheme="majorEastAsia"/>
                <w:color w:val="000000" w:themeColor="text1"/>
                <w:sz w:val="22"/>
                <w:szCs w:val="22"/>
                <w:shd w:val="clear" w:color="auto" w:fill="FFFFFF"/>
              </w:rPr>
              <w:t xml:space="preserve">4.9% (GKS) </w:t>
            </w:r>
            <w:r w:rsidRPr="004070BD">
              <w:rPr>
                <w:rStyle w:val="Strong"/>
                <w:rFonts w:eastAsiaTheme="majorEastAsia"/>
                <w:color w:val="000000" w:themeColor="text1"/>
                <w:sz w:val="22"/>
                <w:szCs w:val="22"/>
              </w:rPr>
              <w:t>(new seizures)</w:t>
            </w:r>
          </w:p>
        </w:tc>
        <w:tc>
          <w:tcPr>
            <w:tcW w:w="658" w:type="dxa"/>
          </w:tcPr>
          <w:p w14:paraId="038335FD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3.6 (mean)</w:t>
            </w:r>
          </w:p>
        </w:tc>
        <w:tc>
          <w:tcPr>
            <w:tcW w:w="719" w:type="dxa"/>
          </w:tcPr>
          <w:p w14:paraId="5BBAE4E7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44% (I-II) vs. 56% (III-V)</w:t>
            </w:r>
          </w:p>
        </w:tc>
      </w:tr>
      <w:tr w:rsidR="00384055" w:rsidRPr="004070BD" w14:paraId="23CA7A48" w14:textId="77777777" w:rsidTr="000E6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26873C18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Ding et al., </w:t>
            </w: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lastRenderedPageBreak/>
              <w:t>(2017)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&lt;EndNote&gt;&lt;Cite&gt;&lt;Author&gt;Ding&lt;/Author&gt;&lt;Year&gt;2017&lt;/Year&gt;&lt;RecNum&gt;658&lt;/RecNum&gt;&lt;DisplayText&gt;&lt;style face="superscript"&gt;35&lt;/style&gt;&lt;/DisplayText&gt;&lt;record&gt;&lt;rec-number&gt;658&lt;/rec-number&gt;&lt;foreign-keys&gt;&lt;key app="EN" db-id="9w5xa9aajav2z3e5wp3vwxaodfvprwfrwpee" timestamp="1748940465"&gt;658&lt;/key&gt;&lt;/foreign-keys&gt;&lt;ref-type name="Journal Article"&gt;17&lt;/ref-type&gt;&lt;contributors&gt;&lt;authors&gt;&lt;author&gt;Ding, Dale&lt;/author&gt;&lt;author&gt;Starke, Robert M&lt;/author&gt;&lt;author&gt;Kano, Hideyuki&lt;/author&gt;&lt;author&gt;Lee, John YK&lt;/author&gt;&lt;author&gt;Mathieu, David&lt;/author&gt;&lt;author&gt;Pierce, John&lt;/author&gt;&lt;author&gt;Huang, Paul P&lt;/author&gt;&lt;author&gt;Feliciano, Caleb&lt;/author&gt;&lt;author&gt;Rodriguez-Mercado, Rafael&lt;/author&gt;&lt;author&gt;Almodovar, Luis&lt;/author&gt;&lt;/authors&gt;&lt;/contributors&gt;&lt;titles&gt;&lt;title&gt;Stereotactic radiosurgery for Spetzler-Martin Grade III arteriovenous malformations: an international multicenter study&lt;/title&gt;&lt;secondary-title&gt;Journal of neurosurgery&lt;/secondary-title&gt;&lt;/titles&gt;&lt;periodical&gt;&lt;full-title&gt;Journal of neurosurgery&lt;/full-title&gt;&lt;/periodical&gt;&lt;pages&gt;859-871&lt;/pages&gt;&lt;volume&gt;126&lt;/volume&gt;&lt;number&gt;3&lt;/number&gt;&lt;dates&gt;&lt;year&gt;2017&lt;/year&gt;&lt;/dates&gt;&lt;isbn&gt;1933-0693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35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09" w:type="dxa"/>
          </w:tcPr>
          <w:p w14:paraId="2D192D2D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>Retrospectiv</w:t>
            </w: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>e, multicentre</w:t>
            </w:r>
          </w:p>
        </w:tc>
        <w:tc>
          <w:tcPr>
            <w:tcW w:w="800" w:type="dxa"/>
          </w:tcPr>
          <w:p w14:paraId="39E6E3A0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>526</w:t>
            </w:r>
          </w:p>
        </w:tc>
        <w:tc>
          <w:tcPr>
            <w:tcW w:w="800" w:type="dxa"/>
          </w:tcPr>
          <w:p w14:paraId="69B74784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 xml:space="preserve">Stereotactic </w:t>
            </w: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>Radiosurgery (SRS)</w:t>
            </w:r>
          </w:p>
        </w:tc>
        <w:tc>
          <w:tcPr>
            <w:tcW w:w="828" w:type="dxa"/>
          </w:tcPr>
          <w:p w14:paraId="373F7D5A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>70.7% (unrup</w:t>
            </w: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>tured)</w: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(ruptured [49.3%])</w:t>
            </w:r>
          </w:p>
        </w:tc>
        <w:tc>
          <w:tcPr>
            <w:tcW w:w="1253" w:type="dxa"/>
          </w:tcPr>
          <w:p w14:paraId="19B8BCD7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 xml:space="preserve">1.2% post SRS </w:t>
            </w: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 xml:space="preserve">(overall) (Natural history rates: </w: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>2–4%)</w:t>
            </w:r>
          </w:p>
        </w:tc>
        <w:tc>
          <w:tcPr>
            <w:tcW w:w="1178" w:type="dxa"/>
          </w:tcPr>
          <w:p w14:paraId="5F314118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>4.3% (overall)</w:t>
            </w:r>
          </w:p>
        </w:tc>
        <w:tc>
          <w:tcPr>
            <w:tcW w:w="1287" w:type="dxa"/>
          </w:tcPr>
          <w:p w14:paraId="7F9B305F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Fonts w:eastAsiaTheme="majorEastAsia"/>
                <w:color w:val="000000" w:themeColor="text1"/>
                <w:sz w:val="22"/>
                <w:szCs w:val="22"/>
                <w:shd w:val="clear" w:color="auto" w:fill="FFFFFF"/>
              </w:rPr>
              <w:t xml:space="preserve">9.4% (combined </w:t>
            </w:r>
            <w:r w:rsidRPr="004070BD">
              <w:rPr>
                <w:rFonts w:eastAsiaTheme="majorEastAsia"/>
                <w:color w:val="000000" w:themeColor="text1"/>
                <w:sz w:val="22"/>
                <w:szCs w:val="22"/>
                <w:shd w:val="clear" w:color="auto" w:fill="FFFFFF"/>
              </w:rPr>
              <w:lastRenderedPageBreak/>
              <w:t>morbidity &amp; mortality)</w:t>
            </w:r>
          </w:p>
        </w:tc>
        <w:tc>
          <w:tcPr>
            <w:tcW w:w="658" w:type="dxa"/>
          </w:tcPr>
          <w:p w14:paraId="7F9BB9F9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 xml:space="preserve">7.4 (89 </w:t>
            </w: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>months)</w:t>
            </w:r>
          </w:p>
        </w:tc>
        <w:tc>
          <w:tcPr>
            <w:tcW w:w="719" w:type="dxa"/>
          </w:tcPr>
          <w:p w14:paraId="143A8344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>III (exclu</w:t>
            </w:r>
            <w:r w:rsidRPr="004070BD">
              <w:rPr>
                <w:color w:val="000000" w:themeColor="text1"/>
                <w:sz w:val="22"/>
                <w:szCs w:val="22"/>
              </w:rPr>
              <w:lastRenderedPageBreak/>
              <w:t>sively)</w:t>
            </w:r>
          </w:p>
        </w:tc>
      </w:tr>
      <w:tr w:rsidR="00384055" w:rsidRPr="004070BD" w14:paraId="2AC95B32" w14:textId="77777777" w:rsidTr="000E6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29C1E6F0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lastRenderedPageBreak/>
              <w:t>Wong et al., (2017)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&lt;EndNote&gt;&lt;Cite&gt;&lt;Author&gt;Wong&lt;/Author&gt;&lt;Year&gt;2017&lt;/Year&gt;&lt;RecNum&gt;659&lt;/RecNum&gt;&lt;DisplayText&gt;&lt;style face="superscript"&gt;36&lt;/style&gt;&lt;/DisplayText&gt;&lt;record&gt;&lt;rec-number&gt;659&lt;/rec-number&gt;&lt;foreign-keys&gt;&lt;key app="EN" db-id="9w5xa9aajav2z3e5wp3vwxaodfvprwfrwpee" timestamp="1748940465"&gt;659&lt;/key&gt;&lt;/foreign-keys&gt;&lt;ref-type name="Journal Article"&gt;17&lt;/ref-type&gt;&lt;contributors&gt;&lt;authors&gt;&lt;author&gt;Wong, Johnny&lt;/author&gt;&lt;author&gt;Slomovic, Alana&lt;/author&gt;&lt;author&gt;Ibrahim, George&lt;/author&gt;&lt;author&gt;Radovanovic, Ivan&lt;/author&gt;&lt;author&gt;Tymianski, Michael&lt;/author&gt;&lt;/authors&gt;&lt;/contributors&gt;&lt;titles&gt;&lt;title&gt;Microsurgery for ARUBA trial (A Randomized Trial of Unruptured Brain Arteriovenous Malformation)–eligible unruptured brain arteriovenous malformations&lt;/title&gt;&lt;secondary-title&gt;Stroke&lt;/secondary-title&gt;&lt;/titles&gt;&lt;periodical&gt;&lt;full-title&gt;Stroke&lt;/full-title&gt;&lt;/periodical&gt;&lt;pages&gt;136-144&lt;/pages&gt;&lt;volume&gt;48&lt;/volume&gt;&lt;number&gt;1&lt;/number&gt;&lt;dates&gt;&lt;year&gt;2017&lt;/year&gt;&lt;/dates&gt;&lt;isbn&gt;0039-2499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36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0EC5434E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Retrospective, single-centre</w:t>
            </w:r>
          </w:p>
        </w:tc>
        <w:tc>
          <w:tcPr>
            <w:tcW w:w="800" w:type="dxa"/>
          </w:tcPr>
          <w:p w14:paraId="40B3D111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155</w:t>
            </w:r>
          </w:p>
        </w:tc>
        <w:tc>
          <w:tcPr>
            <w:tcW w:w="800" w:type="dxa"/>
          </w:tcPr>
          <w:p w14:paraId="4D6848D3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Microsurgery (± embolization)</w:t>
            </w:r>
          </w:p>
        </w:tc>
        <w:tc>
          <w:tcPr>
            <w:tcW w:w="828" w:type="dxa"/>
          </w:tcPr>
          <w:p w14:paraId="34BEA3B7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98.1% (final DSA)</w:t>
            </w:r>
          </w:p>
        </w:tc>
        <w:tc>
          <w:tcPr>
            <w:tcW w:w="1253" w:type="dxa"/>
          </w:tcPr>
          <w:p w14:paraId="109B6DE3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Not reported (natural history: 1–4%)</w:t>
            </w:r>
          </w:p>
        </w:tc>
        <w:tc>
          <w:tcPr>
            <w:tcW w:w="1178" w:type="dxa"/>
          </w:tcPr>
          <w:p w14:paraId="35D35F1A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0% (direct)</w:t>
            </w:r>
          </w:p>
        </w:tc>
        <w:tc>
          <w:tcPr>
            <w:tcW w:w="1287" w:type="dxa"/>
          </w:tcPr>
          <w:p w14:paraId="08F446C9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Fonts w:eastAsiaTheme="majorEastAsia"/>
                <w:color w:val="000000" w:themeColor="text1"/>
                <w:sz w:val="22"/>
                <w:szCs w:val="22"/>
                <w:shd w:val="clear" w:color="auto" w:fill="FFFFFF"/>
              </w:rPr>
              <w:t>16.1% (any deficit), 4.5% (mRS≥3)</w:t>
            </w:r>
          </w:p>
        </w:tc>
        <w:tc>
          <w:tcPr>
            <w:tcW w:w="658" w:type="dxa"/>
          </w:tcPr>
          <w:p w14:paraId="1E4C346F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3.0 (36.1 months)</w:t>
            </w:r>
          </w:p>
        </w:tc>
        <w:tc>
          <w:tcPr>
            <w:tcW w:w="719" w:type="dxa"/>
          </w:tcPr>
          <w:p w14:paraId="6C844EA1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I-II: 76% (118/155), III-IV: 24% (37/155)</w:t>
            </w:r>
          </w:p>
        </w:tc>
      </w:tr>
      <w:tr w:rsidR="00384055" w:rsidRPr="004070BD" w14:paraId="766BBA7E" w14:textId="77777777" w:rsidTr="000E6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09BC4570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t>Mohr et al., 2014 (ARUBA)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&lt;EndNote&gt;&lt;Cite&gt;&lt;Author&gt;Mohr&lt;/Author&gt;&lt;Year&gt;2014&lt;/Year&gt;&lt;RecNum&gt;660&lt;/RecNum&gt;&lt;DisplayText&gt;&lt;style face="superscript"&gt;12&lt;/style&gt;&lt;/DisplayText&gt;&lt;record&gt;&lt;rec-number&gt;660&lt;/rec-number&gt;&lt;foreign-keys&gt;&lt;key app="EN" db-id="9w5xa9aajav2z3e5wp3vwxaodfvprwfrwpee" timestamp="1748940465"&gt;660&lt;/key&gt;&lt;/foreign-keys&gt;&lt;ref-type name="Journal Article"&gt;17&lt;/ref-type&gt;&lt;contributors&gt;&lt;authors&gt;&lt;author&gt;Mohr, J áP&lt;/author&gt;&lt;author&gt;Parides, Michael K&lt;/author&gt;&lt;author&gt;Stapf, Christian&lt;/author&gt;&lt;author&gt;Moquete, Ellen&lt;/author&gt;&lt;author&gt;Moy, Claudia S&lt;/author&gt;&lt;author&gt;Overbey, Jessica R&lt;/author&gt;&lt;author&gt;Salman, Rustam Al-Shahi&lt;/author&gt;&lt;author&gt;Vicaut, Eric&lt;/author&gt;&lt;author&gt;Young, William L&lt;/author&gt;&lt;author&gt;Houdart, Emmanuel&lt;/author&gt;&lt;/authors&gt;&lt;/contributors&gt;&lt;titles&gt;&lt;title&gt;Medical management with or without interventional therapy for unruptured brain arteriovenous malformations (ARUBA): a multicentre, non-blinded, randomised trial&lt;/title&gt;&lt;secondary-title&gt;The Lancet&lt;/secondary-title&gt;&lt;/titles&gt;&lt;periodical&gt;&lt;full-title&gt;The Lancet&lt;/full-title&gt;&lt;/periodical&gt;&lt;pages&gt;614-621&lt;/pages&gt;&lt;volume&gt;383&lt;/volume&gt;&lt;number&gt;9917&lt;/number&gt;&lt;dates&gt;&lt;year&gt;2014&lt;/year&gt;&lt;/dates&gt;&lt;isbn&gt;0140-6736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12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16C09CFA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RCT, multicentre</w:t>
            </w:r>
          </w:p>
        </w:tc>
        <w:tc>
          <w:tcPr>
            <w:tcW w:w="800" w:type="dxa"/>
          </w:tcPr>
          <w:p w14:paraId="7652DAA4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 xml:space="preserve">223 </w:t>
            </w:r>
          </w:p>
        </w:tc>
        <w:tc>
          <w:tcPr>
            <w:tcW w:w="800" w:type="dxa"/>
          </w:tcPr>
          <w:p w14:paraId="639AABC7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Medical management (vs. interventional therapy*)</w:t>
            </w:r>
          </w:p>
        </w:tc>
        <w:tc>
          <w:tcPr>
            <w:tcW w:w="828" w:type="dxa"/>
          </w:tcPr>
          <w:p w14:paraId="3FBCE834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Not reported (focused on clinical outcomes)</w:t>
            </w:r>
          </w:p>
        </w:tc>
        <w:tc>
          <w:tcPr>
            <w:tcW w:w="1253" w:type="dxa"/>
          </w:tcPr>
          <w:p w14:paraId="4D24F6D8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2.2% (medical management)</w:t>
            </w:r>
          </w:p>
        </w:tc>
        <w:tc>
          <w:tcPr>
            <w:tcW w:w="1178" w:type="dxa"/>
          </w:tcPr>
          <w:p w14:paraId="1E1EA226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1.8% (vs. 2.6% [interventional])</w:t>
            </w:r>
          </w:p>
        </w:tc>
        <w:tc>
          <w:tcPr>
            <w:tcW w:w="1287" w:type="dxa"/>
          </w:tcPr>
          <w:p w14:paraId="183F51F1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Fonts w:eastAsiaTheme="majorEastAsia"/>
                <w:color w:val="000000" w:themeColor="text1"/>
                <w:sz w:val="22"/>
                <w:szCs w:val="22"/>
                <w:shd w:val="clear" w:color="auto" w:fill="FFFFFF"/>
              </w:rPr>
              <w:t>15.1% (vs. 46.2% [interventional]) at 30 months</w:t>
            </w:r>
          </w:p>
        </w:tc>
        <w:tc>
          <w:tcPr>
            <w:tcW w:w="658" w:type="dxa"/>
          </w:tcPr>
          <w:p w14:paraId="50373EA0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2.8 (33.3 months)</w:t>
            </w:r>
          </w:p>
        </w:tc>
        <w:tc>
          <w:tcPr>
            <w:tcW w:w="719" w:type="dxa"/>
          </w:tcPr>
          <w:p w14:paraId="726A632D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I-II: 62%, III-IV: 38%</w:t>
            </w:r>
          </w:p>
        </w:tc>
      </w:tr>
      <w:tr w:rsidR="00384055" w:rsidRPr="004070BD" w14:paraId="211F018A" w14:textId="77777777" w:rsidTr="000E6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1DDE6B70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t>Mohr et al., 2020 (ARUBA final)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&lt;EndNote&gt;&lt;Cite&gt;&lt;Author&gt;Mohr&lt;/Author&gt;&lt;Year&gt;2020&lt;/Year&gt;&lt;RecNum&gt;661&lt;/RecNum&gt;&lt;DisplayText&gt;&lt;style face="superscript"&gt;28&lt;/style&gt;&lt;/DisplayText&gt;&lt;record&gt;&lt;rec-number&gt;661&lt;/rec-number&gt;&lt;foreign-keys&gt;&lt;key app="EN" db-id="9w5xa9aajav2z3e5wp3vwxaodfvprwfrwpee" timestamp="1748940466"&gt;661&lt;/key&gt;&lt;/foreign-keys&gt;&lt;ref-type name="Journal Article"&gt;17&lt;/ref-type&gt;&lt;contributors&gt;&lt;authors&gt;&lt;author&gt;Mohr, Jay P&lt;/author&gt;&lt;author&gt;Overbey, Jessica R&lt;/author&gt;&lt;author&gt;Hartmann, Andreas&lt;/author&gt;&lt;author&gt;Von Kummer, Rüdiger&lt;/author&gt;&lt;author&gt;Salman, Rustam Al-Shahi&lt;/author&gt;&lt;author&gt;Kim, Helen&lt;/author&gt;&lt;author&gt;Van Der Worp, H Bart&lt;/author&gt;&lt;author&gt;Parides, Michael K&lt;/author&gt;&lt;author&gt;Stefani, Marco A&lt;/author&gt;&lt;author&gt;Houdart, Emmanuel&lt;/author&gt;&lt;/authors&gt;&lt;/contributors&gt;&lt;titles&gt;&lt;title&gt;Medical management with interventional therapy versus medical management alone for unruptured brain arteriovenous malformations (ARUBA): final follow-up of a multicentre, non-blinded, randomised controlled trial&lt;/title&gt;&lt;secondary-title&gt;The Lancet Neurology&lt;/secondary-title&gt;&lt;/titles&gt;&lt;periodical&gt;&lt;full-title&gt;The Lancet Neurology&lt;/full-title&gt;&lt;/periodical&gt;&lt;pages&gt;573-581&lt;/pages&gt;&lt;volume&gt;19&lt;/volume&gt;&lt;number&gt;7&lt;/number&gt;&lt;dates&gt;&lt;year&gt;2020&lt;/year&gt;&lt;/dates&gt;&lt;isbn&gt;1474-4422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28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78CC5E4F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RCT, multicentre</w:t>
            </w:r>
          </w:p>
        </w:tc>
        <w:tc>
          <w:tcPr>
            <w:tcW w:w="800" w:type="dxa"/>
          </w:tcPr>
          <w:p w14:paraId="534AE67F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226 (total)</w:t>
            </w:r>
          </w:p>
        </w:tc>
        <w:tc>
          <w:tcPr>
            <w:tcW w:w="800" w:type="dxa"/>
          </w:tcPr>
          <w:p w14:paraId="7B798241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Medical management (vs. interventional therapy*</w:t>
            </w:r>
          </w:p>
        </w:tc>
        <w:tc>
          <w:tcPr>
            <w:tcW w:w="828" w:type="dxa"/>
          </w:tcPr>
          <w:p w14:paraId="7F86FBEF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Not reported (focus on clinical outcomes)</w:t>
            </w:r>
          </w:p>
        </w:tc>
        <w:tc>
          <w:tcPr>
            <w:tcW w:w="1253" w:type="dxa"/>
          </w:tcPr>
          <w:p w14:paraId="787BF7A2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3.39 per 100 patient-years (1.7%/yr) [</w:t>
            </w:r>
            <w:r w:rsidRPr="004070BD">
              <w:rPr>
                <w:rStyle w:val="Strong"/>
                <w:color w:val="000000" w:themeColor="text1"/>
                <w:sz w:val="22"/>
                <w:szCs w:val="22"/>
              </w:rPr>
              <w:t>Interventional</w:t>
            </w:r>
            <w:r w:rsidRPr="004070BD">
              <w:rPr>
                <w:color w:val="000000" w:themeColor="text1"/>
                <w:sz w:val="22"/>
                <w:szCs w:val="22"/>
              </w:rPr>
              <w:t>: 12.32 per 100 patient-years (6.2%/yr)]</w:t>
            </w:r>
          </w:p>
        </w:tc>
        <w:tc>
          <w:tcPr>
            <w:tcW w:w="1178" w:type="dxa"/>
          </w:tcPr>
          <w:p w14:paraId="46D7ECC6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1.8% (2/110) [</w:t>
            </w:r>
            <w:r w:rsidRPr="004070BD">
              <w:rPr>
                <w:rStyle w:val="Strong"/>
                <w:color w:val="000000" w:themeColor="text1"/>
                <w:sz w:val="22"/>
                <w:szCs w:val="22"/>
              </w:rPr>
              <w:t>Interventional</w:t>
            </w:r>
            <w:r w:rsidRPr="004070BD">
              <w:rPr>
                <w:color w:val="000000" w:themeColor="text1"/>
                <w:sz w:val="22"/>
                <w:szCs w:val="22"/>
              </w:rPr>
              <w:t>: 3.4% (4/116; 2 intervention-related)]</w:t>
            </w:r>
          </w:p>
        </w:tc>
        <w:tc>
          <w:tcPr>
            <w:tcW w:w="1287" w:type="dxa"/>
          </w:tcPr>
          <w:p w14:paraId="64A3498F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Fonts w:eastAsiaTheme="majorEastAsia"/>
                <w:color w:val="000000" w:themeColor="text1"/>
                <w:sz w:val="22"/>
                <w:szCs w:val="22"/>
                <w:shd w:val="clear" w:color="auto" w:fill="FFFFFF"/>
              </w:rPr>
              <w:t>58.97 (vs. 78.73) per 100 patient-years</w:t>
            </w:r>
          </w:p>
        </w:tc>
        <w:tc>
          <w:tcPr>
            <w:tcW w:w="658" w:type="dxa"/>
          </w:tcPr>
          <w:p w14:paraId="6749E6C9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4.2 (50.4 months)</w:t>
            </w:r>
          </w:p>
        </w:tc>
        <w:tc>
          <w:tcPr>
            <w:tcW w:w="719" w:type="dxa"/>
          </w:tcPr>
          <w:p w14:paraId="1927A62E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I-II: 62%, III-IV: 38%</w:t>
            </w:r>
          </w:p>
        </w:tc>
      </w:tr>
      <w:tr w:rsidR="00384055" w:rsidRPr="004070BD" w14:paraId="3AECD917" w14:textId="77777777" w:rsidTr="000E6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3D8AC1E8" w14:textId="77777777" w:rsidR="00384055" w:rsidRPr="004070BD" w:rsidRDefault="00384055" w:rsidP="000E6A8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Style w:val="Strong"/>
                <w:rFonts w:eastAsiaTheme="majorEastAsia"/>
                <w:color w:val="000000" w:themeColor="text1"/>
                <w:sz w:val="22"/>
                <w:szCs w:val="22"/>
              </w:rPr>
              <w:t>Mohr et al. (2017)</w: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  <w:shd w:val="clear" w:color="auto" w:fill="FFFFFF"/>
              </w:rPr>
              <w:t>(ARUBA functional outcomes)</w: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instrText xml:space="preserve"> ADDIN EN.CITE &lt;EndNote&gt;&lt;Cite&gt;&lt;Author&gt;Mohr&lt;/Author&gt;&lt;Year&gt;2017&lt;/Year&gt;&lt;RecNum&gt;647&lt;/RecNum&gt;&lt;DisplayText&gt;&lt;style face="superscript"&gt;27&lt;/style&gt;&lt;/DisplayText&gt;&lt;record&gt;&lt;rec-number&gt;647&lt;/rec-number&gt;&lt;foreign-keys&gt;&lt;key app="EN" db-id="9w5xa9aajav2z3e5wp3vwxaodfvprwfrwpee" timestamp="1748940463"&gt;647&lt;/key&gt;&lt;/foreign-keys&gt;&lt;ref-type name="Journal Article"&gt;17&lt;/ref-type&gt;&lt;contributors&gt;&lt;authors&gt;&lt;author&gt;Mohr, JP&lt;/author&gt;&lt;author&gt;Overbey, Jessica R&lt;/author&gt;&lt;author&gt;Von Kummer, Ruediger&lt;/author&gt;&lt;author&gt;Stefani, Marco A&lt;/author&gt;&lt;author&gt;Libman, Richard&lt;/author&gt;&lt;author&gt;Stapf, Christian&lt;/author&gt;&lt;author&gt;Parides, Michael K&lt;/author&gt;&lt;author&gt;Pile-Spellman, John&lt;/author&gt;&lt;author&gt;Moquete, Ellen&lt;/author&gt;&lt;author&gt;Moy, Claudia S&lt;/author&gt;&lt;/authors&gt;&lt;/contributors&gt;&lt;titles&gt;&lt;title&gt;Functional impairments for outcomes in a randomized trial of unruptured brain AVMs&lt;/title&gt;&lt;secondary-title&gt;Neurology&lt;/secondary-title&gt;&lt;/titles&gt;&lt;periodical&gt;&lt;full-title&gt;Neurology&lt;/full-title&gt;&lt;/periodical&gt;&lt;pages&gt;1499-1506&lt;/pages&gt;&lt;volume&gt;89&lt;/volume&gt;&lt;number&gt;14&lt;/number&gt;&lt;dates&gt;&lt;year&gt;2017&lt;/year&gt;&lt;/dates&gt;&lt;isbn&gt;0028-3878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shd w:val="clear" w:color="auto" w:fill="FFFFFF"/>
                <w:vertAlign w:val="superscript"/>
              </w:rPr>
              <w:t>27</w:t>
            </w:r>
            <w:r w:rsidRPr="004070BD">
              <w:rPr>
                <w:color w:val="000000" w:themeColor="text1"/>
                <w:sz w:val="22"/>
                <w:szCs w:val="22"/>
                <w:shd w:val="clear" w:color="auto" w:fill="FFFFFF"/>
              </w:rPr>
              <w:fldChar w:fldCharType="end"/>
            </w:r>
          </w:p>
        </w:tc>
        <w:tc>
          <w:tcPr>
            <w:tcW w:w="809" w:type="dxa"/>
          </w:tcPr>
          <w:p w14:paraId="0F3DB2A8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Randomized controlled trial (non-blinded), multicentre</w:t>
            </w:r>
          </w:p>
        </w:tc>
        <w:tc>
          <w:tcPr>
            <w:tcW w:w="800" w:type="dxa"/>
          </w:tcPr>
          <w:p w14:paraId="4CFB948C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223</w:t>
            </w:r>
          </w:p>
        </w:tc>
        <w:tc>
          <w:tcPr>
            <w:tcW w:w="800" w:type="dxa"/>
          </w:tcPr>
          <w:p w14:paraId="6A7E9D91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Medical (vs. Interventional therapy) (IT)*</w:t>
            </w:r>
          </w:p>
        </w:tc>
        <w:tc>
          <w:tcPr>
            <w:tcW w:w="828" w:type="dxa"/>
          </w:tcPr>
          <w:p w14:paraId="166FB44C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Not reported</w:t>
            </w:r>
          </w:p>
        </w:tc>
        <w:tc>
          <w:tcPr>
            <w:tcW w:w="1253" w:type="dxa"/>
          </w:tcPr>
          <w:p w14:paraId="56647B4F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Not reported</w:t>
            </w:r>
          </w:p>
        </w:tc>
        <w:tc>
          <w:tcPr>
            <w:tcW w:w="1178" w:type="dxa"/>
          </w:tcPr>
          <w:p w14:paraId="67DB6C46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NR</w:t>
            </w:r>
          </w:p>
        </w:tc>
        <w:tc>
          <w:tcPr>
            <w:tcW w:w="1287" w:type="dxa"/>
          </w:tcPr>
          <w:p w14:paraId="67D5ACD1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15.1%</w:t>
            </w:r>
            <w:r w:rsidRPr="004070BD">
              <w:rPr>
                <w:color w:val="000000" w:themeColor="text1"/>
                <w:sz w:val="22"/>
                <w:szCs w:val="22"/>
              </w:rPr>
              <w:br/>
            </w:r>
            <w:r w:rsidRPr="004070BD">
              <w:rPr>
                <w:rStyle w:val="Strong"/>
                <w:rFonts w:eastAsiaTheme="majorEastAsia"/>
                <w:color w:val="000000" w:themeColor="text1"/>
                <w:sz w:val="22"/>
                <w:szCs w:val="22"/>
              </w:rPr>
              <w:t xml:space="preserve">(vs </w:t>
            </w:r>
            <w:r w:rsidRPr="004070BD">
              <w:rPr>
                <w:color w:val="000000" w:themeColor="text1"/>
                <w:sz w:val="22"/>
                <w:szCs w:val="22"/>
              </w:rPr>
              <w:t>46.2% intervention)</w:t>
            </w:r>
          </w:p>
        </w:tc>
        <w:tc>
          <w:tcPr>
            <w:tcW w:w="658" w:type="dxa"/>
          </w:tcPr>
          <w:p w14:paraId="0B53C3A4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2.8 (median 33.3 months)</w:t>
            </w:r>
          </w:p>
        </w:tc>
        <w:tc>
          <w:tcPr>
            <w:tcW w:w="719" w:type="dxa"/>
          </w:tcPr>
          <w:p w14:paraId="27852BC4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I-II: 62%</w:t>
            </w:r>
            <w:r w:rsidRPr="004070BD">
              <w:rPr>
                <w:color w:val="000000" w:themeColor="text1"/>
                <w:sz w:val="22"/>
                <w:szCs w:val="22"/>
              </w:rPr>
              <w:br/>
              <w:t>III-IV: 38%</w:t>
            </w:r>
          </w:p>
        </w:tc>
      </w:tr>
      <w:tr w:rsidR="00384055" w:rsidRPr="004070BD" w14:paraId="7EA2F7BF" w14:textId="77777777" w:rsidTr="000E6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2B512DDC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rFonts w:eastAsiaTheme="majorEastAsia"/>
                <w:b w:val="0"/>
                <w:bCs w:val="0"/>
                <w:color w:val="000000" w:themeColor="text1"/>
                <w:sz w:val="22"/>
                <w:szCs w:val="22"/>
              </w:rPr>
              <w:t>Ding et al., (2016)</w:t>
            </w:r>
            <w:r w:rsidRPr="004070BD">
              <w:rPr>
                <w:rFonts w:eastAsiaTheme="majorEastAsia"/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rFonts w:eastAsiaTheme="majorEastAsia"/>
                <w:color w:val="000000" w:themeColor="text1"/>
                <w:sz w:val="22"/>
                <w:szCs w:val="22"/>
              </w:rPr>
              <w:instrText xml:space="preserve"> ADDIN EN.CITE &lt;EndNote&gt;&lt;Cite&gt;&lt;Author&gt;Ding&lt;/Author&gt;&lt;Year&gt;2016&lt;/Year&gt;&lt;RecNum&gt;635&lt;/RecNum&gt;&lt;DisplayText&gt;&lt;style face="superscript"&gt;19&lt;/style&gt;&lt;/DisplayText&gt;&lt;record&gt;&lt;rec-number&gt;635&lt;/rec-number&gt;&lt;foreign-keys&gt;&lt;key app="EN" db-id="9w5xa9aajav2z3e5wp3vwxaodfvprwfrwpee" timestamp="1748940461"&gt;635&lt;/key&gt;&lt;/foreign-keys&gt;&lt;ref-type name="Journal Article"&gt;17&lt;/ref-type&gt;&lt;contributors&gt;&lt;authors&gt;&lt;author&gt;Ding, Dale&lt;/author&gt;&lt;author&gt;Starke, Robert M&lt;/author&gt;&lt;author&gt;Kano, Hideyuki&lt;/author&gt;&lt;author&gt;Mathieu, David&lt;/author&gt;&lt;author&gt;Huang, Paul&lt;/author&gt;&lt;author&gt;Kondziolka, Douglas&lt;/author&gt;&lt;author&gt;Feliciano, Caleb&lt;/author&gt;&lt;author&gt;Rodriguez-Mercado, Rafael&lt;/author&gt;&lt;author&gt;Almodovar, Luis&lt;/author&gt;&lt;author&gt;Grills, Inga S&lt;/author&gt;&lt;/authors&gt;&lt;/contributors&gt;&lt;titles&gt;&lt;title&gt;Radiosurgery for cerebral arteriovenous malformations in a randomized trial of unruptured brain arteriovenous malformations (ARUBA)-eligible patients: a multicenter study&lt;/title&gt;&lt;secondary-title&gt;Stroke&lt;/secondary-title&gt;&lt;/titles&gt;&lt;periodical&gt;&lt;full-title&gt;Stroke&lt;/full-title&gt;&lt;/periodical&gt;&lt;pages&gt;342-349&lt;/pages&gt;&lt;volume&gt;47&lt;/volume&gt;&lt;number&gt;2&lt;/number&gt;&lt;dates&gt;&lt;year&gt;2016&lt;/year&gt;&lt;/dates&gt;&lt;isbn&gt;0039-2499&lt;/isbn&gt;&lt;urls&gt;&lt;/urls&gt;&lt;/record&gt;&lt;/Cite&gt;&lt;/EndNote&gt;</w:instrText>
            </w:r>
            <w:r w:rsidRPr="004070BD">
              <w:rPr>
                <w:rFonts w:eastAsiaTheme="majorEastAsia"/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rFonts w:eastAsiaTheme="majorEastAsia"/>
                <w:noProof/>
                <w:color w:val="000000" w:themeColor="text1"/>
                <w:sz w:val="22"/>
                <w:szCs w:val="22"/>
                <w:vertAlign w:val="superscript"/>
              </w:rPr>
              <w:t>19</w:t>
            </w:r>
            <w:r w:rsidRPr="004070BD">
              <w:rPr>
                <w:rFonts w:eastAsiaTheme="majorEastAsia"/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645916FA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Multicentre, Retrospective</w:t>
            </w:r>
          </w:p>
        </w:tc>
        <w:tc>
          <w:tcPr>
            <w:tcW w:w="800" w:type="dxa"/>
          </w:tcPr>
          <w:p w14:paraId="48D36EA7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509</w:t>
            </w:r>
          </w:p>
        </w:tc>
        <w:tc>
          <w:tcPr>
            <w:tcW w:w="800" w:type="dxa"/>
          </w:tcPr>
          <w:p w14:paraId="7248E3D7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Radiosurgery (SRS)</w:t>
            </w:r>
          </w:p>
        </w:tc>
        <w:tc>
          <w:tcPr>
            <w:tcW w:w="828" w:type="dxa"/>
          </w:tcPr>
          <w:p w14:paraId="7159B3E0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75% (MRI/Angio confirmed)</w:t>
            </w:r>
          </w:p>
        </w:tc>
        <w:tc>
          <w:tcPr>
            <w:tcW w:w="1253" w:type="dxa"/>
          </w:tcPr>
          <w:p w14:paraId="1956937C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0.9%</w:t>
            </w:r>
          </w:p>
        </w:tc>
        <w:tc>
          <w:tcPr>
            <w:tcW w:w="1178" w:type="dxa"/>
          </w:tcPr>
          <w:p w14:paraId="2964C04F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4.3%</w:t>
            </w:r>
          </w:p>
        </w:tc>
        <w:tc>
          <w:tcPr>
            <w:tcW w:w="1287" w:type="dxa"/>
          </w:tcPr>
          <w:p w14:paraId="19325C63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rFonts w:eastAsiaTheme="majorEastAsia"/>
                <w:color w:val="000000" w:themeColor="text1"/>
                <w:sz w:val="22"/>
                <w:szCs w:val="22"/>
              </w:rPr>
              <w:t>4.</w:t>
            </w:r>
            <w:r w:rsidRPr="004070BD">
              <w:rPr>
                <w:color w:val="000000" w:themeColor="text1"/>
                <w:sz w:val="22"/>
                <w:szCs w:val="22"/>
              </w:rPr>
              <w:t>5%</w:t>
            </w:r>
          </w:p>
        </w:tc>
        <w:tc>
          <w:tcPr>
            <w:tcW w:w="658" w:type="dxa"/>
          </w:tcPr>
          <w:p w14:paraId="3C0EF298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7.2 (86.2 months)</w:t>
            </w:r>
          </w:p>
        </w:tc>
        <w:tc>
          <w:tcPr>
            <w:tcW w:w="719" w:type="dxa"/>
          </w:tcPr>
          <w:p w14:paraId="247D86A4" w14:textId="77777777" w:rsidR="00384055" w:rsidRPr="004070BD" w:rsidRDefault="00384055" w:rsidP="000E6A8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46% (I-II) / 54% (III-IV)</w:t>
            </w:r>
          </w:p>
        </w:tc>
      </w:tr>
      <w:tr w:rsidR="00384055" w:rsidRPr="004070BD" w14:paraId="72C9DAA2" w14:textId="77777777" w:rsidTr="000E6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</w:tcPr>
          <w:p w14:paraId="4D07671A" w14:textId="77777777" w:rsidR="00384055" w:rsidRPr="004070BD" w:rsidRDefault="00384055" w:rsidP="000E6A87">
            <w:pPr>
              <w:jc w:val="both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070BD">
              <w:rPr>
                <w:b w:val="0"/>
                <w:bCs w:val="0"/>
                <w:color w:val="000000" w:themeColor="text1"/>
                <w:sz w:val="22"/>
                <w:szCs w:val="22"/>
              </w:rPr>
              <w:lastRenderedPageBreak/>
              <w:t>Ding et al., (2017)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begin"/>
            </w:r>
            <w:r w:rsidRPr="004070BD">
              <w:rPr>
                <w:color w:val="000000" w:themeColor="text1"/>
                <w:sz w:val="22"/>
                <w:szCs w:val="22"/>
              </w:rPr>
              <w:instrText xml:space="preserve"> ADDIN EN.CITE &lt;EndNote&gt;&lt;Cite&gt;&lt;Author&gt;Ding&lt;/Author&gt;&lt;Year&gt;2017&lt;/Year&gt;&lt;RecNum&gt;648&lt;/RecNum&gt;&lt;DisplayText&gt;&lt;style face="superscript"&gt;37&lt;/style&gt;&lt;/DisplayText&gt;&lt;record&gt;&lt;rec-number&gt;648&lt;/rec-number&gt;&lt;foreign-keys&gt;&lt;key app="EN" db-id="9w5xa9aajav2z3e5wp3vwxaodfvprwfrwpee" timestamp="1748940463"&gt;648&lt;/key&gt;&lt;/foreign-keys&gt;&lt;ref-type name="Journal Article"&gt;17&lt;/ref-type&gt;&lt;contributors&gt;&lt;authors&gt;&lt;author&gt;Ding, Dale&lt;/author&gt;&lt;author&gt;Starke, Robert M&lt;/author&gt;&lt;author&gt;Kano, Hideyuki&lt;/author&gt;&lt;author&gt;Mathieu, David&lt;/author&gt;&lt;author&gt;Huang, Paul P&lt;/author&gt;&lt;author&gt;Kondziolka, Douglas&lt;/author&gt;&lt;author&gt;Feliciano, Caleb&lt;/author&gt;&lt;author&gt;Rodriguez-Mercado, Rafael&lt;/author&gt;&lt;author&gt;Almodovar, Luis&lt;/author&gt;&lt;author&gt;Grills, Inga S&lt;/author&gt;&lt;/authors&gt;&lt;/contributors&gt;&lt;titles&gt;&lt;title&gt;Stereotactic radiosurgery for ARUBA (A Randomized Trial of Unruptured Brain Arteriovenous Malformations)–eligible Spetzler-Martin Grade I and II arteriovenous malformations: a multicenter study&lt;/title&gt;&lt;secondary-title&gt;World neurosurgery&lt;/secondary-title&gt;&lt;/titles&gt;&lt;periodical&gt;&lt;full-title&gt;World Neurosurgery&lt;/full-title&gt;&lt;/periodical&gt;&lt;pages&gt;507-517&lt;/pages&gt;&lt;volume&gt;102&lt;/volume&gt;&lt;dates&gt;&lt;year&gt;2017&lt;/year&gt;&lt;/dates&gt;&lt;isbn&gt;1878-8750&lt;/isbn&gt;&lt;urls&gt;&lt;/urls&gt;&lt;/record&gt;&lt;/Cite&gt;&lt;/EndNote&gt;</w:instrTex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separate"/>
            </w:r>
            <w:r w:rsidRPr="004070BD">
              <w:rPr>
                <w:noProof/>
                <w:color w:val="000000" w:themeColor="text1"/>
                <w:sz w:val="22"/>
                <w:szCs w:val="22"/>
                <w:vertAlign w:val="superscript"/>
              </w:rPr>
              <w:t>37</w:t>
            </w:r>
            <w:r w:rsidRPr="004070BD">
              <w:rPr>
                <w:color w:val="000000" w:themeColor="text1"/>
                <w:sz w:val="22"/>
                <w:szCs w:val="22"/>
              </w:rPr>
              <w:fldChar w:fldCharType="end"/>
            </w:r>
          </w:p>
        </w:tc>
        <w:tc>
          <w:tcPr>
            <w:tcW w:w="809" w:type="dxa"/>
          </w:tcPr>
          <w:p w14:paraId="300B2F15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Multicentre, Retrospective</w:t>
            </w:r>
          </w:p>
        </w:tc>
        <w:tc>
          <w:tcPr>
            <w:tcW w:w="800" w:type="dxa"/>
          </w:tcPr>
          <w:p w14:paraId="3819FBEA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232</w:t>
            </w:r>
          </w:p>
        </w:tc>
        <w:tc>
          <w:tcPr>
            <w:tcW w:w="800" w:type="dxa"/>
          </w:tcPr>
          <w:p w14:paraId="57E21E31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Radiosurgery (SRS)</w:t>
            </w:r>
          </w:p>
        </w:tc>
        <w:tc>
          <w:tcPr>
            <w:tcW w:w="828" w:type="dxa"/>
          </w:tcPr>
          <w:p w14:paraId="18AD2401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72% at 5yrs, 87% at 10yrs</w:t>
            </w:r>
          </w:p>
        </w:tc>
        <w:tc>
          <w:tcPr>
            <w:tcW w:w="1253" w:type="dxa"/>
          </w:tcPr>
          <w:p w14:paraId="454B0AE9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1.0%</w:t>
            </w:r>
          </w:p>
        </w:tc>
        <w:tc>
          <w:tcPr>
            <w:tcW w:w="1178" w:type="dxa"/>
          </w:tcPr>
          <w:p w14:paraId="6AEE7099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10% (stroke/mortality)</w:t>
            </w:r>
          </w:p>
        </w:tc>
        <w:tc>
          <w:tcPr>
            <w:tcW w:w="1287" w:type="dxa"/>
          </w:tcPr>
          <w:p w14:paraId="58628342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NR</w:t>
            </w:r>
          </w:p>
        </w:tc>
        <w:tc>
          <w:tcPr>
            <w:tcW w:w="658" w:type="dxa"/>
          </w:tcPr>
          <w:p w14:paraId="5652678C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7.5 (90.5 months)</w:t>
            </w:r>
          </w:p>
        </w:tc>
        <w:tc>
          <w:tcPr>
            <w:tcW w:w="719" w:type="dxa"/>
          </w:tcPr>
          <w:p w14:paraId="325B4744" w14:textId="77777777" w:rsidR="00384055" w:rsidRPr="004070BD" w:rsidRDefault="00384055" w:rsidP="000E6A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070BD">
              <w:rPr>
                <w:color w:val="000000" w:themeColor="text1"/>
                <w:sz w:val="22"/>
                <w:szCs w:val="22"/>
              </w:rPr>
              <w:t>100% (I-II) / 0% (III-V)</w:t>
            </w:r>
          </w:p>
        </w:tc>
      </w:tr>
    </w:tbl>
    <w:p w14:paraId="44D57E60" w14:textId="77777777" w:rsidR="00384055" w:rsidRPr="004070BD" w:rsidRDefault="00384055" w:rsidP="00384055">
      <w:pPr>
        <w:spacing w:line="360" w:lineRule="auto"/>
        <w:jc w:val="both"/>
        <w:rPr>
          <w:color w:val="000000" w:themeColor="text1"/>
        </w:rPr>
      </w:pPr>
    </w:p>
    <w:p w14:paraId="4D5DF6BA" w14:textId="77777777" w:rsidR="00384055" w:rsidRPr="004070BD" w:rsidRDefault="00384055" w:rsidP="00384055">
      <w:pPr>
        <w:spacing w:line="360" w:lineRule="auto"/>
        <w:jc w:val="both"/>
        <w:rPr>
          <w:color w:val="000000" w:themeColor="text1"/>
        </w:rPr>
      </w:pPr>
    </w:p>
    <w:p w14:paraId="57709AAF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055"/>
    <w:rsid w:val="002478EE"/>
    <w:rsid w:val="002E281E"/>
    <w:rsid w:val="003201BB"/>
    <w:rsid w:val="00384055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FE033"/>
  <w15:chartTrackingRefBased/>
  <w15:docId w15:val="{A8E8F4AE-33A4-427C-9FA3-3C2C8C559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055"/>
    <w:pPr>
      <w:spacing w:after="0" w:line="240" w:lineRule="auto"/>
    </w:pPr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405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405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405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405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405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405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405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405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405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0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40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40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40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40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40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40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40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40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405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40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405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40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405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40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405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40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40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40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4055"/>
    <w:rPr>
      <w:b/>
      <w:bCs/>
      <w:smallCaps/>
      <w:color w:val="0F4761" w:themeColor="accent1" w:themeShade="BF"/>
      <w:spacing w:val="5"/>
    </w:rPr>
  </w:style>
  <w:style w:type="paragraph" w:customStyle="1" w:styleId="ds-markdown-paragraph">
    <w:name w:val="ds-markdown-paragraph"/>
    <w:basedOn w:val="Normal"/>
    <w:link w:val="ds-markdown-paragraphChar"/>
    <w:rsid w:val="00384055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384055"/>
    <w:rPr>
      <w:b/>
      <w:bCs/>
    </w:rPr>
  </w:style>
  <w:style w:type="character" w:customStyle="1" w:styleId="relative">
    <w:name w:val="relative"/>
    <w:basedOn w:val="DefaultParagraphFont"/>
    <w:rsid w:val="00384055"/>
  </w:style>
  <w:style w:type="table" w:styleId="PlainTable2">
    <w:name w:val="Plain Table 2"/>
    <w:basedOn w:val="TableNormal"/>
    <w:uiPriority w:val="42"/>
    <w:rsid w:val="00384055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ds-markdown-paragraphChar">
    <w:name w:val="ds-markdown-paragraph Char"/>
    <w:basedOn w:val="DefaultParagraphFont"/>
    <w:link w:val="ds-markdown-paragraph"/>
    <w:rsid w:val="00384055"/>
    <w:rPr>
      <w:rFonts w:ascii="Times New Roman" w:eastAsia="Times New Roman" w:hAnsi="Times New Roman" w:cs="Times New Roman"/>
      <w:kern w:val="0"/>
      <w:lang w:val="en-AU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3379</Words>
  <Characters>19266</Characters>
  <Application>Microsoft Office Word</Application>
  <DocSecurity>0</DocSecurity>
  <Lines>160</Lines>
  <Paragraphs>45</Paragraphs>
  <ScaleCrop>false</ScaleCrop>
  <Company>Springer Nature</Company>
  <LinksUpToDate>false</LinksUpToDate>
  <CharactersWithSpaces>22600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2025-08-06T06:50:00Z</dcterms:created>
  <dcterms:modified xsi:type="dcterms:W3CDTF">2025-08-06T06:50:00Z</dcterms:modified>
</cp:coreProperties>
</file>