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E3D14" w14:textId="77777777" w:rsidR="00435E0C" w:rsidRDefault="00435E0C" w:rsidP="00435E0C">
      <w:pPr>
        <w:spacing w:line="360" w:lineRule="auto"/>
        <w:jc w:val="left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Supplemental information</w:t>
      </w:r>
    </w:p>
    <w:p w14:paraId="799A10F0" w14:textId="77777777" w:rsidR="00435E0C" w:rsidRDefault="00435E0C" w:rsidP="00435E0C">
      <w:pPr>
        <w:spacing w:line="360" w:lineRule="auto"/>
        <w:jc w:val="left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Supplementary Figures: </w:t>
      </w:r>
    </w:p>
    <w:p w14:paraId="2688BDE0" w14:textId="77777777" w:rsidR="00435E0C" w:rsidRDefault="00435E0C" w:rsidP="00435E0C">
      <w:pPr>
        <w:spacing w:line="360" w:lineRule="auto"/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Additional file 1: Figure S1. The sample similarity of each subgroup was assessed by calculating the Silhoutte score.</w:t>
      </w:r>
    </w:p>
    <w:p w14:paraId="66E9096C" w14:textId="77777777" w:rsidR="00435E0C" w:rsidRDefault="00435E0C" w:rsidP="00435E0C">
      <w:pPr>
        <w:spacing w:line="360" w:lineRule="auto"/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Additional file 1: Figure S2. The cluster prediction index and gap statistical analysis of the multi-omics clusters.</w:t>
      </w:r>
    </w:p>
    <w:p w14:paraId="151B6647" w14:textId="77777777" w:rsidR="00435E0C" w:rsidRDefault="00435E0C" w:rsidP="00435E0C">
      <w:pPr>
        <w:spacing w:line="360" w:lineRule="auto"/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Additional file 1: Figure S6-S11. The TWAS analysis validation results of TCGA and meta-GEO cohorts.</w:t>
      </w:r>
    </w:p>
    <w:p w14:paraId="572F76CD" w14:textId="77777777" w:rsidR="00435E0C" w:rsidRDefault="00435E0C" w:rsidP="00435E0C">
      <w:pPr>
        <w:spacing w:line="360" w:lineRule="auto"/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Additional file 1: Figure S6-S11. The single-gene expression analysis and OS survival analysis of CLMS in TCGA cohorts.</w:t>
      </w:r>
    </w:p>
    <w:p w14:paraId="52ED7B7A" w14:textId="77777777" w:rsidR="00435E0C" w:rsidRDefault="00435E0C" w:rsidP="00435E0C">
      <w:pPr>
        <w:spacing w:line="360" w:lineRule="auto"/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Additional file 1: Figure S12-S17. The single-gene expression analysis and OS survival analysis of CLMS in meta-GEO cohorts.</w:t>
      </w:r>
    </w:p>
    <w:p w14:paraId="7BA6CB76" w14:textId="77777777" w:rsidR="00435E0C" w:rsidRDefault="00435E0C" w:rsidP="00435E0C">
      <w:pPr>
        <w:spacing w:line="360" w:lineRule="auto"/>
        <w:jc w:val="left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Supplementary Tables:</w:t>
      </w:r>
    </w:p>
    <w:p w14:paraId="48D86D65" w14:textId="77777777" w:rsidR="00435E0C" w:rsidRDefault="00435E0C" w:rsidP="00435E0C">
      <w:pPr>
        <w:spacing w:line="360" w:lineRule="auto"/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Additional file 2: Table S1. The main characteristic of datasets used in this study</w:t>
      </w:r>
    </w:p>
    <w:p w14:paraId="31E99B87" w14:textId="77777777" w:rsidR="00435E0C" w:rsidRDefault="00435E0C" w:rsidP="00435E0C">
      <w:pPr>
        <w:spacing w:line="360" w:lineRule="auto"/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Additional file 2: Table S2. The significant TWAS analysis results between Skin Not Sun Exposed Suprapubic and melanoma.</w:t>
      </w:r>
    </w:p>
    <w:p w14:paraId="6A0049BB" w14:textId="77777777" w:rsidR="00435E0C" w:rsidRDefault="00435E0C" w:rsidP="00435E0C">
      <w:pPr>
        <w:spacing w:line="360" w:lineRule="auto"/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Additional file 2: Table S3. The significant TWAS analysis results between Skin Sun Exposed Lower leg and melanoma.</w:t>
      </w:r>
    </w:p>
    <w:p w14:paraId="281973E9" w14:textId="77777777" w:rsidR="00435E0C" w:rsidRDefault="00435E0C" w:rsidP="00435E0C">
      <w:pPr>
        <w:spacing w:line="360" w:lineRule="auto"/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Additional file 2: Table S4. The significant TWAS analysis results between Whole Blood and melanoma.</w:t>
      </w:r>
    </w:p>
    <w:p w14:paraId="7380777A" w14:textId="77777777" w:rsidR="00435E0C" w:rsidRDefault="00435E0C" w:rsidP="00435E0C">
      <w:pPr>
        <w:spacing w:line="360" w:lineRule="auto"/>
        <w:jc w:val="left"/>
        <w:rPr>
          <w:rFonts w:ascii="Times New Roman" w:hAnsi="Times New Roman" w:cs="Times New Roman"/>
          <w:sz w:val="22"/>
          <w:szCs w:val="22"/>
        </w:rPr>
      </w:pPr>
    </w:p>
    <w:p w14:paraId="7577930C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E0C"/>
    <w:rsid w:val="002E281E"/>
    <w:rsid w:val="003201BB"/>
    <w:rsid w:val="00435E0C"/>
    <w:rsid w:val="00865217"/>
    <w:rsid w:val="008D2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31D91"/>
  <w15:chartTrackingRefBased/>
  <w15:docId w15:val="{F9D13469-CA4D-4AC7-B894-FDF307BD2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5E0C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5E0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5E0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5E0C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5E0C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5E0C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5E0C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5E0C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5E0C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5E0C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5E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5E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5E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5E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5E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5E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5E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5E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5E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5E0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35E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5E0C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35E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5E0C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35E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5E0C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35E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5E0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5E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5E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916</Characters>
  <Application>Microsoft Office Word</Application>
  <DocSecurity>0</DocSecurity>
  <Lines>7</Lines>
  <Paragraphs>2</Paragraphs>
  <ScaleCrop>false</ScaleCrop>
  <Company>Springer Nature</Company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2025-09-18T21:53:00Z</dcterms:created>
  <dcterms:modified xsi:type="dcterms:W3CDTF">2025-09-18T21:53:00Z</dcterms:modified>
</cp:coreProperties>
</file>