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AE8D" w14:textId="3B4BAC9A" w:rsidR="00A42599" w:rsidRPr="005F161D" w:rsidRDefault="00A42599" w:rsidP="00A42599">
      <w:pPr>
        <w:rPr>
          <w:rFonts w:cs="Arial"/>
          <w:i/>
          <w:iCs/>
          <w:sz w:val="24"/>
          <w:szCs w:val="32"/>
          <w:lang w:val="en-US"/>
        </w:rPr>
      </w:pPr>
      <w:r w:rsidRPr="005F161D">
        <w:rPr>
          <w:rFonts w:cs="Arial"/>
          <w:i/>
          <w:iCs/>
          <w:sz w:val="24"/>
          <w:szCs w:val="32"/>
          <w:lang w:val="en-US"/>
        </w:rPr>
        <w:t>Supplementary information of</w:t>
      </w:r>
    </w:p>
    <w:p w14:paraId="6D64A7F0" w14:textId="77777777" w:rsidR="00055AD2" w:rsidRPr="00055AD2" w:rsidRDefault="00055AD2" w:rsidP="00A42599">
      <w:pPr>
        <w:pStyle w:val="Authors"/>
        <w:rPr>
          <w:rFonts w:ascii="Arial" w:hAnsi="Arial" w:cs="Arial"/>
          <w:bCs/>
          <w:sz w:val="34"/>
        </w:rPr>
      </w:pPr>
      <w:r w:rsidRPr="00055AD2">
        <w:rPr>
          <w:rFonts w:ascii="Arial" w:hAnsi="Arial" w:cs="Arial"/>
          <w:bCs/>
          <w:sz w:val="34"/>
        </w:rPr>
        <w:t>Focused groundwater recharge driven by landscape controls and climate</w:t>
      </w:r>
    </w:p>
    <w:p w14:paraId="37A6C562" w14:textId="42C7285F" w:rsidR="00A42599" w:rsidRPr="005F161D" w:rsidRDefault="00A42599" w:rsidP="00A42599">
      <w:pPr>
        <w:pStyle w:val="Authors"/>
        <w:rPr>
          <w:rFonts w:ascii="Arial" w:hAnsi="Arial" w:cs="Arial"/>
        </w:rPr>
      </w:pPr>
      <w:r w:rsidRPr="005F161D">
        <w:rPr>
          <w:rFonts w:ascii="Arial" w:hAnsi="Arial" w:cs="Arial"/>
        </w:rPr>
        <w:t>Stephen Lee et al.</w:t>
      </w:r>
    </w:p>
    <w:p w14:paraId="13EF217D" w14:textId="77777777" w:rsidR="00A42599" w:rsidRPr="005F161D" w:rsidRDefault="00A42599" w:rsidP="00A42599">
      <w:pPr>
        <w:pStyle w:val="Authors"/>
        <w:rPr>
          <w:rFonts w:ascii="Arial" w:hAnsi="Arial" w:cs="Arial"/>
        </w:rPr>
      </w:pPr>
    </w:p>
    <w:p w14:paraId="57E46691" w14:textId="77777777" w:rsidR="00A42599" w:rsidRPr="005F161D" w:rsidRDefault="00A42599" w:rsidP="00A42599">
      <w:pPr>
        <w:pStyle w:val="Correspondence"/>
        <w:rPr>
          <w:rFonts w:ascii="Arial" w:hAnsi="Arial" w:cs="Arial"/>
          <w:lang w:val="en-US"/>
        </w:rPr>
      </w:pPr>
      <w:r w:rsidRPr="005F161D">
        <w:rPr>
          <w:rFonts w:ascii="Arial" w:hAnsi="Arial" w:cs="Arial"/>
          <w:i/>
          <w:iCs/>
          <w:lang w:val="en-US"/>
        </w:rPr>
        <w:t>Correspondence to:</w:t>
      </w:r>
      <w:r w:rsidRPr="005F161D">
        <w:rPr>
          <w:rFonts w:ascii="Arial" w:hAnsi="Arial" w:cs="Arial"/>
          <w:lang w:val="en-US"/>
        </w:rPr>
        <w:t xml:space="preserve"> Stephen Lee (</w:t>
      </w:r>
      <w:hyperlink r:id="rId7" w:history="1">
        <w:r w:rsidRPr="005F161D">
          <w:rPr>
            <w:rStyle w:val="Hyperlink"/>
            <w:rFonts w:ascii="Arial" w:eastAsiaTheme="majorEastAsia" w:hAnsi="Arial" w:cs="Arial"/>
            <w:lang w:val="en-US"/>
          </w:rPr>
          <w:t>stephen.lee@cdu.edu.au</w:t>
        </w:r>
      </w:hyperlink>
      <w:r w:rsidRPr="005F161D">
        <w:rPr>
          <w:rFonts w:ascii="Arial" w:hAnsi="Arial" w:cs="Arial"/>
          <w:lang w:val="en-US"/>
        </w:rPr>
        <w:t>)</w:t>
      </w:r>
    </w:p>
    <w:p w14:paraId="703F9E51" w14:textId="77777777" w:rsidR="00A42599" w:rsidRPr="005F161D" w:rsidRDefault="00A42599" w:rsidP="00A42599">
      <w:pPr>
        <w:pStyle w:val="Heading-Secondary"/>
        <w:rPr>
          <w:rFonts w:ascii="Arial" w:hAnsi="Arial" w:cs="Arial"/>
        </w:rPr>
      </w:pPr>
      <w:r w:rsidRPr="005F161D">
        <w:rPr>
          <w:rFonts w:ascii="Arial" w:hAnsi="Arial" w:cs="Arial"/>
        </w:rPr>
        <w:t>1. Figures and tables</w:t>
      </w:r>
    </w:p>
    <w:p w14:paraId="53A97ADE" w14:textId="6012159F" w:rsidR="00A42599" w:rsidRPr="005F161D" w:rsidRDefault="008D281C" w:rsidP="00A42599">
      <w:pPr>
        <w:pStyle w:val="DoubleSpace"/>
        <w:keepNext/>
        <w:rPr>
          <w:rFonts w:cs="Arial"/>
        </w:rPr>
      </w:pPr>
      <w:r>
        <w:rPr>
          <w:rFonts w:cs="Arial"/>
          <w:noProof/>
        </w:rPr>
        <w:drawing>
          <wp:inline distT="0" distB="0" distL="0" distR="0" wp14:anchorId="30D45C04" wp14:editId="2DCD0B67">
            <wp:extent cx="5740002" cy="4097547"/>
            <wp:effectExtent l="0" t="0" r="0" b="0"/>
            <wp:docPr id="2089882485" name="Picture 1" descr="A graph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882485" name="Picture 1" descr="A graph of a 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6930" cy="4123908"/>
                    </a:xfrm>
                    <a:prstGeom prst="rect">
                      <a:avLst/>
                    </a:prstGeom>
                    <a:noFill/>
                    <a:ln>
                      <a:noFill/>
                    </a:ln>
                  </pic:spPr>
                </pic:pic>
              </a:graphicData>
            </a:graphic>
          </wp:inline>
        </w:drawing>
      </w:r>
    </w:p>
    <w:p w14:paraId="27DB70CA" w14:textId="2940F92F" w:rsidR="00A42599" w:rsidRPr="005F161D" w:rsidRDefault="005F161D" w:rsidP="00A42599">
      <w:pPr>
        <w:pStyle w:val="Caption"/>
        <w:rPr>
          <w:rFonts w:ascii="Arial" w:hAnsi="Arial" w:cs="Arial"/>
        </w:rPr>
      </w:pPr>
      <w:r>
        <w:rPr>
          <w:rFonts w:ascii="Arial" w:hAnsi="Arial" w:cs="Arial"/>
        </w:rPr>
        <w:t>Figure S1</w:t>
      </w:r>
      <w:r w:rsidR="00A42599" w:rsidRPr="005F161D">
        <w:rPr>
          <w:rFonts w:ascii="Arial" w:hAnsi="Arial" w:cs="Arial"/>
        </w:rPr>
        <w:t xml:space="preserve">. Box plots showing </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G</w:t>
      </w:r>
      <w:r w:rsidR="00A42599" w:rsidRPr="005F161D">
        <w:rPr>
          <w:rFonts w:ascii="Arial" w:hAnsi="Arial" w:cs="Arial"/>
        </w:rPr>
        <w:t>/</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P5</w:t>
      </w:r>
      <w:r w:rsidR="00A42599" w:rsidRPr="005F161D">
        <w:rPr>
          <w:rFonts w:ascii="Arial" w:hAnsi="Arial" w:cs="Arial"/>
        </w:rPr>
        <w:t xml:space="preserve"> residuals distribution for high- and low-likelihood focused recharge bores across different landscape controls. </w:t>
      </w:r>
      <w:r w:rsidR="00A42599" w:rsidRPr="002E69D6">
        <w:rPr>
          <w:rFonts w:ascii="Arial" w:hAnsi="Arial" w:cs="Arial"/>
          <w:b w:val="0"/>
          <w:bCs/>
        </w:rPr>
        <w:t>On box plots the black line denotes the median, the bottom and top of the boxes denote the 25th and 75th quartiles (i.e., the interquartile range, IQR), and the whiskers are ±1.5×IQR</w:t>
      </w:r>
    </w:p>
    <w:p w14:paraId="2882BC91" w14:textId="3F4149FC" w:rsidR="00A42599" w:rsidRPr="005F161D" w:rsidRDefault="008D281C" w:rsidP="00A42599">
      <w:pPr>
        <w:pStyle w:val="DoubleSpace"/>
        <w:rPr>
          <w:rFonts w:cs="Arial"/>
        </w:rPr>
      </w:pPr>
      <w:r>
        <w:rPr>
          <w:rFonts w:cs="Arial"/>
          <w:noProof/>
        </w:rPr>
        <w:lastRenderedPageBreak/>
        <w:drawing>
          <wp:inline distT="0" distB="0" distL="0" distR="0" wp14:anchorId="2892D530" wp14:editId="49647443">
            <wp:extent cx="5693434" cy="4270076"/>
            <wp:effectExtent l="0" t="0" r="2540" b="0"/>
            <wp:docPr id="10808584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9677" cy="4282258"/>
                    </a:xfrm>
                    <a:prstGeom prst="rect">
                      <a:avLst/>
                    </a:prstGeom>
                    <a:noFill/>
                    <a:ln>
                      <a:noFill/>
                    </a:ln>
                  </pic:spPr>
                </pic:pic>
              </a:graphicData>
            </a:graphic>
          </wp:inline>
        </w:drawing>
      </w:r>
    </w:p>
    <w:p w14:paraId="3A88CF95" w14:textId="5B8A7836" w:rsidR="00A42599" w:rsidRPr="005F161D" w:rsidRDefault="005F161D" w:rsidP="00A42599">
      <w:pPr>
        <w:pStyle w:val="Caption"/>
        <w:rPr>
          <w:rFonts w:ascii="Arial" w:hAnsi="Arial" w:cs="Arial"/>
        </w:rPr>
      </w:pPr>
      <w:r>
        <w:rPr>
          <w:rFonts w:ascii="Arial" w:hAnsi="Arial" w:cs="Arial"/>
        </w:rPr>
        <w:t>Figure S2</w:t>
      </w:r>
      <w:r w:rsidR="00A42599" w:rsidRPr="005F161D">
        <w:rPr>
          <w:rFonts w:ascii="Arial" w:hAnsi="Arial" w:cs="Arial"/>
        </w:rPr>
        <w:t xml:space="preserve">. Box plots showing </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G</w:t>
      </w:r>
      <w:r w:rsidR="00A42599" w:rsidRPr="005F161D">
        <w:rPr>
          <w:rFonts w:ascii="Arial" w:hAnsi="Arial" w:cs="Arial"/>
        </w:rPr>
        <w:t>/</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P5</w:t>
      </w:r>
      <w:r w:rsidR="00A42599" w:rsidRPr="005F161D">
        <w:rPr>
          <w:rFonts w:ascii="Arial" w:hAnsi="Arial" w:cs="Arial"/>
        </w:rPr>
        <w:t xml:space="preserve"> residuals distribution for high- and low-likelihood focused recharge bores across different landscape controls combinations.</w:t>
      </w:r>
      <w:r w:rsidR="00A42599" w:rsidRPr="002E69D6">
        <w:rPr>
          <w:rFonts w:ascii="Arial" w:hAnsi="Arial" w:cs="Arial"/>
          <w:b w:val="0"/>
          <w:bCs/>
        </w:rPr>
        <w:t xml:space="preserve"> On box plots the black line denotes the median, the bottom and top of the boxes denote the 25th and 75th quartiles (i.e., the interquartile range, IQR), and the whiskers are ±1.5×IQR</w:t>
      </w:r>
    </w:p>
    <w:p w14:paraId="2D9056DB" w14:textId="129D744A" w:rsidR="00A42599" w:rsidRPr="005F161D" w:rsidRDefault="007A6B2D" w:rsidP="008422FE">
      <w:pPr>
        <w:pStyle w:val="DoubleSpace"/>
        <w:keepNext/>
        <w:jc w:val="center"/>
        <w:rPr>
          <w:rFonts w:cs="Arial"/>
        </w:rPr>
      </w:pPr>
      <w:r>
        <w:rPr>
          <w:rFonts w:cs="Arial"/>
          <w:noProof/>
        </w:rPr>
        <w:lastRenderedPageBreak/>
        <w:drawing>
          <wp:inline distT="0" distB="0" distL="0" distR="0" wp14:anchorId="3EDEEA52" wp14:editId="2EBCA818">
            <wp:extent cx="5460521" cy="3898037"/>
            <wp:effectExtent l="0" t="0" r="6985" b="7620"/>
            <wp:docPr id="2007019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3443" cy="3900123"/>
                    </a:xfrm>
                    <a:prstGeom prst="rect">
                      <a:avLst/>
                    </a:prstGeom>
                    <a:noFill/>
                    <a:ln>
                      <a:noFill/>
                    </a:ln>
                  </pic:spPr>
                </pic:pic>
              </a:graphicData>
            </a:graphic>
          </wp:inline>
        </w:drawing>
      </w:r>
    </w:p>
    <w:p w14:paraId="3DADF05B" w14:textId="42FE05DC" w:rsidR="00A42599" w:rsidRDefault="005F161D" w:rsidP="00977E1C">
      <w:pPr>
        <w:pStyle w:val="Caption"/>
        <w:rPr>
          <w:rFonts w:ascii="Arial" w:hAnsi="Arial" w:cs="Arial"/>
        </w:rPr>
      </w:pPr>
      <w:r>
        <w:rPr>
          <w:rFonts w:ascii="Arial" w:hAnsi="Arial" w:cs="Arial"/>
        </w:rPr>
        <w:t>Figure S3</w:t>
      </w:r>
      <w:r w:rsidR="00A42599" w:rsidRPr="005F161D">
        <w:rPr>
          <w:rFonts w:ascii="Arial" w:hAnsi="Arial" w:cs="Arial"/>
        </w:rPr>
        <w:t xml:space="preserve">. Relationship between groundwater depth (mbgs) and </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G</w:t>
      </w:r>
      <w:r w:rsidR="00A42599" w:rsidRPr="005F161D">
        <w:rPr>
          <w:rFonts w:ascii="Arial" w:hAnsi="Arial" w:cs="Arial"/>
        </w:rPr>
        <w:t>/</w:t>
      </w:r>
      <w:r w:rsidR="00A42599" w:rsidRPr="005F161D">
        <w:rPr>
          <w:rFonts w:ascii="Arial" w:hAnsi="Arial" w:cs="Arial"/>
          <w:vertAlign w:val="superscript"/>
        </w:rPr>
        <w:t>3</w:t>
      </w:r>
      <w:r w:rsidR="00A42599" w:rsidRPr="005F161D">
        <w:rPr>
          <w:rFonts w:ascii="Arial" w:hAnsi="Arial" w:cs="Arial"/>
        </w:rPr>
        <w:t>H</w:t>
      </w:r>
      <w:r w:rsidR="00A42599" w:rsidRPr="005F161D">
        <w:rPr>
          <w:rFonts w:ascii="Arial" w:hAnsi="Arial" w:cs="Arial"/>
          <w:vertAlign w:val="subscript"/>
        </w:rPr>
        <w:t>P5</w:t>
      </w:r>
      <w:r w:rsidR="002E69D6">
        <w:rPr>
          <w:rFonts w:ascii="Arial" w:hAnsi="Arial" w:cs="Arial"/>
        </w:rPr>
        <w:t>.</w:t>
      </w:r>
      <w:r w:rsidR="00A42599" w:rsidRPr="005F161D">
        <w:rPr>
          <w:rFonts w:ascii="Arial" w:hAnsi="Arial" w:cs="Arial"/>
        </w:rPr>
        <w:t xml:space="preserve"> </w:t>
      </w:r>
      <w:r w:rsidR="002E69D6" w:rsidRPr="002E69D6">
        <w:rPr>
          <w:rFonts w:ascii="Arial" w:hAnsi="Arial" w:cs="Arial"/>
          <w:b w:val="0"/>
          <w:bCs/>
        </w:rPr>
        <w:t>P</w:t>
      </w:r>
      <w:r w:rsidR="00A42599" w:rsidRPr="002E69D6">
        <w:rPr>
          <w:rFonts w:ascii="Arial" w:hAnsi="Arial" w:cs="Arial"/>
          <w:b w:val="0"/>
          <w:bCs/>
        </w:rPr>
        <w:t xml:space="preserve">oints </w:t>
      </w:r>
      <w:r w:rsidR="002E69D6" w:rsidRPr="002E69D6">
        <w:rPr>
          <w:rFonts w:ascii="Arial" w:hAnsi="Arial" w:cs="Arial"/>
          <w:b w:val="0"/>
          <w:bCs/>
        </w:rPr>
        <w:t xml:space="preserve">are </w:t>
      </w:r>
      <w:r w:rsidR="00A42599" w:rsidRPr="002E69D6">
        <w:rPr>
          <w:rFonts w:ascii="Arial" w:hAnsi="Arial" w:cs="Arial"/>
          <w:b w:val="0"/>
          <w:bCs/>
        </w:rPr>
        <w:t>coloured by the likelihood of focused recharge and landscape criteria score and fitted exponential decay curve.</w:t>
      </w:r>
    </w:p>
    <w:p w14:paraId="6A24DF99" w14:textId="5074C5A0" w:rsidR="008422FE" w:rsidRDefault="008422FE" w:rsidP="008422FE">
      <w:pPr>
        <w:pStyle w:val="DoubleSpace"/>
        <w:jc w:val="center"/>
      </w:pPr>
      <w:r w:rsidRPr="008422FE">
        <w:rPr>
          <w:noProof/>
        </w:rPr>
        <w:drawing>
          <wp:inline distT="0" distB="0" distL="0" distR="0" wp14:anchorId="09E32591" wp14:editId="7269CEBB">
            <wp:extent cx="5188428" cy="3769744"/>
            <wp:effectExtent l="0" t="0" r="0" b="2540"/>
            <wp:docPr id="495485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5371" cy="3782054"/>
                    </a:xfrm>
                    <a:prstGeom prst="rect">
                      <a:avLst/>
                    </a:prstGeom>
                    <a:noFill/>
                    <a:ln>
                      <a:noFill/>
                    </a:ln>
                  </pic:spPr>
                </pic:pic>
              </a:graphicData>
            </a:graphic>
          </wp:inline>
        </w:drawing>
      </w:r>
    </w:p>
    <w:p w14:paraId="747DED01" w14:textId="14B96AC9" w:rsidR="008422FE" w:rsidRDefault="008422FE" w:rsidP="008422FE">
      <w:pPr>
        <w:pStyle w:val="Caption"/>
        <w:rPr>
          <w:rFonts w:ascii="Arial" w:hAnsi="Arial" w:cs="Arial"/>
        </w:rPr>
      </w:pPr>
      <w:r>
        <w:rPr>
          <w:rFonts w:ascii="Arial" w:hAnsi="Arial" w:cs="Arial"/>
        </w:rPr>
        <w:t>Figure S</w:t>
      </w:r>
      <w:r w:rsidR="002E69D6">
        <w:rPr>
          <w:rFonts w:ascii="Arial" w:hAnsi="Arial" w:cs="Arial"/>
        </w:rPr>
        <w:t>4</w:t>
      </w:r>
      <w:r w:rsidRPr="005F161D">
        <w:rPr>
          <w:rFonts w:ascii="Arial" w:hAnsi="Arial" w:cs="Arial"/>
        </w:rPr>
        <w:t xml:space="preserve">. </w:t>
      </w:r>
      <w:r w:rsidR="007C3BBF">
        <w:rPr>
          <w:rFonts w:ascii="Arial" w:hAnsi="Arial" w:cs="Arial"/>
        </w:rPr>
        <w:t xml:space="preserve">Spatial distribution of landscape features. </w:t>
      </w:r>
      <w:r w:rsidR="007C3BBF" w:rsidRPr="00006A0D">
        <w:rPr>
          <w:rFonts w:ascii="Arial" w:hAnsi="Arial" w:cs="Arial"/>
          <w:b w:val="0"/>
          <w:bCs/>
        </w:rPr>
        <w:t>(a) Fractured rock aquifers</w:t>
      </w:r>
      <w:r w:rsidR="00561821" w:rsidRPr="00006A0D">
        <w:rPr>
          <w:rFonts w:ascii="Arial" w:hAnsi="Arial" w:cs="Arial"/>
          <w:b w:val="0"/>
          <w:bCs/>
        </w:rPr>
        <w:t xml:space="preserve">, (b) Carbonate and alluvium, (c) Major ephemeral and perennial watercourses, and (d) </w:t>
      </w:r>
      <w:r w:rsidR="00006A0D" w:rsidRPr="00006A0D">
        <w:rPr>
          <w:rFonts w:ascii="Arial" w:hAnsi="Arial" w:cs="Arial"/>
          <w:b w:val="0"/>
          <w:bCs/>
        </w:rPr>
        <w:t>Aridity class based on P/PET.</w:t>
      </w:r>
    </w:p>
    <w:p w14:paraId="0DA85D96" w14:textId="1CDFC72A" w:rsidR="00A42599" w:rsidRDefault="007C42B4" w:rsidP="007C42B4">
      <w:pPr>
        <w:keepNext/>
        <w:jc w:val="center"/>
        <w:rPr>
          <w:rFonts w:cs="Arial"/>
        </w:rPr>
      </w:pPr>
      <w:r>
        <w:rPr>
          <w:rFonts w:cs="Arial"/>
          <w:noProof/>
        </w:rPr>
        <w:lastRenderedPageBreak/>
        <w:drawing>
          <wp:inline distT="0" distB="0" distL="0" distR="0" wp14:anchorId="2ABD6B04" wp14:editId="6EA8D0DD">
            <wp:extent cx="5397945" cy="8048445"/>
            <wp:effectExtent l="0" t="0" r="0" b="0"/>
            <wp:docPr id="20485658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6343" cy="8075876"/>
                    </a:xfrm>
                    <a:prstGeom prst="rect">
                      <a:avLst/>
                    </a:prstGeom>
                    <a:noFill/>
                    <a:ln>
                      <a:noFill/>
                    </a:ln>
                  </pic:spPr>
                </pic:pic>
              </a:graphicData>
            </a:graphic>
          </wp:inline>
        </w:drawing>
      </w:r>
    </w:p>
    <w:p w14:paraId="4665AE5A" w14:textId="308C469A" w:rsidR="007C42B4" w:rsidRPr="00284451" w:rsidRDefault="007C42B4" w:rsidP="00284451">
      <w:pPr>
        <w:pStyle w:val="Caption"/>
        <w:rPr>
          <w:rFonts w:ascii="Arial" w:hAnsi="Arial" w:cs="Arial"/>
        </w:rPr>
        <w:sectPr w:rsidR="007C42B4" w:rsidRPr="00284451" w:rsidSect="00C11B60">
          <w:headerReference w:type="default" r:id="rId13"/>
          <w:footerReference w:type="default" r:id="rId14"/>
          <w:pgSz w:w="11906" w:h="16838"/>
          <w:pgMar w:top="1440" w:right="1440" w:bottom="1440" w:left="1440" w:header="708" w:footer="708" w:gutter="0"/>
          <w:lnNumType w:countBy="1" w:restart="continuous"/>
          <w:pgNumType w:start="1"/>
          <w:cols w:space="708"/>
          <w:docGrid w:linePitch="360"/>
        </w:sectPr>
      </w:pPr>
      <w:r>
        <w:rPr>
          <w:rFonts w:ascii="Arial" w:hAnsi="Arial" w:cs="Arial"/>
        </w:rPr>
        <w:t>Figure S</w:t>
      </w:r>
      <w:r w:rsidR="002E69D6">
        <w:rPr>
          <w:rFonts w:ascii="Arial" w:hAnsi="Arial" w:cs="Arial"/>
        </w:rPr>
        <w:t>5</w:t>
      </w:r>
      <w:r w:rsidRPr="005F161D">
        <w:rPr>
          <w:rFonts w:ascii="Arial" w:hAnsi="Arial" w:cs="Arial"/>
        </w:rPr>
        <w:t xml:space="preserve">. </w:t>
      </w:r>
      <w:r>
        <w:rPr>
          <w:rFonts w:ascii="Arial" w:hAnsi="Arial" w:cs="Arial"/>
        </w:rPr>
        <w:t xml:space="preserve">Locations of </w:t>
      </w:r>
      <w:r w:rsidR="00BD27F1">
        <w:rPr>
          <w:rFonts w:ascii="Arial" w:hAnsi="Arial" w:cs="Arial"/>
        </w:rPr>
        <w:t xml:space="preserve">high- and low-likelihood focused recharge </w:t>
      </w:r>
      <w:r w:rsidR="003073DC">
        <w:rPr>
          <w:rFonts w:ascii="Arial" w:hAnsi="Arial" w:cs="Arial"/>
        </w:rPr>
        <w:t xml:space="preserve">bores </w:t>
      </w:r>
      <w:r w:rsidR="002177A0">
        <w:rPr>
          <w:rFonts w:ascii="Arial" w:hAnsi="Arial" w:cs="Arial"/>
        </w:rPr>
        <w:t>associated with landscape features and no landscape features (“None”)</w:t>
      </w:r>
      <w:r w:rsidR="00284451">
        <w:rPr>
          <w:rFonts w:ascii="Arial" w:hAnsi="Arial" w:cs="Arial"/>
        </w:rPr>
        <w:t xml:space="preserve"> relative to </w:t>
      </w:r>
      <w:r w:rsidR="001D160C">
        <w:rPr>
          <w:rFonts w:ascii="Arial" w:hAnsi="Arial" w:cs="Arial"/>
        </w:rPr>
        <w:t>aridity zones</w:t>
      </w:r>
      <w:r w:rsidR="00BD27F1">
        <w:rPr>
          <w:rFonts w:ascii="Arial" w:hAnsi="Arial" w:cs="Arial"/>
        </w:rPr>
        <w:t>.</w:t>
      </w:r>
      <w:r w:rsidR="002177A0" w:rsidRPr="00BD27F1">
        <w:rPr>
          <w:rFonts w:ascii="Arial" w:hAnsi="Arial" w:cs="Arial"/>
          <w:b w:val="0"/>
          <w:bCs/>
        </w:rPr>
        <w:t xml:space="preserve"> </w:t>
      </w:r>
      <w:r w:rsidR="00BD27F1" w:rsidRPr="00BD27F1">
        <w:rPr>
          <w:rFonts w:ascii="Arial" w:hAnsi="Arial" w:cs="Arial"/>
          <w:b w:val="0"/>
          <w:bCs/>
        </w:rPr>
        <w:t>H</w:t>
      </w:r>
      <w:r w:rsidR="0083230F" w:rsidRPr="00BD27F1">
        <w:rPr>
          <w:rFonts w:ascii="Arial" w:hAnsi="Arial" w:cs="Arial"/>
          <w:b w:val="0"/>
          <w:bCs/>
        </w:rPr>
        <w:t>igh</w:t>
      </w:r>
      <w:r w:rsidR="00284451">
        <w:rPr>
          <w:rFonts w:ascii="Arial" w:hAnsi="Arial" w:cs="Arial"/>
          <w:b w:val="0"/>
          <w:bCs/>
        </w:rPr>
        <w:t>-</w:t>
      </w:r>
      <w:r w:rsidR="0083230F" w:rsidRPr="00BD27F1">
        <w:rPr>
          <w:rFonts w:ascii="Arial" w:hAnsi="Arial" w:cs="Arial"/>
          <w:b w:val="0"/>
          <w:bCs/>
        </w:rPr>
        <w:t xml:space="preserve">likelihood focused recharge </w:t>
      </w:r>
      <w:r w:rsidR="00E14319" w:rsidRPr="00BD27F1">
        <w:rPr>
          <w:rFonts w:ascii="Arial" w:hAnsi="Arial" w:cs="Arial"/>
          <w:b w:val="0"/>
          <w:bCs/>
        </w:rPr>
        <w:t>(</w:t>
      </w:r>
      <w:r w:rsidR="007125AD" w:rsidRPr="00BD27F1">
        <w:rPr>
          <w:rFonts w:ascii="Arial" w:hAnsi="Arial" w:cs="Arial"/>
          <w:b w:val="0"/>
          <w:bCs/>
        </w:rPr>
        <w:t>a, c, e, g, i</w:t>
      </w:r>
      <w:r w:rsidR="00BD27F1" w:rsidRPr="00BD27F1">
        <w:rPr>
          <w:rFonts w:ascii="Arial" w:hAnsi="Arial" w:cs="Arial"/>
          <w:b w:val="0"/>
          <w:bCs/>
        </w:rPr>
        <w:t>, k</w:t>
      </w:r>
      <w:r w:rsidR="00E14319" w:rsidRPr="00BD27F1">
        <w:rPr>
          <w:rFonts w:ascii="Arial" w:hAnsi="Arial" w:cs="Arial"/>
          <w:b w:val="0"/>
          <w:bCs/>
        </w:rPr>
        <w:t xml:space="preserve">) </w:t>
      </w:r>
      <w:r w:rsidR="0083230F" w:rsidRPr="00BD27F1">
        <w:rPr>
          <w:rFonts w:ascii="Arial" w:hAnsi="Arial" w:cs="Arial"/>
          <w:b w:val="0"/>
          <w:bCs/>
        </w:rPr>
        <w:t>and low</w:t>
      </w:r>
      <w:r w:rsidR="00284451">
        <w:rPr>
          <w:rFonts w:ascii="Arial" w:hAnsi="Arial" w:cs="Arial"/>
          <w:b w:val="0"/>
          <w:bCs/>
        </w:rPr>
        <w:t>-</w:t>
      </w:r>
      <w:r w:rsidR="0083230F" w:rsidRPr="00BD27F1">
        <w:rPr>
          <w:rFonts w:ascii="Arial" w:hAnsi="Arial" w:cs="Arial"/>
          <w:b w:val="0"/>
          <w:bCs/>
        </w:rPr>
        <w:t>likelihood focused recharge (b, d, f, h</w:t>
      </w:r>
      <w:r w:rsidR="00E14319" w:rsidRPr="00BD27F1">
        <w:rPr>
          <w:rFonts w:ascii="Arial" w:hAnsi="Arial" w:cs="Arial"/>
          <w:b w:val="0"/>
          <w:bCs/>
        </w:rPr>
        <w:t>, j, l</w:t>
      </w:r>
      <w:r w:rsidR="0083230F" w:rsidRPr="00BD27F1">
        <w:rPr>
          <w:rFonts w:ascii="Arial" w:hAnsi="Arial" w:cs="Arial"/>
          <w:b w:val="0"/>
          <w:bCs/>
        </w:rPr>
        <w:t>).</w:t>
      </w:r>
      <w:r w:rsidR="001D160C">
        <w:rPr>
          <w:rFonts w:ascii="Arial" w:hAnsi="Arial" w:cs="Arial"/>
          <w:b w:val="0"/>
          <w:bCs/>
        </w:rPr>
        <w:t xml:space="preserve"> </w:t>
      </w:r>
      <w:r w:rsidR="001D160C" w:rsidRPr="00CD60C2">
        <w:rPr>
          <w:b w:val="0"/>
          <w:bCs/>
        </w:rPr>
        <w:t xml:space="preserve">Aridity zones are grouped into three categories: (1) humid and dry subhumid (P/PET </w:t>
      </w:r>
      <w:r w:rsidR="001D160C" w:rsidRPr="00CD60C2">
        <w:rPr>
          <w:rFonts w:ascii="Times New Roman" w:hAnsi="Times New Roman" w:cs="Times New Roman"/>
          <w:b w:val="0"/>
          <w:bCs/>
        </w:rPr>
        <w:t>≥</w:t>
      </w:r>
      <w:r w:rsidR="001D160C" w:rsidRPr="00CD60C2">
        <w:rPr>
          <w:b w:val="0"/>
          <w:bCs/>
        </w:rPr>
        <w:t>0.5), (2) semi-arid (P/PET from 0.2 to &lt;0.5), and (3) arid and hyper-arid (P/PET &lt;0.2).</w:t>
      </w:r>
    </w:p>
    <w:p w14:paraId="45DE923B" w14:textId="32B90D43" w:rsidR="00A42599" w:rsidRPr="005F161D" w:rsidRDefault="005F161D" w:rsidP="00A42599">
      <w:pPr>
        <w:pStyle w:val="Caption"/>
        <w:rPr>
          <w:rFonts w:ascii="Arial" w:hAnsi="Arial" w:cs="Arial"/>
        </w:rPr>
      </w:pPr>
      <w:r>
        <w:rPr>
          <w:rFonts w:ascii="Arial" w:hAnsi="Arial" w:cs="Arial"/>
        </w:rPr>
        <w:lastRenderedPageBreak/>
        <w:t>Table S1</w:t>
      </w:r>
      <w:r w:rsidR="00A42599" w:rsidRPr="005F161D">
        <w:rPr>
          <w:rFonts w:ascii="Arial" w:hAnsi="Arial" w:cs="Arial"/>
        </w:rPr>
        <w:t xml:space="preserve">. </w:t>
      </w:r>
      <w:r w:rsidR="00E769F9">
        <w:rPr>
          <w:rFonts w:ascii="Arial" w:hAnsi="Arial" w:cs="Arial"/>
        </w:rPr>
        <w:t xml:space="preserve">Summary of </w:t>
      </w:r>
      <w:r w:rsidR="0018236C">
        <w:rPr>
          <w:rFonts w:ascii="Arial" w:hAnsi="Arial" w:cs="Arial"/>
        </w:rPr>
        <w:t>data citations, source, state</w:t>
      </w:r>
      <w:r w:rsidR="0089359E">
        <w:rPr>
          <w:rFonts w:ascii="Arial" w:hAnsi="Arial" w:cs="Arial"/>
        </w:rPr>
        <w:t>/territory</w:t>
      </w:r>
      <w:r w:rsidR="00222196">
        <w:rPr>
          <w:rFonts w:ascii="Arial" w:hAnsi="Arial" w:cs="Arial"/>
        </w:rPr>
        <w:t xml:space="preserve">, </w:t>
      </w:r>
      <w:r w:rsidR="00782A15">
        <w:rPr>
          <w:rFonts w:ascii="Arial" w:hAnsi="Arial" w:cs="Arial"/>
        </w:rPr>
        <w:t>location and title of study.</w:t>
      </w:r>
      <w:r w:rsidR="0043280F" w:rsidRPr="006D37BA">
        <w:rPr>
          <w:rFonts w:ascii="Arial" w:hAnsi="Arial" w:cs="Arial"/>
          <w:b w:val="0"/>
          <w:bCs/>
        </w:rPr>
        <w:t xml:space="preserve"> </w:t>
      </w:r>
      <w:r w:rsidR="00CD3EF3" w:rsidRPr="006D37BA">
        <w:rPr>
          <w:rFonts w:ascii="Arial" w:hAnsi="Arial" w:cs="Arial"/>
          <w:b w:val="0"/>
          <w:bCs/>
        </w:rPr>
        <w:t>In the Source column, journal names are shortened to the following:</w:t>
      </w:r>
      <w:r w:rsidR="007D371C">
        <w:rPr>
          <w:rFonts w:ascii="Arial" w:hAnsi="Arial" w:cs="Arial"/>
          <w:b w:val="0"/>
          <w:bCs/>
        </w:rPr>
        <w:t xml:space="preserve"> </w:t>
      </w:r>
      <w:proofErr w:type="spellStart"/>
      <w:r w:rsidR="007D371C" w:rsidRPr="007D371C">
        <w:rPr>
          <w:rFonts w:ascii="Arial" w:hAnsi="Arial" w:cs="Arial"/>
          <w:b w:val="0"/>
          <w:bCs/>
        </w:rPr>
        <w:t>IJoCG</w:t>
      </w:r>
      <w:proofErr w:type="spellEnd"/>
      <w:r w:rsidR="007D371C" w:rsidRPr="007D371C">
        <w:rPr>
          <w:rFonts w:ascii="Arial" w:hAnsi="Arial" w:cs="Arial"/>
          <w:b w:val="0"/>
          <w:bCs/>
        </w:rPr>
        <w:t xml:space="preserve"> (International Journal of Coal Geology), AJES (Australian Journal of Earth Sciences), Appl. Chem (Applied Chemistry), Appl. Geochem (Applied Geochemistry), Aust. J. Earth Sci. (Australian Journal of Earth Sciences), Aust. J. Exp. Agri. (Australian Journal of Experimental Agriculture), Aust. J. Soil Res. (Australian Journal of Soil Research), HESS (Hydrology and Earth System Sciences), HJ (Hydrogeology Journal), Hydro. Processes (Hydrological Processes), J. </w:t>
      </w:r>
      <w:proofErr w:type="spellStart"/>
      <w:r w:rsidR="007D371C" w:rsidRPr="007D371C">
        <w:rPr>
          <w:rFonts w:ascii="Arial" w:hAnsi="Arial" w:cs="Arial"/>
          <w:b w:val="0"/>
          <w:bCs/>
        </w:rPr>
        <w:t>Hydrol</w:t>
      </w:r>
      <w:proofErr w:type="spellEnd"/>
      <w:r w:rsidR="007D371C" w:rsidRPr="007D371C">
        <w:rPr>
          <w:rFonts w:ascii="Arial" w:hAnsi="Arial" w:cs="Arial"/>
          <w:b w:val="0"/>
          <w:bCs/>
        </w:rPr>
        <w:t>. Reg. Stud. (Journal of Hydrology: Regional Studies), JGR-</w:t>
      </w:r>
      <w:proofErr w:type="spellStart"/>
      <w:r w:rsidR="007D371C" w:rsidRPr="007D371C">
        <w:rPr>
          <w:rFonts w:ascii="Arial" w:hAnsi="Arial" w:cs="Arial"/>
          <w:b w:val="0"/>
          <w:bCs/>
        </w:rPr>
        <w:t>Biogeochem</w:t>
      </w:r>
      <w:proofErr w:type="spellEnd"/>
      <w:r w:rsidR="007D371C" w:rsidRPr="007D371C">
        <w:rPr>
          <w:rFonts w:ascii="Arial" w:hAnsi="Arial" w:cs="Arial"/>
          <w:b w:val="0"/>
          <w:bCs/>
        </w:rPr>
        <w:t xml:space="preserve"> (Journal of Geophysical Research: </w:t>
      </w:r>
      <w:proofErr w:type="spellStart"/>
      <w:r w:rsidR="007D371C" w:rsidRPr="007D371C">
        <w:rPr>
          <w:rFonts w:ascii="Arial" w:hAnsi="Arial" w:cs="Arial"/>
          <w:b w:val="0"/>
          <w:bCs/>
        </w:rPr>
        <w:t>Biogeosciences</w:t>
      </w:r>
      <w:proofErr w:type="spellEnd"/>
      <w:r w:rsidR="007D371C" w:rsidRPr="007D371C">
        <w:rPr>
          <w:rFonts w:ascii="Arial" w:hAnsi="Arial" w:cs="Arial"/>
          <w:b w:val="0"/>
          <w:bCs/>
        </w:rPr>
        <w:t xml:space="preserve">), </w:t>
      </w:r>
      <w:proofErr w:type="spellStart"/>
      <w:r w:rsidR="007D371C" w:rsidRPr="007D371C">
        <w:rPr>
          <w:rFonts w:ascii="Arial" w:hAnsi="Arial" w:cs="Arial"/>
          <w:b w:val="0"/>
          <w:bCs/>
        </w:rPr>
        <w:t>JoH</w:t>
      </w:r>
      <w:proofErr w:type="spellEnd"/>
      <w:r w:rsidR="007D371C" w:rsidRPr="007D371C">
        <w:rPr>
          <w:rFonts w:ascii="Arial" w:hAnsi="Arial" w:cs="Arial"/>
          <w:b w:val="0"/>
          <w:bCs/>
        </w:rPr>
        <w:t xml:space="preserve"> (Journal of Hydrology), STOTEN (Science of the Total Environment), Water Res. (Water Research), and WRR (Water Resources Research)</w:t>
      </w:r>
      <w:r w:rsidR="006D37BA" w:rsidRPr="006D37BA">
        <w:rPr>
          <w:rFonts w:ascii="Arial" w:hAnsi="Arial" w:cs="Arial"/>
          <w:b w:val="0"/>
          <w:bCs/>
        </w:rPr>
        <w:t>.</w:t>
      </w:r>
      <w:r w:rsidR="006D37BA">
        <w:rPr>
          <w:rFonts w:ascii="Arial" w:hAnsi="Arial" w:cs="Arial"/>
        </w:rPr>
        <w:t xml:space="preserve"> </w:t>
      </w:r>
      <w:r w:rsidR="00F63265" w:rsidRPr="00B84467">
        <w:rPr>
          <w:rFonts w:ascii="Arial" w:hAnsi="Arial" w:cs="Arial"/>
          <w:b w:val="0"/>
          <w:bCs/>
        </w:rPr>
        <w:t>In the State/Territory and Location columns</w:t>
      </w:r>
      <w:r w:rsidR="00B84467" w:rsidRPr="00B84467">
        <w:rPr>
          <w:rFonts w:ascii="Arial" w:hAnsi="Arial" w:cs="Arial"/>
          <w:b w:val="0"/>
          <w:bCs/>
        </w:rPr>
        <w:t xml:space="preserve">, states and territories are shortened to the following: </w:t>
      </w:r>
      <w:r w:rsidR="0043280F" w:rsidRPr="0043280F">
        <w:rPr>
          <w:rFonts w:ascii="Arial" w:hAnsi="Arial" w:cs="Arial"/>
          <w:b w:val="0"/>
          <w:bCs/>
        </w:rPr>
        <w:t>South Australia (SA), Western Australia (WA), Northern Territory (NT), Queensland (Qld), New South Wales (NSW), Victoria (Vic), Tasmania (Tas).</w:t>
      </w:r>
    </w:p>
    <w:tbl>
      <w:tblPr>
        <w:tblStyle w:val="Copernicus"/>
        <w:tblW w:w="13639" w:type="dxa"/>
        <w:tblLook w:val="04A0" w:firstRow="1" w:lastRow="0" w:firstColumn="1" w:lastColumn="0" w:noHBand="0" w:noVBand="1"/>
      </w:tblPr>
      <w:tblGrid>
        <w:gridCol w:w="700"/>
        <w:gridCol w:w="3200"/>
        <w:gridCol w:w="2120"/>
        <w:gridCol w:w="1039"/>
        <w:gridCol w:w="1940"/>
        <w:gridCol w:w="4640"/>
      </w:tblGrid>
      <w:tr w:rsidR="009A7B9A" w:rsidRPr="005F161D" w14:paraId="40B751CD" w14:textId="77777777" w:rsidTr="002448C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00" w:type="dxa"/>
            <w:noWrap/>
            <w:hideMark/>
          </w:tcPr>
          <w:p w14:paraId="069CAB9E" w14:textId="77777777" w:rsidR="00A42599" w:rsidRPr="005F161D" w:rsidRDefault="00A42599" w:rsidP="00855B92">
            <w:pPr>
              <w:rPr>
                <w:rFonts w:cs="Arial"/>
                <w:color w:val="000000"/>
                <w:sz w:val="20"/>
              </w:rPr>
            </w:pPr>
            <w:r w:rsidRPr="005F161D">
              <w:rPr>
                <w:rFonts w:cs="Arial"/>
                <w:color w:val="000000"/>
                <w:sz w:val="20"/>
              </w:rPr>
              <w:t>No.</w:t>
            </w:r>
          </w:p>
        </w:tc>
        <w:tc>
          <w:tcPr>
            <w:tcW w:w="3200" w:type="dxa"/>
            <w:noWrap/>
            <w:hideMark/>
          </w:tcPr>
          <w:p w14:paraId="43707921" w14:textId="77777777" w:rsidR="00A42599" w:rsidRPr="005F161D" w:rsidRDefault="00A42599" w:rsidP="00855B92">
            <w:pP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Citation</w:t>
            </w:r>
          </w:p>
        </w:tc>
        <w:tc>
          <w:tcPr>
            <w:tcW w:w="2120" w:type="dxa"/>
            <w:noWrap/>
            <w:hideMark/>
          </w:tcPr>
          <w:p w14:paraId="4CE3D1B0" w14:textId="77777777" w:rsidR="00A42599" w:rsidRPr="005F161D" w:rsidRDefault="00A42599" w:rsidP="00855B92">
            <w:pP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Source</w:t>
            </w:r>
          </w:p>
        </w:tc>
        <w:tc>
          <w:tcPr>
            <w:tcW w:w="1039" w:type="dxa"/>
            <w:noWrap/>
            <w:hideMark/>
          </w:tcPr>
          <w:p w14:paraId="5963C091" w14:textId="77777777" w:rsidR="0018236C" w:rsidRDefault="00A42599" w:rsidP="00855B92">
            <w:pPr>
              <w:cnfStyle w:val="100000000000" w:firstRow="1" w:lastRow="0" w:firstColumn="0" w:lastColumn="0" w:oddVBand="0" w:evenVBand="0" w:oddHBand="0" w:evenHBand="0" w:firstRowFirstColumn="0" w:firstRowLastColumn="0" w:lastRowFirstColumn="0" w:lastRowLastColumn="0"/>
              <w:rPr>
                <w:rFonts w:cs="Arial"/>
                <w:b w:val="0"/>
                <w:color w:val="000000"/>
                <w:sz w:val="20"/>
              </w:rPr>
            </w:pPr>
            <w:r w:rsidRPr="005F161D">
              <w:rPr>
                <w:rFonts w:cs="Arial"/>
                <w:color w:val="000000"/>
                <w:sz w:val="20"/>
              </w:rPr>
              <w:t>State</w:t>
            </w:r>
            <w:r w:rsidR="0018236C">
              <w:rPr>
                <w:rFonts w:cs="Arial"/>
                <w:color w:val="000000"/>
                <w:sz w:val="20"/>
              </w:rPr>
              <w:t>/</w:t>
            </w:r>
          </w:p>
          <w:p w14:paraId="5AF01996" w14:textId="27E6B969" w:rsidR="00A42599" w:rsidRPr="005F161D" w:rsidRDefault="0018236C" w:rsidP="00855B92">
            <w:pPr>
              <w:cnfStyle w:val="100000000000" w:firstRow="1" w:lastRow="0" w:firstColumn="0" w:lastColumn="0" w:oddVBand="0" w:evenVBand="0" w:oddHBand="0" w:evenHBand="0" w:firstRowFirstColumn="0" w:firstRowLastColumn="0" w:lastRowFirstColumn="0" w:lastRowLastColumn="0"/>
              <w:rPr>
                <w:rFonts w:cs="Arial"/>
                <w:color w:val="000000"/>
                <w:sz w:val="20"/>
              </w:rPr>
            </w:pPr>
            <w:r>
              <w:rPr>
                <w:rFonts w:cs="Arial"/>
                <w:color w:val="000000"/>
                <w:sz w:val="20"/>
              </w:rPr>
              <w:t>Territory</w:t>
            </w:r>
          </w:p>
        </w:tc>
        <w:tc>
          <w:tcPr>
            <w:tcW w:w="1940" w:type="dxa"/>
            <w:noWrap/>
            <w:hideMark/>
          </w:tcPr>
          <w:p w14:paraId="481288BA" w14:textId="77777777" w:rsidR="00A42599" w:rsidRPr="005F161D" w:rsidRDefault="00A42599" w:rsidP="00855B92">
            <w:pP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Location</w:t>
            </w:r>
          </w:p>
        </w:tc>
        <w:tc>
          <w:tcPr>
            <w:tcW w:w="4640" w:type="dxa"/>
            <w:noWrap/>
            <w:hideMark/>
          </w:tcPr>
          <w:p w14:paraId="0A141D5E" w14:textId="77777777" w:rsidR="00A42599" w:rsidRPr="005F161D" w:rsidRDefault="00A42599" w:rsidP="00855B92">
            <w:pPr>
              <w:cnfStyle w:val="100000000000" w:firstRow="1"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Title</w:t>
            </w:r>
          </w:p>
        </w:tc>
      </w:tr>
      <w:tr w:rsidR="009A7B9A" w:rsidRPr="005F161D" w14:paraId="71CCE660"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hideMark/>
          </w:tcPr>
          <w:p w14:paraId="0544CB64" w14:textId="5012DEFF" w:rsidR="007A7A70" w:rsidRPr="002C231F" w:rsidRDefault="007A7A70" w:rsidP="002C231F">
            <w:pPr>
              <w:jc w:val="center"/>
              <w:rPr>
                <w:rFonts w:cs="Arial"/>
                <w:sz w:val="20"/>
              </w:rPr>
            </w:pPr>
            <w:r w:rsidRPr="002C231F">
              <w:rPr>
                <w:rFonts w:cs="Arial"/>
                <w:sz w:val="20"/>
                <w:vertAlign w:val="superscript"/>
              </w:rPr>
              <w:t>1</w:t>
            </w:r>
          </w:p>
          <w:p w14:paraId="53C9F738" w14:textId="33BD6E7F" w:rsidR="00A42599" w:rsidRPr="002C231F" w:rsidRDefault="00A42599" w:rsidP="002C231F">
            <w:pPr>
              <w:jc w:val="center"/>
              <w:rPr>
                <w:rFonts w:cs="Arial"/>
                <w:color w:val="000000"/>
                <w:sz w:val="20"/>
              </w:rPr>
            </w:pPr>
          </w:p>
        </w:tc>
        <w:tc>
          <w:tcPr>
            <w:tcW w:w="3200" w:type="dxa"/>
            <w:noWrap/>
            <w:hideMark/>
          </w:tcPr>
          <w:p w14:paraId="061DFFB5" w14:textId="4466AB8C" w:rsidR="00A42599" w:rsidRPr="00907BE7" w:rsidRDefault="00902547"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Pr>
                <w:rFonts w:cs="Arial"/>
                <w:sz w:val="20"/>
              </w:rPr>
              <w:t>Allison and Hughes (1975)</w:t>
            </w:r>
          </w:p>
        </w:tc>
        <w:tc>
          <w:tcPr>
            <w:tcW w:w="2120" w:type="dxa"/>
            <w:hideMark/>
          </w:tcPr>
          <w:p w14:paraId="47E7667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1353E24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141C132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Naracoorte Range, SA</w:t>
            </w:r>
          </w:p>
        </w:tc>
        <w:tc>
          <w:tcPr>
            <w:tcW w:w="4640" w:type="dxa"/>
            <w:hideMark/>
          </w:tcPr>
          <w:p w14:paraId="1417D82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 use of environmental tritium to estimate recharge to a South-Australian aquifer</w:t>
            </w:r>
          </w:p>
        </w:tc>
      </w:tr>
      <w:tr w:rsidR="009A7B9A" w:rsidRPr="005F161D" w14:paraId="23966641"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5CAEDB46" w14:textId="5D40BA78" w:rsidR="00A42599" w:rsidRPr="002C231F" w:rsidRDefault="002D3C0E" w:rsidP="002C231F">
            <w:pPr>
              <w:jc w:val="center"/>
              <w:rPr>
                <w:rFonts w:cs="Arial"/>
                <w:color w:val="000000"/>
                <w:sz w:val="20"/>
              </w:rPr>
            </w:pPr>
            <w:r w:rsidRPr="002C231F">
              <w:rPr>
                <w:rFonts w:cs="Arial"/>
                <w:sz w:val="20"/>
                <w:vertAlign w:val="superscript"/>
              </w:rPr>
              <w:t>2</w:t>
            </w:r>
          </w:p>
        </w:tc>
        <w:tc>
          <w:tcPr>
            <w:tcW w:w="3200" w:type="dxa"/>
            <w:noWrap/>
            <w:hideMark/>
          </w:tcPr>
          <w:p w14:paraId="3B1EE392" w14:textId="1FDD6CDA" w:rsidR="00A42599" w:rsidRPr="00907BE7" w:rsidRDefault="00902547"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Pr>
                <w:rFonts w:cs="Arial"/>
                <w:sz w:val="20"/>
              </w:rPr>
              <w:t>Allison and Hughes (197</w:t>
            </w:r>
            <w:r w:rsidR="00251900">
              <w:rPr>
                <w:rFonts w:cs="Arial"/>
                <w:sz w:val="20"/>
              </w:rPr>
              <w:t>8)</w:t>
            </w:r>
          </w:p>
        </w:tc>
        <w:tc>
          <w:tcPr>
            <w:tcW w:w="2120" w:type="dxa"/>
            <w:hideMark/>
          </w:tcPr>
          <w:p w14:paraId="2B0D3B6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Aust. J. Soil Res.</w:t>
            </w:r>
          </w:p>
        </w:tc>
        <w:tc>
          <w:tcPr>
            <w:tcW w:w="1039" w:type="dxa"/>
            <w:noWrap/>
            <w:hideMark/>
          </w:tcPr>
          <w:p w14:paraId="35AC65F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31D15BA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Gambier Plain, SA</w:t>
            </w:r>
          </w:p>
        </w:tc>
        <w:tc>
          <w:tcPr>
            <w:tcW w:w="4640" w:type="dxa"/>
            <w:hideMark/>
          </w:tcPr>
          <w:p w14:paraId="47B5C6B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 use of environmental chloride and tritium to estimate total recharge to an unconfined aquifer</w:t>
            </w:r>
          </w:p>
        </w:tc>
      </w:tr>
      <w:tr w:rsidR="009A7B9A" w:rsidRPr="005F161D" w14:paraId="4655C32A"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5BDD8F6C" w14:textId="49E0536E" w:rsidR="00A42599" w:rsidRPr="002C231F" w:rsidRDefault="002A6AB4" w:rsidP="002C231F">
            <w:pPr>
              <w:jc w:val="center"/>
              <w:rPr>
                <w:rFonts w:cs="Arial"/>
                <w:color w:val="000000"/>
                <w:sz w:val="20"/>
              </w:rPr>
            </w:pPr>
            <w:r w:rsidRPr="002A6AB4">
              <w:rPr>
                <w:rFonts w:cs="Arial"/>
                <w:sz w:val="20"/>
                <w:vertAlign w:val="superscript"/>
              </w:rPr>
              <w:t>3</w:t>
            </w:r>
          </w:p>
        </w:tc>
        <w:tc>
          <w:tcPr>
            <w:tcW w:w="3200" w:type="dxa"/>
            <w:noWrap/>
            <w:hideMark/>
          </w:tcPr>
          <w:p w14:paraId="5DD40AD5" w14:textId="634B455D"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sz w:val="20"/>
              </w:rPr>
            </w:pPr>
            <w:r w:rsidRPr="00907BE7">
              <w:rPr>
                <w:rFonts w:cs="Arial"/>
                <w:sz w:val="20"/>
              </w:rPr>
              <w:t>Allison (1974)</w:t>
            </w:r>
            <w:r w:rsidR="00B85756" w:rsidRPr="00907BE7">
              <w:rPr>
                <w:rFonts w:cs="Arial"/>
                <w:color w:val="000000"/>
                <w:sz w:val="20"/>
              </w:rPr>
              <w:t xml:space="preserve"> </w:t>
            </w:r>
          </w:p>
        </w:tc>
        <w:tc>
          <w:tcPr>
            <w:tcW w:w="2120" w:type="dxa"/>
            <w:hideMark/>
          </w:tcPr>
          <w:p w14:paraId="2AB07D1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Aust. J. Soil Res.</w:t>
            </w:r>
          </w:p>
        </w:tc>
        <w:tc>
          <w:tcPr>
            <w:tcW w:w="1039" w:type="dxa"/>
            <w:noWrap/>
            <w:hideMark/>
          </w:tcPr>
          <w:p w14:paraId="4FBBFB4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79A2B7E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Gambier Plain, SA</w:t>
            </w:r>
          </w:p>
        </w:tc>
        <w:tc>
          <w:tcPr>
            <w:tcW w:w="4640" w:type="dxa"/>
            <w:hideMark/>
          </w:tcPr>
          <w:p w14:paraId="72767AE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Estimation of groundwater accession to and evaporation from a </w:t>
            </w:r>
            <w:proofErr w:type="gramStart"/>
            <w:r w:rsidRPr="00907BE7">
              <w:rPr>
                <w:rFonts w:cs="Arial"/>
                <w:color w:val="000000"/>
                <w:sz w:val="20"/>
              </w:rPr>
              <w:t>South Australian lake</w:t>
            </w:r>
            <w:proofErr w:type="gramEnd"/>
            <w:r w:rsidRPr="00907BE7">
              <w:rPr>
                <w:rFonts w:cs="Arial"/>
                <w:color w:val="000000"/>
                <w:sz w:val="20"/>
              </w:rPr>
              <w:t xml:space="preserve"> using environmental tritium </w:t>
            </w:r>
          </w:p>
        </w:tc>
      </w:tr>
      <w:tr w:rsidR="009A7B9A" w:rsidRPr="005F161D" w14:paraId="38EDE73F"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632CF49A" w14:textId="50231B15" w:rsidR="00A42599" w:rsidRPr="002C231F" w:rsidRDefault="0045171C" w:rsidP="002C231F">
            <w:pPr>
              <w:jc w:val="center"/>
              <w:rPr>
                <w:rFonts w:cs="Arial"/>
                <w:color w:val="000000"/>
                <w:sz w:val="20"/>
              </w:rPr>
            </w:pPr>
            <w:r w:rsidRPr="0045171C">
              <w:rPr>
                <w:rFonts w:cs="Arial"/>
                <w:sz w:val="20"/>
                <w:vertAlign w:val="superscript"/>
              </w:rPr>
              <w:t>4</w:t>
            </w:r>
          </w:p>
        </w:tc>
        <w:tc>
          <w:tcPr>
            <w:tcW w:w="3200" w:type="dxa"/>
            <w:noWrap/>
            <w:hideMark/>
          </w:tcPr>
          <w:p w14:paraId="4EB0A9B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Appleyard (1995)</w:t>
            </w:r>
          </w:p>
        </w:tc>
        <w:tc>
          <w:tcPr>
            <w:tcW w:w="2120" w:type="dxa"/>
            <w:hideMark/>
          </w:tcPr>
          <w:p w14:paraId="6A6A946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HJ</w:t>
            </w:r>
          </w:p>
        </w:tc>
        <w:tc>
          <w:tcPr>
            <w:tcW w:w="1039" w:type="dxa"/>
            <w:noWrap/>
            <w:hideMark/>
          </w:tcPr>
          <w:p w14:paraId="15CD5BD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02480D3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Perth Basin, WA</w:t>
            </w:r>
          </w:p>
        </w:tc>
        <w:tc>
          <w:tcPr>
            <w:tcW w:w="4640" w:type="dxa"/>
            <w:hideMark/>
          </w:tcPr>
          <w:p w14:paraId="212F918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 impact of urban development on recharge and groundwater quality in a coastal aquifer near Perth, Western Australia</w:t>
            </w:r>
          </w:p>
        </w:tc>
      </w:tr>
      <w:tr w:rsidR="009A7B9A" w:rsidRPr="005F161D" w14:paraId="5EDC84F3"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19CD1D27" w14:textId="3A46A6E8" w:rsidR="00A42599" w:rsidRPr="002C231F" w:rsidRDefault="0045171C" w:rsidP="002C231F">
            <w:pPr>
              <w:jc w:val="center"/>
              <w:rPr>
                <w:rFonts w:cs="Arial"/>
                <w:color w:val="000000"/>
                <w:sz w:val="20"/>
              </w:rPr>
            </w:pPr>
            <w:r w:rsidRPr="0045171C">
              <w:rPr>
                <w:rFonts w:cs="Arial"/>
                <w:sz w:val="20"/>
                <w:vertAlign w:val="superscript"/>
              </w:rPr>
              <w:t>5</w:t>
            </w:r>
          </w:p>
        </w:tc>
        <w:tc>
          <w:tcPr>
            <w:tcW w:w="3200" w:type="dxa"/>
            <w:noWrap/>
            <w:hideMark/>
          </w:tcPr>
          <w:p w14:paraId="6CE41CA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Atkinson et al. (2014)</w:t>
            </w:r>
          </w:p>
        </w:tc>
        <w:tc>
          <w:tcPr>
            <w:tcW w:w="2120" w:type="dxa"/>
            <w:hideMark/>
          </w:tcPr>
          <w:p w14:paraId="062C61C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hideMark/>
          </w:tcPr>
          <w:p w14:paraId="6FAFD5C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47A9F06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Gellibrand River Catchment</w:t>
            </w:r>
          </w:p>
        </w:tc>
        <w:tc>
          <w:tcPr>
            <w:tcW w:w="4640" w:type="dxa"/>
            <w:hideMark/>
          </w:tcPr>
          <w:p w14:paraId="5D77FAC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14C and 3H to understand groundwater flow and recharge in an aquifer window</w:t>
            </w:r>
          </w:p>
        </w:tc>
      </w:tr>
      <w:tr w:rsidR="009A7B9A" w:rsidRPr="005F161D" w14:paraId="5E857C32"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4CE54441" w14:textId="4A848445" w:rsidR="00A42599" w:rsidRPr="002C231F" w:rsidRDefault="0045171C" w:rsidP="002C231F">
            <w:pPr>
              <w:jc w:val="center"/>
              <w:rPr>
                <w:rFonts w:cs="Arial"/>
                <w:color w:val="000000"/>
                <w:sz w:val="20"/>
              </w:rPr>
            </w:pPr>
            <w:r w:rsidRPr="0045171C">
              <w:rPr>
                <w:rFonts w:cs="Arial"/>
                <w:sz w:val="20"/>
                <w:vertAlign w:val="superscript"/>
              </w:rPr>
              <w:t>6</w:t>
            </w:r>
          </w:p>
        </w:tc>
        <w:tc>
          <w:tcPr>
            <w:tcW w:w="3200" w:type="dxa"/>
            <w:noWrap/>
            <w:hideMark/>
          </w:tcPr>
          <w:p w14:paraId="1278539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Banks et al. (2019)</w:t>
            </w:r>
          </w:p>
        </w:tc>
        <w:tc>
          <w:tcPr>
            <w:tcW w:w="2120" w:type="dxa"/>
            <w:hideMark/>
          </w:tcPr>
          <w:p w14:paraId="2D2CC4B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2983850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35937AF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Western Victoria</w:t>
            </w:r>
          </w:p>
        </w:tc>
        <w:tc>
          <w:tcPr>
            <w:tcW w:w="4640" w:type="dxa"/>
            <w:hideMark/>
          </w:tcPr>
          <w:p w14:paraId="75E1479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Multi-tracer and </w:t>
            </w:r>
            <w:proofErr w:type="spellStart"/>
            <w:r w:rsidRPr="00907BE7">
              <w:rPr>
                <w:rFonts w:cs="Arial"/>
                <w:color w:val="000000"/>
                <w:sz w:val="20"/>
              </w:rPr>
              <w:t>hydrogeophysical</w:t>
            </w:r>
            <w:proofErr w:type="spellEnd"/>
            <w:r w:rsidRPr="00907BE7">
              <w:rPr>
                <w:rFonts w:cs="Arial"/>
                <w:color w:val="000000"/>
                <w:sz w:val="20"/>
              </w:rPr>
              <w:t xml:space="preserve"> investigation of the hydraulic connectivity between coal seam gas formations, shallow groundwater and stream network in a faulted sedimentary basin</w:t>
            </w:r>
          </w:p>
        </w:tc>
      </w:tr>
      <w:tr w:rsidR="009A7B9A" w:rsidRPr="005F161D" w14:paraId="494CB950" w14:textId="77777777" w:rsidTr="009A02EB">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1A471B72" w14:textId="74FE808E" w:rsidR="00DA32C5" w:rsidRPr="002C231F" w:rsidRDefault="00AF6437" w:rsidP="009A02EB">
            <w:pPr>
              <w:jc w:val="center"/>
              <w:rPr>
                <w:rFonts w:cs="Arial"/>
                <w:color w:val="000000"/>
                <w:sz w:val="20"/>
              </w:rPr>
            </w:pPr>
            <w:r w:rsidRPr="00AF6437">
              <w:rPr>
                <w:rFonts w:cs="Arial"/>
                <w:sz w:val="20"/>
                <w:vertAlign w:val="superscript"/>
              </w:rPr>
              <w:t>7</w:t>
            </w:r>
          </w:p>
        </w:tc>
        <w:tc>
          <w:tcPr>
            <w:tcW w:w="3200" w:type="dxa"/>
            <w:noWrap/>
            <w:hideMark/>
          </w:tcPr>
          <w:p w14:paraId="34F4B556" w14:textId="77777777" w:rsidR="00DA32C5" w:rsidRPr="00907BE7" w:rsidRDefault="00DA32C5"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Banks et al. (2021)</w:t>
            </w:r>
          </w:p>
        </w:tc>
        <w:tc>
          <w:tcPr>
            <w:tcW w:w="2120" w:type="dxa"/>
            <w:hideMark/>
          </w:tcPr>
          <w:p w14:paraId="2ADD84AD" w14:textId="77777777" w:rsidR="00DA32C5" w:rsidRPr="00907BE7" w:rsidRDefault="00DA32C5"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0F37B1EC" w14:textId="77777777" w:rsidR="00DA32C5" w:rsidRPr="00907BE7" w:rsidRDefault="00DA32C5"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66B172BD" w14:textId="77777777" w:rsidR="00DA32C5" w:rsidRPr="00907BE7" w:rsidRDefault="00DA32C5"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Milingimbi</w:t>
            </w:r>
            <w:proofErr w:type="spellEnd"/>
            <w:r w:rsidRPr="00907BE7">
              <w:rPr>
                <w:rFonts w:cs="Arial"/>
                <w:color w:val="000000"/>
                <w:sz w:val="20"/>
              </w:rPr>
              <w:t xml:space="preserve"> Island</w:t>
            </w:r>
          </w:p>
        </w:tc>
        <w:tc>
          <w:tcPr>
            <w:tcW w:w="4640" w:type="dxa"/>
            <w:hideMark/>
          </w:tcPr>
          <w:p w14:paraId="408BABDB" w14:textId="77777777" w:rsidR="00DA32C5" w:rsidRPr="00907BE7" w:rsidRDefault="00DA32C5"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Fresh groundwater lens dynamics of a small bedrock island in the tropics, Northern Australia</w:t>
            </w:r>
          </w:p>
        </w:tc>
      </w:tr>
      <w:tr w:rsidR="009A7B9A" w:rsidRPr="005F161D" w14:paraId="535D88E5" w14:textId="77777777" w:rsidTr="009A02EB">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3FE900FF" w14:textId="3578B8E9" w:rsidR="00AF6437" w:rsidRPr="002C231F" w:rsidRDefault="00AF6437" w:rsidP="009A02EB">
            <w:pPr>
              <w:jc w:val="center"/>
              <w:rPr>
                <w:rFonts w:cs="Arial"/>
                <w:color w:val="000000"/>
                <w:sz w:val="20"/>
              </w:rPr>
            </w:pPr>
            <w:r w:rsidRPr="00AF6437">
              <w:rPr>
                <w:rFonts w:cs="Arial"/>
                <w:sz w:val="20"/>
                <w:vertAlign w:val="superscript"/>
              </w:rPr>
              <w:t>8</w:t>
            </w:r>
          </w:p>
        </w:tc>
        <w:tc>
          <w:tcPr>
            <w:tcW w:w="3200" w:type="dxa"/>
            <w:noWrap/>
            <w:hideMark/>
          </w:tcPr>
          <w:p w14:paraId="68D7FAE5" w14:textId="77777777" w:rsidR="00AF6437" w:rsidRPr="00907BE7" w:rsidRDefault="00AF6437"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Barua et al. (2021)</w:t>
            </w:r>
          </w:p>
        </w:tc>
        <w:tc>
          <w:tcPr>
            <w:tcW w:w="2120" w:type="dxa"/>
            <w:hideMark/>
          </w:tcPr>
          <w:p w14:paraId="40C10F3D" w14:textId="77777777" w:rsidR="00AF6437" w:rsidRPr="00907BE7" w:rsidRDefault="00AF6437"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hideMark/>
          </w:tcPr>
          <w:p w14:paraId="49726E27" w14:textId="77777777" w:rsidR="00AF6437" w:rsidRPr="00907BE7" w:rsidRDefault="00AF6437"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45F8A396" w14:textId="77777777" w:rsidR="00AF6437" w:rsidRPr="00907BE7" w:rsidRDefault="00AF6437"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Gatum</w:t>
            </w:r>
            <w:proofErr w:type="spellEnd"/>
            <w:r w:rsidRPr="00907BE7">
              <w:rPr>
                <w:rFonts w:cs="Arial"/>
                <w:color w:val="000000"/>
                <w:sz w:val="20"/>
              </w:rPr>
              <w:t>, Vic</w:t>
            </w:r>
          </w:p>
        </w:tc>
        <w:tc>
          <w:tcPr>
            <w:tcW w:w="4640" w:type="dxa"/>
            <w:hideMark/>
          </w:tcPr>
          <w:p w14:paraId="6EA88E07" w14:textId="77777777" w:rsidR="00AF6437" w:rsidRPr="00907BE7" w:rsidRDefault="00AF6437" w:rsidP="009A02EB">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multiple methods to investigate the effects of land-use changes on groundwater recharge in a semi-arid area</w:t>
            </w:r>
          </w:p>
        </w:tc>
      </w:tr>
      <w:tr w:rsidR="009A7B9A" w:rsidRPr="005F161D" w14:paraId="501FC480"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1FA777C" w14:textId="17C5A26D" w:rsidR="00A42599" w:rsidRPr="002C231F" w:rsidRDefault="006758DC" w:rsidP="002C231F">
            <w:pPr>
              <w:jc w:val="center"/>
              <w:rPr>
                <w:rFonts w:cs="Arial"/>
                <w:color w:val="000000"/>
                <w:sz w:val="20"/>
              </w:rPr>
            </w:pPr>
            <w:r w:rsidRPr="006758DC">
              <w:rPr>
                <w:rFonts w:cs="Arial"/>
                <w:sz w:val="20"/>
                <w:vertAlign w:val="superscript"/>
              </w:rPr>
              <w:lastRenderedPageBreak/>
              <w:t>9</w:t>
            </w:r>
          </w:p>
        </w:tc>
        <w:tc>
          <w:tcPr>
            <w:tcW w:w="3200" w:type="dxa"/>
            <w:noWrap/>
            <w:hideMark/>
          </w:tcPr>
          <w:p w14:paraId="40C6AA6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Barua et al. (2022)</w:t>
            </w:r>
          </w:p>
        </w:tc>
        <w:tc>
          <w:tcPr>
            <w:tcW w:w="2120" w:type="dxa"/>
            <w:hideMark/>
          </w:tcPr>
          <w:p w14:paraId="20845A3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10866C5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0FF7167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Banool, Plantation and McGill streams, western Vic</w:t>
            </w:r>
          </w:p>
        </w:tc>
        <w:tc>
          <w:tcPr>
            <w:tcW w:w="4640" w:type="dxa"/>
            <w:hideMark/>
          </w:tcPr>
          <w:p w14:paraId="1525399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Sources and mean transit times of intermittent streamflow in semi-arid headwater catchments</w:t>
            </w:r>
          </w:p>
        </w:tc>
      </w:tr>
      <w:tr w:rsidR="009A7B9A" w:rsidRPr="005F161D" w14:paraId="7D47FBB5"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5B2FAF85" w14:textId="155CEBB5" w:rsidR="00A42599" w:rsidRPr="002C231F" w:rsidRDefault="000B4518" w:rsidP="002C231F">
            <w:pPr>
              <w:jc w:val="center"/>
              <w:rPr>
                <w:rFonts w:cs="Arial"/>
                <w:color w:val="000000"/>
                <w:sz w:val="20"/>
              </w:rPr>
            </w:pPr>
            <w:r w:rsidRPr="000B4518">
              <w:rPr>
                <w:rFonts w:cs="Arial"/>
                <w:sz w:val="20"/>
                <w:vertAlign w:val="superscript"/>
              </w:rPr>
              <w:t>10</w:t>
            </w:r>
          </w:p>
        </w:tc>
        <w:tc>
          <w:tcPr>
            <w:tcW w:w="3200" w:type="dxa"/>
            <w:noWrap/>
            <w:hideMark/>
          </w:tcPr>
          <w:p w14:paraId="4F6D61D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Bennetts et al. (2006)</w:t>
            </w:r>
          </w:p>
        </w:tc>
        <w:tc>
          <w:tcPr>
            <w:tcW w:w="2120" w:type="dxa"/>
            <w:hideMark/>
          </w:tcPr>
          <w:p w14:paraId="324EB3B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1050778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7A07256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Willaura</w:t>
            </w:r>
            <w:proofErr w:type="spellEnd"/>
            <w:r w:rsidRPr="00907BE7">
              <w:rPr>
                <w:rFonts w:cs="Arial"/>
                <w:color w:val="000000"/>
                <w:sz w:val="20"/>
              </w:rPr>
              <w:t>, western Victoria</w:t>
            </w:r>
          </w:p>
        </w:tc>
        <w:tc>
          <w:tcPr>
            <w:tcW w:w="4640" w:type="dxa"/>
            <w:hideMark/>
          </w:tcPr>
          <w:p w14:paraId="7F33B23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Understanding the salinisation process for groundwater in an area of south-eastern Australia, using </w:t>
            </w:r>
            <w:proofErr w:type="spellStart"/>
            <w:r w:rsidRPr="00907BE7">
              <w:rPr>
                <w:rFonts w:cs="Arial"/>
                <w:color w:val="000000"/>
                <w:sz w:val="20"/>
              </w:rPr>
              <w:t>hydrochemical</w:t>
            </w:r>
            <w:proofErr w:type="spellEnd"/>
            <w:r w:rsidRPr="00907BE7">
              <w:rPr>
                <w:rFonts w:cs="Arial"/>
                <w:color w:val="000000"/>
                <w:sz w:val="20"/>
              </w:rPr>
              <w:t xml:space="preserve"> and isotopic evidence</w:t>
            </w:r>
          </w:p>
        </w:tc>
      </w:tr>
      <w:tr w:rsidR="009A7B9A" w:rsidRPr="005F161D" w14:paraId="254CEC03"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D903CF9" w14:textId="3AD9315F" w:rsidR="00A42599" w:rsidRPr="002C231F" w:rsidRDefault="000B4518" w:rsidP="002C231F">
            <w:pPr>
              <w:jc w:val="center"/>
              <w:rPr>
                <w:rFonts w:cs="Arial"/>
                <w:color w:val="000000"/>
                <w:sz w:val="20"/>
              </w:rPr>
            </w:pPr>
            <w:r w:rsidRPr="000B4518">
              <w:rPr>
                <w:rFonts w:cs="Arial"/>
                <w:sz w:val="20"/>
                <w:vertAlign w:val="superscript"/>
              </w:rPr>
              <w:t>11</w:t>
            </w:r>
          </w:p>
        </w:tc>
        <w:tc>
          <w:tcPr>
            <w:tcW w:w="3200" w:type="dxa"/>
            <w:noWrap/>
            <w:hideMark/>
          </w:tcPr>
          <w:p w14:paraId="317FFDC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Bryan et al. (2016)</w:t>
            </w:r>
          </w:p>
        </w:tc>
        <w:tc>
          <w:tcPr>
            <w:tcW w:w="2120" w:type="dxa"/>
            <w:hideMark/>
          </w:tcPr>
          <w:p w14:paraId="1638065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7E58679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208BBF5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Rottnest Island</w:t>
            </w:r>
          </w:p>
        </w:tc>
        <w:tc>
          <w:tcPr>
            <w:tcW w:w="4640" w:type="dxa"/>
            <w:hideMark/>
          </w:tcPr>
          <w:p w14:paraId="2C3917A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Island groundwater resources, impacts of abstraction and a drying climate: Rottnest Island, Western Australia</w:t>
            </w:r>
          </w:p>
        </w:tc>
      </w:tr>
      <w:tr w:rsidR="009A7B9A" w:rsidRPr="005F161D" w14:paraId="39AB7DA9"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1306E51E" w14:textId="6ACB760C" w:rsidR="00A42599" w:rsidRPr="002C231F" w:rsidRDefault="000B4518" w:rsidP="002C231F">
            <w:pPr>
              <w:jc w:val="center"/>
              <w:rPr>
                <w:rFonts w:cs="Arial"/>
                <w:color w:val="000000"/>
                <w:sz w:val="20"/>
              </w:rPr>
            </w:pPr>
            <w:r w:rsidRPr="000B4518">
              <w:rPr>
                <w:rFonts w:cs="Arial"/>
                <w:sz w:val="20"/>
                <w:vertAlign w:val="superscript"/>
              </w:rPr>
              <w:t>12</w:t>
            </w:r>
          </w:p>
        </w:tc>
        <w:tc>
          <w:tcPr>
            <w:tcW w:w="3200" w:type="dxa"/>
            <w:noWrap/>
            <w:hideMark/>
          </w:tcPr>
          <w:p w14:paraId="0A9061F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Broad (2020)</w:t>
            </w:r>
          </w:p>
        </w:tc>
        <w:tc>
          <w:tcPr>
            <w:tcW w:w="2120" w:type="dxa"/>
            <w:hideMark/>
          </w:tcPr>
          <w:p w14:paraId="600A8E0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Thesis</w:t>
            </w:r>
          </w:p>
        </w:tc>
        <w:tc>
          <w:tcPr>
            <w:tcW w:w="1039" w:type="dxa"/>
            <w:noWrap/>
            <w:hideMark/>
          </w:tcPr>
          <w:p w14:paraId="0FF6975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021838A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South Australia compilation</w:t>
            </w:r>
          </w:p>
        </w:tc>
        <w:tc>
          <w:tcPr>
            <w:tcW w:w="4640" w:type="dxa"/>
            <w:hideMark/>
          </w:tcPr>
          <w:p w14:paraId="7641140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Groundwater Age to Inform Aquifer Sustainability (Honours Thesis)</w:t>
            </w:r>
          </w:p>
        </w:tc>
      </w:tr>
      <w:tr w:rsidR="009A7B9A" w:rsidRPr="005F161D" w14:paraId="3215335C"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030090B1" w14:textId="19828F9B" w:rsidR="00A42599" w:rsidRPr="002C231F" w:rsidRDefault="000B4518" w:rsidP="002C231F">
            <w:pPr>
              <w:jc w:val="center"/>
              <w:rPr>
                <w:rFonts w:cs="Arial"/>
                <w:color w:val="000000"/>
                <w:sz w:val="20"/>
              </w:rPr>
            </w:pPr>
            <w:r w:rsidRPr="000B4518">
              <w:rPr>
                <w:rFonts w:cs="Arial"/>
                <w:sz w:val="20"/>
                <w:vertAlign w:val="superscript"/>
              </w:rPr>
              <w:t>13</w:t>
            </w:r>
          </w:p>
        </w:tc>
        <w:tc>
          <w:tcPr>
            <w:tcW w:w="3200" w:type="dxa"/>
            <w:noWrap/>
            <w:hideMark/>
          </w:tcPr>
          <w:p w14:paraId="47BB970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and Morgenstern (2012)</w:t>
            </w:r>
          </w:p>
        </w:tc>
        <w:tc>
          <w:tcPr>
            <w:tcW w:w="2120" w:type="dxa"/>
            <w:hideMark/>
          </w:tcPr>
          <w:p w14:paraId="029E321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09F3F2C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6EB550A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gramStart"/>
            <w:r w:rsidRPr="00907BE7">
              <w:rPr>
                <w:rFonts w:cs="Arial"/>
                <w:color w:val="000000"/>
                <w:sz w:val="20"/>
              </w:rPr>
              <w:t>Ovens</w:t>
            </w:r>
            <w:proofErr w:type="gramEnd"/>
            <w:r w:rsidRPr="00907BE7">
              <w:rPr>
                <w:rFonts w:cs="Arial"/>
                <w:color w:val="000000"/>
                <w:sz w:val="20"/>
              </w:rPr>
              <w:t xml:space="preserve"> catchment, Vic</w:t>
            </w:r>
          </w:p>
        </w:tc>
        <w:tc>
          <w:tcPr>
            <w:tcW w:w="4640" w:type="dxa"/>
            <w:hideMark/>
          </w:tcPr>
          <w:p w14:paraId="3CE4D6E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Constraining groundwater recharge and the rate of geochemical processes using tritium and major ion geochemistry: </w:t>
            </w:r>
            <w:proofErr w:type="gramStart"/>
            <w:r w:rsidRPr="00907BE7">
              <w:rPr>
                <w:rFonts w:cs="Arial"/>
                <w:color w:val="000000"/>
                <w:sz w:val="20"/>
              </w:rPr>
              <w:t>Ovens</w:t>
            </w:r>
            <w:proofErr w:type="gramEnd"/>
            <w:r w:rsidRPr="00907BE7">
              <w:rPr>
                <w:rFonts w:cs="Arial"/>
                <w:color w:val="000000"/>
                <w:sz w:val="20"/>
              </w:rPr>
              <w:t xml:space="preserve"> catchment, southeast Australia</w:t>
            </w:r>
          </w:p>
        </w:tc>
      </w:tr>
      <w:tr w:rsidR="009A7B9A" w:rsidRPr="005F161D" w14:paraId="1C3C09F8"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72602949" w14:textId="29093DA6" w:rsidR="00A42599" w:rsidRPr="002C231F" w:rsidRDefault="00441D5C" w:rsidP="002C231F">
            <w:pPr>
              <w:jc w:val="center"/>
              <w:rPr>
                <w:rFonts w:cs="Arial"/>
                <w:color w:val="000000"/>
                <w:sz w:val="20"/>
              </w:rPr>
            </w:pPr>
            <w:r w:rsidRPr="00441D5C">
              <w:rPr>
                <w:rFonts w:cs="Arial"/>
                <w:sz w:val="20"/>
                <w:vertAlign w:val="superscript"/>
              </w:rPr>
              <w:t>14</w:t>
            </w:r>
          </w:p>
        </w:tc>
        <w:tc>
          <w:tcPr>
            <w:tcW w:w="3200" w:type="dxa"/>
            <w:noWrap/>
            <w:hideMark/>
          </w:tcPr>
          <w:p w14:paraId="6E1CBFB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and Morgenstern (2016)</w:t>
            </w:r>
          </w:p>
        </w:tc>
        <w:tc>
          <w:tcPr>
            <w:tcW w:w="2120" w:type="dxa"/>
            <w:hideMark/>
          </w:tcPr>
          <w:p w14:paraId="5FF2D1F9" w14:textId="3105FCBD"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App</w:t>
            </w:r>
            <w:r w:rsidR="00CB55DA">
              <w:rPr>
                <w:rFonts w:cs="Arial"/>
                <w:color w:val="000000"/>
                <w:sz w:val="20"/>
              </w:rPr>
              <w:t>l</w:t>
            </w:r>
            <w:r w:rsidR="00B528B6">
              <w:rPr>
                <w:rFonts w:cs="Arial"/>
                <w:color w:val="000000"/>
                <w:sz w:val="20"/>
              </w:rPr>
              <w:t>.</w:t>
            </w:r>
            <w:r w:rsidRPr="00907BE7">
              <w:rPr>
                <w:rFonts w:cs="Arial"/>
                <w:color w:val="000000"/>
                <w:sz w:val="20"/>
              </w:rPr>
              <w:t xml:space="preserve"> Geochem</w:t>
            </w:r>
            <w:r w:rsidR="00B528B6">
              <w:rPr>
                <w:rFonts w:cs="Arial"/>
                <w:color w:val="000000"/>
                <w:sz w:val="20"/>
              </w:rPr>
              <w:t>.</w:t>
            </w:r>
          </w:p>
        </w:tc>
        <w:tc>
          <w:tcPr>
            <w:tcW w:w="1039" w:type="dxa"/>
            <w:noWrap/>
            <w:hideMark/>
          </w:tcPr>
          <w:p w14:paraId="016E343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7BD61E5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Deep Creek</w:t>
            </w:r>
          </w:p>
        </w:tc>
        <w:tc>
          <w:tcPr>
            <w:tcW w:w="4640" w:type="dxa"/>
            <w:hideMark/>
          </w:tcPr>
          <w:p w14:paraId="60579D5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tritium to document the mean transit time and sources of water contributing to a chain-of-ponds river system: Implications for resource protection</w:t>
            </w:r>
          </w:p>
        </w:tc>
      </w:tr>
      <w:tr w:rsidR="009A7B9A" w:rsidRPr="005F161D" w14:paraId="2BAC908C"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6573022" w14:textId="365E8BB8" w:rsidR="00A42599" w:rsidRPr="002C231F" w:rsidRDefault="00441D5C" w:rsidP="002C231F">
            <w:pPr>
              <w:jc w:val="center"/>
              <w:rPr>
                <w:rFonts w:cs="Arial"/>
                <w:color w:val="000000"/>
                <w:sz w:val="20"/>
              </w:rPr>
            </w:pPr>
            <w:r w:rsidRPr="00441D5C">
              <w:rPr>
                <w:rFonts w:cs="Arial"/>
                <w:sz w:val="20"/>
                <w:vertAlign w:val="superscript"/>
              </w:rPr>
              <w:t>15</w:t>
            </w:r>
          </w:p>
        </w:tc>
        <w:tc>
          <w:tcPr>
            <w:tcW w:w="3200" w:type="dxa"/>
            <w:noWrap/>
            <w:hideMark/>
          </w:tcPr>
          <w:p w14:paraId="19DE554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Cook and Robinson (2002)</w:t>
            </w:r>
          </w:p>
        </w:tc>
        <w:tc>
          <w:tcPr>
            <w:tcW w:w="2120" w:type="dxa"/>
            <w:hideMark/>
          </w:tcPr>
          <w:p w14:paraId="017B59B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WRR</w:t>
            </w:r>
          </w:p>
        </w:tc>
        <w:tc>
          <w:tcPr>
            <w:tcW w:w="1039" w:type="dxa"/>
            <w:noWrap/>
            <w:hideMark/>
          </w:tcPr>
          <w:p w14:paraId="742DAD2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17588BA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Northern Mt Lofty Ranges, SA</w:t>
            </w:r>
          </w:p>
        </w:tc>
        <w:tc>
          <w:tcPr>
            <w:tcW w:w="4640" w:type="dxa"/>
            <w:hideMark/>
          </w:tcPr>
          <w:p w14:paraId="3AF387C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Estimating groundwater recharge in fractured rock from environmental 3 H and 36Cl, Clare Valley, South Australia</w:t>
            </w:r>
          </w:p>
        </w:tc>
      </w:tr>
      <w:tr w:rsidR="009A7B9A" w:rsidRPr="005F161D" w14:paraId="3E15D1CC"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163207A1" w14:textId="1C0A5768" w:rsidR="00A42599" w:rsidRPr="002C231F" w:rsidRDefault="00441D5C" w:rsidP="002C231F">
            <w:pPr>
              <w:jc w:val="center"/>
              <w:rPr>
                <w:rFonts w:cs="Arial"/>
                <w:color w:val="000000"/>
                <w:sz w:val="20"/>
              </w:rPr>
            </w:pPr>
            <w:r w:rsidRPr="00441D5C">
              <w:rPr>
                <w:rFonts w:cs="Arial"/>
                <w:sz w:val="20"/>
                <w:vertAlign w:val="superscript"/>
              </w:rPr>
              <w:t>16</w:t>
            </w:r>
          </w:p>
        </w:tc>
        <w:tc>
          <w:tcPr>
            <w:tcW w:w="3200" w:type="dxa"/>
            <w:noWrap/>
            <w:hideMark/>
          </w:tcPr>
          <w:p w14:paraId="185B6AE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Calf (1978)</w:t>
            </w:r>
          </w:p>
        </w:tc>
        <w:tc>
          <w:tcPr>
            <w:tcW w:w="2120" w:type="dxa"/>
            <w:hideMark/>
          </w:tcPr>
          <w:p w14:paraId="062006D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Aust. J. Soil Res.</w:t>
            </w:r>
          </w:p>
        </w:tc>
        <w:tc>
          <w:tcPr>
            <w:tcW w:w="1039" w:type="dxa"/>
            <w:noWrap/>
            <w:hideMark/>
          </w:tcPr>
          <w:p w14:paraId="15B33C6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1821DEA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Namoi River basin, NSW</w:t>
            </w:r>
          </w:p>
        </w:tc>
        <w:tc>
          <w:tcPr>
            <w:tcW w:w="4640" w:type="dxa"/>
            <w:hideMark/>
          </w:tcPr>
          <w:p w14:paraId="6667FB0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An investigation of recharge to the Namoi Valley aquifers using environmental isotopes</w:t>
            </w:r>
          </w:p>
        </w:tc>
      </w:tr>
      <w:tr w:rsidR="009A7B9A" w:rsidRPr="005F161D" w14:paraId="2C1DE3CF"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661E56EC" w14:textId="6A7070B7" w:rsidR="00A42599" w:rsidRPr="002C231F" w:rsidRDefault="005D7DD9" w:rsidP="002C231F">
            <w:pPr>
              <w:jc w:val="center"/>
              <w:rPr>
                <w:rFonts w:cs="Arial"/>
                <w:color w:val="000000"/>
                <w:sz w:val="20"/>
              </w:rPr>
            </w:pPr>
            <w:r w:rsidRPr="005D7DD9">
              <w:rPr>
                <w:rFonts w:cs="Arial"/>
                <w:sz w:val="20"/>
                <w:vertAlign w:val="superscript"/>
              </w:rPr>
              <w:t>17</w:t>
            </w:r>
          </w:p>
        </w:tc>
        <w:tc>
          <w:tcPr>
            <w:tcW w:w="3200" w:type="dxa"/>
            <w:noWrap/>
            <w:hideMark/>
          </w:tcPr>
          <w:p w14:paraId="34F9977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Calf et al. (1991)</w:t>
            </w:r>
          </w:p>
        </w:tc>
        <w:tc>
          <w:tcPr>
            <w:tcW w:w="2120" w:type="dxa"/>
            <w:hideMark/>
          </w:tcPr>
          <w:p w14:paraId="66339F9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Aust. J. Earth Sci.</w:t>
            </w:r>
          </w:p>
        </w:tc>
        <w:tc>
          <w:tcPr>
            <w:tcW w:w="1039" w:type="dxa"/>
            <w:noWrap/>
            <w:hideMark/>
          </w:tcPr>
          <w:p w14:paraId="657F5AD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61CDFB1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Ti-Tree Basin, NT</w:t>
            </w:r>
          </w:p>
        </w:tc>
        <w:tc>
          <w:tcPr>
            <w:tcW w:w="4640" w:type="dxa"/>
            <w:hideMark/>
          </w:tcPr>
          <w:p w14:paraId="3627B37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Recharge mechanism and groundwater age in the Ti</w:t>
            </w:r>
            <w:r w:rsidRPr="00907BE7">
              <w:rPr>
                <w:rFonts w:ascii="Cambria Math" w:hAnsi="Cambria Math" w:cs="Cambria Math"/>
                <w:color w:val="000000"/>
                <w:sz w:val="20"/>
              </w:rPr>
              <w:t>‐</w:t>
            </w:r>
            <w:r w:rsidRPr="00907BE7">
              <w:rPr>
                <w:rFonts w:cs="Arial"/>
                <w:color w:val="000000"/>
                <w:sz w:val="20"/>
              </w:rPr>
              <w:t>Tree Basin, Northern Territory</w:t>
            </w:r>
          </w:p>
        </w:tc>
      </w:tr>
      <w:tr w:rsidR="009A7B9A" w:rsidRPr="005F161D" w14:paraId="5B9F87F2" w14:textId="77777777" w:rsidTr="002448CA">
        <w:trPr>
          <w:trHeight w:val="1450"/>
        </w:trPr>
        <w:tc>
          <w:tcPr>
            <w:cnfStyle w:val="001000000000" w:firstRow="0" w:lastRow="0" w:firstColumn="1" w:lastColumn="0" w:oddVBand="0" w:evenVBand="0" w:oddHBand="0" w:evenHBand="0" w:firstRowFirstColumn="0" w:firstRowLastColumn="0" w:lastRowFirstColumn="0" w:lastRowLastColumn="0"/>
            <w:tcW w:w="700" w:type="dxa"/>
            <w:noWrap/>
          </w:tcPr>
          <w:p w14:paraId="11B9396B" w14:textId="05B80DCA" w:rsidR="00A42599" w:rsidRPr="002C231F" w:rsidRDefault="005D7DD9" w:rsidP="002C231F">
            <w:pPr>
              <w:jc w:val="center"/>
              <w:rPr>
                <w:rFonts w:cs="Arial"/>
                <w:color w:val="000000"/>
                <w:sz w:val="20"/>
              </w:rPr>
            </w:pPr>
            <w:r w:rsidRPr="005D7DD9">
              <w:rPr>
                <w:rFonts w:cs="Arial"/>
                <w:sz w:val="20"/>
                <w:vertAlign w:val="superscript"/>
              </w:rPr>
              <w:lastRenderedPageBreak/>
              <w:t>18</w:t>
            </w:r>
          </w:p>
        </w:tc>
        <w:tc>
          <w:tcPr>
            <w:tcW w:w="3200" w:type="dxa"/>
            <w:noWrap/>
            <w:hideMark/>
          </w:tcPr>
          <w:p w14:paraId="09DC80B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et al. (2007)</w:t>
            </w:r>
          </w:p>
        </w:tc>
        <w:tc>
          <w:tcPr>
            <w:tcW w:w="2120" w:type="dxa"/>
            <w:hideMark/>
          </w:tcPr>
          <w:p w14:paraId="6B427A7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70620C5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7C80340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Murray Basin (Riverine Plain)</w:t>
            </w:r>
          </w:p>
        </w:tc>
        <w:tc>
          <w:tcPr>
            <w:tcW w:w="4640" w:type="dxa"/>
            <w:hideMark/>
          </w:tcPr>
          <w:p w14:paraId="5D59DDD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Constraining modern and historical recharge from bore hydrographs, 3H, 14C, and chloride concentrations: Applications to dual-porosity aquifers in dryland salinity areas, Murray Basin, Australia</w:t>
            </w:r>
          </w:p>
        </w:tc>
      </w:tr>
      <w:tr w:rsidR="009A7B9A" w:rsidRPr="005F161D" w14:paraId="570093B0"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122F33C5" w14:textId="19C1C16C" w:rsidR="00A42599" w:rsidRPr="002C231F" w:rsidRDefault="004C579D" w:rsidP="002C231F">
            <w:pPr>
              <w:jc w:val="center"/>
              <w:rPr>
                <w:rFonts w:cs="Arial"/>
                <w:color w:val="000000"/>
                <w:sz w:val="20"/>
              </w:rPr>
            </w:pPr>
            <w:r w:rsidRPr="004C579D">
              <w:rPr>
                <w:rFonts w:cs="Arial"/>
                <w:sz w:val="20"/>
                <w:vertAlign w:val="superscript"/>
              </w:rPr>
              <w:t>19</w:t>
            </w:r>
          </w:p>
        </w:tc>
        <w:tc>
          <w:tcPr>
            <w:tcW w:w="3200" w:type="dxa"/>
            <w:noWrap/>
            <w:hideMark/>
          </w:tcPr>
          <w:p w14:paraId="37E1D2C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et al. (2010)</w:t>
            </w:r>
          </w:p>
        </w:tc>
        <w:tc>
          <w:tcPr>
            <w:tcW w:w="2120" w:type="dxa"/>
            <w:hideMark/>
          </w:tcPr>
          <w:p w14:paraId="6D5FD75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10D4DD2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5135E69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Murray Basin, Vic</w:t>
            </w:r>
          </w:p>
        </w:tc>
        <w:tc>
          <w:tcPr>
            <w:tcW w:w="4640" w:type="dxa"/>
            <w:hideMark/>
          </w:tcPr>
          <w:p w14:paraId="1BDBB6C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Physical hydrogeology and environmental isotopes to constrain the age, origins, and stability of a low-salinity groundwater lens formed by periodic river recharge: Murray Basin, Australia</w:t>
            </w:r>
          </w:p>
        </w:tc>
      </w:tr>
      <w:tr w:rsidR="009A7B9A" w:rsidRPr="005F161D" w14:paraId="2A034B58"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C2EB023" w14:textId="1646ED04" w:rsidR="00A42599" w:rsidRPr="002C231F" w:rsidRDefault="004C579D" w:rsidP="002C231F">
            <w:pPr>
              <w:jc w:val="center"/>
              <w:rPr>
                <w:rFonts w:cs="Arial"/>
                <w:color w:val="000000"/>
                <w:sz w:val="20"/>
              </w:rPr>
            </w:pPr>
            <w:r w:rsidRPr="004C579D">
              <w:rPr>
                <w:rFonts w:cs="Arial"/>
                <w:sz w:val="20"/>
                <w:vertAlign w:val="superscript"/>
              </w:rPr>
              <w:t>20</w:t>
            </w:r>
          </w:p>
        </w:tc>
        <w:tc>
          <w:tcPr>
            <w:tcW w:w="3200" w:type="dxa"/>
            <w:noWrap/>
            <w:hideMark/>
          </w:tcPr>
          <w:p w14:paraId="3628097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et al. (2013)</w:t>
            </w:r>
          </w:p>
        </w:tc>
        <w:tc>
          <w:tcPr>
            <w:tcW w:w="2120" w:type="dxa"/>
            <w:hideMark/>
          </w:tcPr>
          <w:p w14:paraId="38FF7FB5" w14:textId="26F1E46C"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Appl</w:t>
            </w:r>
            <w:r w:rsidR="00B528B6">
              <w:rPr>
                <w:rFonts w:cs="Arial"/>
                <w:color w:val="000000"/>
                <w:sz w:val="20"/>
              </w:rPr>
              <w:t>.</w:t>
            </w:r>
            <w:r w:rsidRPr="00907BE7">
              <w:rPr>
                <w:rFonts w:cs="Arial"/>
                <w:color w:val="000000"/>
                <w:sz w:val="20"/>
              </w:rPr>
              <w:t xml:space="preserve"> Geochem</w:t>
            </w:r>
            <w:r w:rsidR="00B528B6">
              <w:rPr>
                <w:rFonts w:cs="Arial"/>
                <w:color w:val="000000"/>
                <w:sz w:val="20"/>
              </w:rPr>
              <w:t>.</w:t>
            </w:r>
          </w:p>
        </w:tc>
        <w:tc>
          <w:tcPr>
            <w:tcW w:w="1039" w:type="dxa"/>
            <w:noWrap/>
            <w:hideMark/>
          </w:tcPr>
          <w:p w14:paraId="3CD3110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084218C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gramStart"/>
            <w:r w:rsidRPr="00907BE7">
              <w:rPr>
                <w:rFonts w:cs="Arial"/>
                <w:color w:val="000000"/>
                <w:sz w:val="20"/>
              </w:rPr>
              <w:t>Ovens</w:t>
            </w:r>
            <w:proofErr w:type="gramEnd"/>
            <w:r w:rsidRPr="00907BE7">
              <w:rPr>
                <w:rFonts w:cs="Arial"/>
                <w:color w:val="000000"/>
                <w:sz w:val="20"/>
              </w:rPr>
              <w:t xml:space="preserve"> catchment, Vic</w:t>
            </w:r>
          </w:p>
        </w:tc>
        <w:tc>
          <w:tcPr>
            <w:tcW w:w="4640" w:type="dxa"/>
            <w:hideMark/>
          </w:tcPr>
          <w:p w14:paraId="6ABE850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3H and 14C to constrain the degree of closed-system dissolution of calcite in groundwater</w:t>
            </w:r>
          </w:p>
        </w:tc>
      </w:tr>
      <w:tr w:rsidR="009A7B9A" w:rsidRPr="005F161D" w14:paraId="40BDA22E"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5B6E3FF7" w14:textId="3E9193C7" w:rsidR="00A42599" w:rsidRPr="002C231F" w:rsidRDefault="00114A66" w:rsidP="002C231F">
            <w:pPr>
              <w:jc w:val="center"/>
              <w:rPr>
                <w:rFonts w:cs="Arial"/>
                <w:color w:val="000000"/>
                <w:sz w:val="20"/>
              </w:rPr>
            </w:pPr>
            <w:r w:rsidRPr="00114A66">
              <w:rPr>
                <w:rFonts w:cs="Arial"/>
                <w:sz w:val="20"/>
                <w:vertAlign w:val="superscript"/>
              </w:rPr>
              <w:t>21</w:t>
            </w:r>
          </w:p>
        </w:tc>
        <w:tc>
          <w:tcPr>
            <w:tcW w:w="3200" w:type="dxa"/>
            <w:noWrap/>
            <w:hideMark/>
          </w:tcPr>
          <w:p w14:paraId="2F98CE2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Cartwright et al. (2019)</w:t>
            </w:r>
          </w:p>
        </w:tc>
        <w:tc>
          <w:tcPr>
            <w:tcW w:w="2120" w:type="dxa"/>
            <w:hideMark/>
          </w:tcPr>
          <w:p w14:paraId="1428BB4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79A667B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hideMark/>
          </w:tcPr>
          <w:p w14:paraId="7FE5C32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Murray River Floodplain (</w:t>
            </w:r>
            <w:proofErr w:type="spellStart"/>
            <w:r w:rsidRPr="00907BE7">
              <w:rPr>
                <w:rFonts w:cs="Arial"/>
                <w:color w:val="000000"/>
                <w:sz w:val="20"/>
              </w:rPr>
              <w:t>Alluvials</w:t>
            </w:r>
            <w:proofErr w:type="spellEnd"/>
            <w:r w:rsidRPr="00907BE7">
              <w:rPr>
                <w:rFonts w:cs="Arial"/>
                <w:color w:val="000000"/>
                <w:sz w:val="20"/>
              </w:rPr>
              <w:t>)</w:t>
            </w:r>
          </w:p>
        </w:tc>
        <w:tc>
          <w:tcPr>
            <w:tcW w:w="4640" w:type="dxa"/>
            <w:hideMark/>
          </w:tcPr>
          <w:p w14:paraId="2C7C89C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geochemistry to discern the patterns and timescales of groundwater recharge and mixing on floodplains in semi-arid regions</w:t>
            </w:r>
          </w:p>
        </w:tc>
      </w:tr>
      <w:tr w:rsidR="009A7B9A" w:rsidRPr="005F161D" w14:paraId="1A594596"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46039C39" w14:textId="407FFF17" w:rsidR="00A42599" w:rsidRPr="002C231F" w:rsidRDefault="00114A66" w:rsidP="002C231F">
            <w:pPr>
              <w:jc w:val="center"/>
              <w:rPr>
                <w:rFonts w:cs="Arial"/>
                <w:color w:val="000000"/>
                <w:sz w:val="20"/>
              </w:rPr>
            </w:pPr>
            <w:r w:rsidRPr="00114A66">
              <w:rPr>
                <w:rFonts w:cs="Arial"/>
                <w:sz w:val="20"/>
                <w:vertAlign w:val="superscript"/>
              </w:rPr>
              <w:t>22</w:t>
            </w:r>
          </w:p>
        </w:tc>
        <w:tc>
          <w:tcPr>
            <w:tcW w:w="3200" w:type="dxa"/>
            <w:noWrap/>
            <w:hideMark/>
          </w:tcPr>
          <w:p w14:paraId="138D049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Campbell et al. (2024)</w:t>
            </w:r>
          </w:p>
        </w:tc>
        <w:tc>
          <w:tcPr>
            <w:tcW w:w="2120" w:type="dxa"/>
            <w:hideMark/>
          </w:tcPr>
          <w:p w14:paraId="23F4B13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7D3FB84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108DCDE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Carmichael Mine area</w:t>
            </w:r>
          </w:p>
        </w:tc>
        <w:tc>
          <w:tcPr>
            <w:tcW w:w="4640" w:type="dxa"/>
            <w:hideMark/>
          </w:tcPr>
          <w:p w14:paraId="2B2089F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Multiple isotope tracers reveal the sources of water sustaining ecologically and culturally significant springs, and their vulnerability to mining development</w:t>
            </w:r>
          </w:p>
        </w:tc>
      </w:tr>
      <w:tr w:rsidR="009A7B9A" w:rsidRPr="005F161D" w14:paraId="78784BCF"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6DCF4D34" w14:textId="1C3EF315" w:rsidR="00A42599" w:rsidRPr="002C231F" w:rsidRDefault="00114A66" w:rsidP="002C231F">
            <w:pPr>
              <w:jc w:val="center"/>
              <w:rPr>
                <w:rFonts w:cs="Arial"/>
                <w:color w:val="000000"/>
                <w:sz w:val="20"/>
              </w:rPr>
            </w:pPr>
            <w:r w:rsidRPr="00114A66">
              <w:rPr>
                <w:rFonts w:cs="Arial"/>
                <w:sz w:val="20"/>
                <w:vertAlign w:val="superscript"/>
              </w:rPr>
              <w:t>23</w:t>
            </w:r>
          </w:p>
        </w:tc>
        <w:tc>
          <w:tcPr>
            <w:tcW w:w="3200" w:type="dxa"/>
            <w:noWrap/>
            <w:hideMark/>
          </w:tcPr>
          <w:p w14:paraId="44D1A93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Campbell et al. (2025)</w:t>
            </w:r>
          </w:p>
        </w:tc>
        <w:tc>
          <w:tcPr>
            <w:tcW w:w="2120" w:type="dxa"/>
            <w:hideMark/>
          </w:tcPr>
          <w:p w14:paraId="3A54ACD2" w14:textId="08E736F1"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Appl</w:t>
            </w:r>
            <w:r w:rsidR="00B528B6">
              <w:rPr>
                <w:rFonts w:cs="Arial"/>
                <w:color w:val="000000"/>
                <w:sz w:val="20"/>
              </w:rPr>
              <w:t>.</w:t>
            </w:r>
            <w:r w:rsidRPr="00907BE7">
              <w:rPr>
                <w:rFonts w:cs="Arial"/>
                <w:color w:val="000000"/>
                <w:sz w:val="20"/>
              </w:rPr>
              <w:t xml:space="preserve"> Chem</w:t>
            </w:r>
            <w:r w:rsidR="00B528B6">
              <w:rPr>
                <w:rFonts w:cs="Arial"/>
                <w:color w:val="000000"/>
                <w:sz w:val="20"/>
              </w:rPr>
              <w:t>.</w:t>
            </w:r>
          </w:p>
        </w:tc>
        <w:tc>
          <w:tcPr>
            <w:tcW w:w="1039" w:type="dxa"/>
            <w:noWrap/>
            <w:hideMark/>
          </w:tcPr>
          <w:p w14:paraId="5D76BCF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2F3C574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Carmichael Mine area</w:t>
            </w:r>
          </w:p>
        </w:tc>
        <w:tc>
          <w:tcPr>
            <w:tcW w:w="4640" w:type="dxa"/>
            <w:hideMark/>
          </w:tcPr>
          <w:p w14:paraId="38ED08D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geochemical and geophysical data to characterise inter-aquifer connectivity and impacts on shallow aquifers and groundwater dependent ecosystems</w:t>
            </w:r>
          </w:p>
        </w:tc>
      </w:tr>
      <w:tr w:rsidR="009A7B9A" w:rsidRPr="005F161D" w14:paraId="727D10C6"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3A013724" w14:textId="5373C0B4" w:rsidR="00A42599" w:rsidRPr="002C231F" w:rsidRDefault="00B93F1F" w:rsidP="002C231F">
            <w:pPr>
              <w:jc w:val="center"/>
              <w:rPr>
                <w:rFonts w:cs="Arial"/>
                <w:color w:val="000000"/>
                <w:sz w:val="20"/>
              </w:rPr>
            </w:pPr>
            <w:r w:rsidRPr="00B93F1F">
              <w:rPr>
                <w:rFonts w:cs="Arial"/>
                <w:sz w:val="20"/>
                <w:vertAlign w:val="superscript"/>
              </w:rPr>
              <w:t>24</w:t>
            </w:r>
          </w:p>
        </w:tc>
        <w:tc>
          <w:tcPr>
            <w:tcW w:w="3200" w:type="dxa"/>
            <w:noWrap/>
            <w:hideMark/>
          </w:tcPr>
          <w:p w14:paraId="5BAD2C21" w14:textId="287A9A7D"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sz w:val="20"/>
              </w:rPr>
              <w:t>Cend</w:t>
            </w:r>
            <w:r w:rsidR="0066755D" w:rsidRPr="0066755D">
              <w:rPr>
                <w:rFonts w:cs="Arial"/>
                <w:sz w:val="20"/>
              </w:rPr>
              <w:t>ó</w:t>
            </w:r>
            <w:r w:rsidRPr="00907BE7">
              <w:rPr>
                <w:rFonts w:cs="Arial"/>
                <w:sz w:val="20"/>
              </w:rPr>
              <w:t>n</w:t>
            </w:r>
            <w:proofErr w:type="spellEnd"/>
            <w:r w:rsidRPr="00907BE7">
              <w:rPr>
                <w:rFonts w:cs="Arial"/>
                <w:sz w:val="20"/>
              </w:rPr>
              <w:t xml:space="preserve"> et al. (2014)</w:t>
            </w:r>
          </w:p>
        </w:tc>
        <w:tc>
          <w:tcPr>
            <w:tcW w:w="2120" w:type="dxa"/>
            <w:hideMark/>
          </w:tcPr>
          <w:p w14:paraId="1D82D5D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AJES</w:t>
            </w:r>
          </w:p>
        </w:tc>
        <w:tc>
          <w:tcPr>
            <w:tcW w:w="1039" w:type="dxa"/>
            <w:noWrap/>
            <w:hideMark/>
          </w:tcPr>
          <w:p w14:paraId="3F52698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57A64FE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Sydney Basin</w:t>
            </w:r>
          </w:p>
        </w:tc>
        <w:tc>
          <w:tcPr>
            <w:tcW w:w="4640" w:type="dxa"/>
            <w:hideMark/>
          </w:tcPr>
          <w:p w14:paraId="225358A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Groundwater residence time in a dissected and weathered sandstone plateau: </w:t>
            </w:r>
            <w:proofErr w:type="spellStart"/>
            <w:r w:rsidRPr="00907BE7">
              <w:rPr>
                <w:rFonts w:cs="Arial"/>
                <w:color w:val="000000"/>
                <w:sz w:val="20"/>
              </w:rPr>
              <w:t>Kulnura</w:t>
            </w:r>
            <w:proofErr w:type="spellEnd"/>
            <w:r w:rsidRPr="00907BE7">
              <w:rPr>
                <w:rFonts w:cs="Arial"/>
                <w:color w:val="000000"/>
                <w:sz w:val="20"/>
              </w:rPr>
              <w:t>–Mangrove Mountain aquifer, NSW, Australia</w:t>
            </w:r>
          </w:p>
        </w:tc>
      </w:tr>
      <w:tr w:rsidR="009A7B9A" w:rsidRPr="005F161D" w14:paraId="53609A3A"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2F983C6" w14:textId="46E3E02B" w:rsidR="00A42599" w:rsidRPr="002C231F" w:rsidRDefault="00D336DB" w:rsidP="002C231F">
            <w:pPr>
              <w:jc w:val="center"/>
              <w:rPr>
                <w:rFonts w:cs="Arial"/>
                <w:color w:val="000000"/>
                <w:sz w:val="20"/>
              </w:rPr>
            </w:pPr>
            <w:r w:rsidRPr="00D336DB">
              <w:rPr>
                <w:rFonts w:cs="Arial"/>
                <w:sz w:val="20"/>
                <w:vertAlign w:val="superscript"/>
              </w:rPr>
              <w:t>25</w:t>
            </w:r>
          </w:p>
        </w:tc>
        <w:tc>
          <w:tcPr>
            <w:tcW w:w="3200" w:type="dxa"/>
            <w:noWrap/>
            <w:hideMark/>
          </w:tcPr>
          <w:p w14:paraId="794128E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sz w:val="20"/>
              </w:rPr>
              <w:t>Chmielarski</w:t>
            </w:r>
            <w:proofErr w:type="spellEnd"/>
            <w:r w:rsidRPr="00907BE7">
              <w:rPr>
                <w:rFonts w:cs="Arial"/>
                <w:sz w:val="20"/>
              </w:rPr>
              <w:t xml:space="preserve"> et al. (2024)</w:t>
            </w:r>
          </w:p>
        </w:tc>
        <w:tc>
          <w:tcPr>
            <w:tcW w:w="2120" w:type="dxa"/>
            <w:hideMark/>
          </w:tcPr>
          <w:p w14:paraId="53CB2E4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34BB96D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1B96744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Eastern Pilbara, WA</w:t>
            </w:r>
          </w:p>
        </w:tc>
        <w:tc>
          <w:tcPr>
            <w:tcW w:w="4640" w:type="dxa"/>
            <w:hideMark/>
          </w:tcPr>
          <w:p w14:paraId="75F8584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Identifying the influence of episodic events on groundwater recharge in semi-arid environments using environmental tracers</w:t>
            </w:r>
          </w:p>
        </w:tc>
      </w:tr>
      <w:tr w:rsidR="009A7B9A" w:rsidRPr="005F161D" w14:paraId="632E9269"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3C098082" w14:textId="76184E03" w:rsidR="00A42599" w:rsidRPr="002C231F" w:rsidRDefault="00D336DB" w:rsidP="002C231F">
            <w:pPr>
              <w:jc w:val="center"/>
              <w:rPr>
                <w:rFonts w:cs="Arial"/>
                <w:color w:val="000000"/>
                <w:sz w:val="20"/>
              </w:rPr>
            </w:pPr>
            <w:r w:rsidRPr="00D336DB">
              <w:rPr>
                <w:rFonts w:cs="Arial"/>
                <w:sz w:val="20"/>
                <w:vertAlign w:val="superscript"/>
              </w:rPr>
              <w:lastRenderedPageBreak/>
              <w:t>26</w:t>
            </w:r>
          </w:p>
        </w:tc>
        <w:tc>
          <w:tcPr>
            <w:tcW w:w="3200" w:type="dxa"/>
            <w:noWrap/>
            <w:hideMark/>
          </w:tcPr>
          <w:p w14:paraId="5393C21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Cook et al. (2017)</w:t>
            </w:r>
          </w:p>
        </w:tc>
        <w:tc>
          <w:tcPr>
            <w:tcW w:w="2120" w:type="dxa"/>
            <w:hideMark/>
          </w:tcPr>
          <w:p w14:paraId="668A7F9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HJ</w:t>
            </w:r>
          </w:p>
        </w:tc>
        <w:tc>
          <w:tcPr>
            <w:tcW w:w="1039" w:type="dxa"/>
            <w:noWrap/>
            <w:hideMark/>
          </w:tcPr>
          <w:p w14:paraId="6A4CBDE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1D1D69A2" w14:textId="1477CF41"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Pilbara</w:t>
            </w:r>
          </w:p>
        </w:tc>
        <w:tc>
          <w:tcPr>
            <w:tcW w:w="4640" w:type="dxa"/>
            <w:hideMark/>
          </w:tcPr>
          <w:p w14:paraId="0C6A403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Groundwater age, mixing and flow rates in the vicinity of large open pit mines, Pilbara region, northwestern Australia</w:t>
            </w:r>
          </w:p>
        </w:tc>
      </w:tr>
      <w:tr w:rsidR="009A7B9A" w:rsidRPr="005F161D" w14:paraId="1EB96980"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0CB3BFD5" w14:textId="1766B21D" w:rsidR="00A42599" w:rsidRPr="002C231F" w:rsidRDefault="00D336DB" w:rsidP="002C231F">
            <w:pPr>
              <w:jc w:val="center"/>
              <w:rPr>
                <w:rFonts w:cs="Arial"/>
                <w:color w:val="000000"/>
                <w:sz w:val="20"/>
              </w:rPr>
            </w:pPr>
            <w:r w:rsidRPr="00D336DB">
              <w:rPr>
                <w:rFonts w:cs="Arial"/>
                <w:sz w:val="20"/>
                <w:vertAlign w:val="superscript"/>
              </w:rPr>
              <w:t>27</w:t>
            </w:r>
          </w:p>
        </w:tc>
        <w:tc>
          <w:tcPr>
            <w:tcW w:w="3200" w:type="dxa"/>
            <w:noWrap/>
            <w:hideMark/>
          </w:tcPr>
          <w:p w14:paraId="66D3014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Currell et al. (2013)</w:t>
            </w:r>
          </w:p>
        </w:tc>
        <w:tc>
          <w:tcPr>
            <w:tcW w:w="2120" w:type="dxa"/>
            <w:hideMark/>
          </w:tcPr>
          <w:p w14:paraId="47E4014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HJ</w:t>
            </w:r>
          </w:p>
        </w:tc>
        <w:tc>
          <w:tcPr>
            <w:tcW w:w="1039" w:type="dxa"/>
            <w:noWrap/>
            <w:hideMark/>
          </w:tcPr>
          <w:p w14:paraId="111161B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62DDDB4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Western Port Basin</w:t>
            </w:r>
          </w:p>
        </w:tc>
        <w:tc>
          <w:tcPr>
            <w:tcW w:w="4640" w:type="dxa"/>
            <w:hideMark/>
          </w:tcPr>
          <w:p w14:paraId="7431348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Analysis of environmental isotopes in groundwater to understand the response of a vulnerable coastal aquifer to pumping: Western Port Basin, south-eastern Australia</w:t>
            </w:r>
          </w:p>
        </w:tc>
      </w:tr>
      <w:tr w:rsidR="009A7B9A" w:rsidRPr="005F161D" w14:paraId="3E1C15AE"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4A11258C" w14:textId="7BC68BD4" w:rsidR="00A42599" w:rsidRPr="002C231F" w:rsidRDefault="008421A6" w:rsidP="002C231F">
            <w:pPr>
              <w:jc w:val="center"/>
              <w:rPr>
                <w:rFonts w:cs="Arial"/>
                <w:color w:val="000000"/>
                <w:sz w:val="20"/>
              </w:rPr>
            </w:pPr>
            <w:r w:rsidRPr="008421A6">
              <w:rPr>
                <w:rFonts w:cs="Arial"/>
                <w:sz w:val="20"/>
                <w:vertAlign w:val="superscript"/>
              </w:rPr>
              <w:t>28</w:t>
            </w:r>
          </w:p>
        </w:tc>
        <w:tc>
          <w:tcPr>
            <w:tcW w:w="3200" w:type="dxa"/>
            <w:noWrap/>
            <w:hideMark/>
          </w:tcPr>
          <w:p w14:paraId="0EDA41B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Dixon and Chiswell (1994)</w:t>
            </w:r>
          </w:p>
        </w:tc>
        <w:tc>
          <w:tcPr>
            <w:tcW w:w="2120" w:type="dxa"/>
            <w:hideMark/>
          </w:tcPr>
          <w:p w14:paraId="66185C8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Hydro. Processes</w:t>
            </w:r>
          </w:p>
        </w:tc>
        <w:tc>
          <w:tcPr>
            <w:tcW w:w="1039" w:type="dxa"/>
            <w:noWrap/>
            <w:hideMark/>
          </w:tcPr>
          <w:p w14:paraId="4FA3813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4EA0D55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Lockyer Valley, Qld</w:t>
            </w:r>
          </w:p>
        </w:tc>
        <w:tc>
          <w:tcPr>
            <w:tcW w:w="4640" w:type="dxa"/>
            <w:hideMark/>
          </w:tcPr>
          <w:p w14:paraId="0B25A44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Isotopic study of alluvial groundwaters, south-west </w:t>
            </w:r>
            <w:proofErr w:type="spellStart"/>
            <w:r w:rsidRPr="00907BE7">
              <w:rPr>
                <w:rFonts w:cs="Arial"/>
                <w:color w:val="000000"/>
                <w:sz w:val="20"/>
              </w:rPr>
              <w:t>lockyer</w:t>
            </w:r>
            <w:proofErr w:type="spellEnd"/>
            <w:r w:rsidRPr="00907BE7">
              <w:rPr>
                <w:rFonts w:cs="Arial"/>
                <w:color w:val="000000"/>
                <w:sz w:val="20"/>
              </w:rPr>
              <w:t xml:space="preserve"> valley, </w:t>
            </w:r>
            <w:proofErr w:type="spellStart"/>
            <w:r w:rsidRPr="00907BE7">
              <w:rPr>
                <w:rFonts w:cs="Arial"/>
                <w:color w:val="000000"/>
                <w:sz w:val="20"/>
              </w:rPr>
              <w:t>queensland</w:t>
            </w:r>
            <w:proofErr w:type="spellEnd"/>
            <w:r w:rsidRPr="00907BE7">
              <w:rPr>
                <w:rFonts w:cs="Arial"/>
                <w:color w:val="000000"/>
                <w:sz w:val="20"/>
              </w:rPr>
              <w:t xml:space="preserve">, </w:t>
            </w:r>
            <w:proofErr w:type="spellStart"/>
            <w:r w:rsidRPr="00907BE7">
              <w:rPr>
                <w:rFonts w:cs="Arial"/>
                <w:color w:val="000000"/>
                <w:sz w:val="20"/>
              </w:rPr>
              <w:t>australia</w:t>
            </w:r>
            <w:proofErr w:type="spellEnd"/>
          </w:p>
        </w:tc>
      </w:tr>
      <w:tr w:rsidR="009A7B9A" w:rsidRPr="005F161D" w14:paraId="33FD178B"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56787E8A" w14:textId="2214344B" w:rsidR="00A42599" w:rsidRPr="002C231F" w:rsidRDefault="008421A6" w:rsidP="002C231F">
            <w:pPr>
              <w:jc w:val="center"/>
              <w:rPr>
                <w:rFonts w:cs="Arial"/>
                <w:color w:val="000000"/>
                <w:sz w:val="20"/>
              </w:rPr>
            </w:pPr>
            <w:r w:rsidRPr="008421A6">
              <w:rPr>
                <w:rFonts w:cs="Arial"/>
                <w:sz w:val="20"/>
                <w:vertAlign w:val="superscript"/>
              </w:rPr>
              <w:t>29</w:t>
            </w:r>
          </w:p>
        </w:tc>
        <w:tc>
          <w:tcPr>
            <w:tcW w:w="3200" w:type="dxa"/>
            <w:noWrap/>
            <w:hideMark/>
          </w:tcPr>
          <w:p w14:paraId="679B552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Dean et al. (2014)</w:t>
            </w:r>
          </w:p>
        </w:tc>
        <w:tc>
          <w:tcPr>
            <w:tcW w:w="2120" w:type="dxa"/>
            <w:hideMark/>
          </w:tcPr>
          <w:p w14:paraId="4D1F0EB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Biogeosciences</w:t>
            </w:r>
            <w:proofErr w:type="spellEnd"/>
          </w:p>
        </w:tc>
        <w:tc>
          <w:tcPr>
            <w:tcW w:w="1039" w:type="dxa"/>
            <w:noWrap/>
            <w:hideMark/>
          </w:tcPr>
          <w:p w14:paraId="3B844FE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5DF95CE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Grampians, Vic</w:t>
            </w:r>
          </w:p>
        </w:tc>
        <w:tc>
          <w:tcPr>
            <w:tcW w:w="4640" w:type="dxa"/>
            <w:hideMark/>
          </w:tcPr>
          <w:p w14:paraId="426EE96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Biomass uptake and fire as controls on groundwater solute evolution on a southeast Australian granite: aboriginal land management hypothesis</w:t>
            </w:r>
          </w:p>
        </w:tc>
      </w:tr>
      <w:tr w:rsidR="009A7B9A" w:rsidRPr="005F161D" w14:paraId="6CF34773"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F7D0465" w14:textId="34D93FDB" w:rsidR="00A42599" w:rsidRPr="002C231F" w:rsidRDefault="000E1D8C" w:rsidP="002C231F">
            <w:pPr>
              <w:jc w:val="center"/>
              <w:rPr>
                <w:rFonts w:cs="Arial"/>
                <w:color w:val="000000"/>
                <w:sz w:val="20"/>
              </w:rPr>
            </w:pPr>
            <w:r w:rsidRPr="000E1D8C">
              <w:rPr>
                <w:rFonts w:cs="Arial"/>
                <w:sz w:val="20"/>
                <w:vertAlign w:val="superscript"/>
              </w:rPr>
              <w:t>30</w:t>
            </w:r>
          </w:p>
        </w:tc>
        <w:tc>
          <w:tcPr>
            <w:tcW w:w="3200" w:type="dxa"/>
            <w:noWrap/>
            <w:hideMark/>
          </w:tcPr>
          <w:p w14:paraId="4A1E4273" w14:textId="41B63B5C"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Dyring et al. (2025)</w:t>
            </w:r>
          </w:p>
        </w:tc>
        <w:tc>
          <w:tcPr>
            <w:tcW w:w="2120" w:type="dxa"/>
            <w:hideMark/>
          </w:tcPr>
          <w:p w14:paraId="05E8129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hideMark/>
          </w:tcPr>
          <w:p w14:paraId="331EECE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4473018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SE Qld</w:t>
            </w:r>
          </w:p>
        </w:tc>
        <w:tc>
          <w:tcPr>
            <w:tcW w:w="4640" w:type="dxa"/>
            <w:hideMark/>
          </w:tcPr>
          <w:p w14:paraId="0B0F81C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A hydrogeochemical approach to coastal groundwater-dependent ecosystem conservation: The case of </w:t>
            </w:r>
            <w:proofErr w:type="spellStart"/>
            <w:r w:rsidRPr="00907BE7">
              <w:rPr>
                <w:rFonts w:cs="Arial"/>
                <w:color w:val="000000"/>
                <w:sz w:val="20"/>
              </w:rPr>
              <w:t>Cooloola</w:t>
            </w:r>
            <w:proofErr w:type="spellEnd"/>
            <w:r w:rsidRPr="00907BE7">
              <w:rPr>
                <w:rFonts w:cs="Arial"/>
                <w:color w:val="000000"/>
                <w:sz w:val="20"/>
              </w:rPr>
              <w:t xml:space="preserve"> Sand Mass, Australia</w:t>
            </w:r>
          </w:p>
        </w:tc>
      </w:tr>
      <w:tr w:rsidR="009A7B9A" w:rsidRPr="005F161D" w14:paraId="757B29B0"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4C08E689" w14:textId="1A0BAD37" w:rsidR="00A42599" w:rsidRPr="002C231F" w:rsidRDefault="000E1D8C" w:rsidP="002C231F">
            <w:pPr>
              <w:jc w:val="center"/>
              <w:rPr>
                <w:rFonts w:cs="Arial"/>
                <w:color w:val="000000"/>
                <w:sz w:val="20"/>
              </w:rPr>
            </w:pPr>
            <w:r w:rsidRPr="000E1D8C">
              <w:rPr>
                <w:rFonts w:cs="Arial"/>
                <w:sz w:val="20"/>
                <w:vertAlign w:val="superscript"/>
              </w:rPr>
              <w:t>31</w:t>
            </w:r>
          </w:p>
        </w:tc>
        <w:tc>
          <w:tcPr>
            <w:tcW w:w="3200" w:type="dxa"/>
            <w:noWrap/>
            <w:hideMark/>
          </w:tcPr>
          <w:p w14:paraId="0C80F50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Duvert et al. (2015)</w:t>
            </w:r>
          </w:p>
        </w:tc>
        <w:tc>
          <w:tcPr>
            <w:tcW w:w="2120" w:type="dxa"/>
            <w:hideMark/>
          </w:tcPr>
          <w:p w14:paraId="4A43FC08" w14:textId="33F53FB3"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Appl</w:t>
            </w:r>
            <w:r w:rsidR="00B528B6">
              <w:rPr>
                <w:rFonts w:cs="Arial"/>
                <w:color w:val="000000"/>
                <w:sz w:val="20"/>
              </w:rPr>
              <w:t>.</w:t>
            </w:r>
            <w:r w:rsidRPr="00907BE7">
              <w:rPr>
                <w:rFonts w:cs="Arial"/>
                <w:color w:val="000000"/>
                <w:sz w:val="20"/>
              </w:rPr>
              <w:t xml:space="preserve"> Geochem</w:t>
            </w:r>
            <w:r w:rsidR="00B528B6">
              <w:rPr>
                <w:rFonts w:cs="Arial"/>
                <w:color w:val="000000"/>
                <w:sz w:val="20"/>
              </w:rPr>
              <w:t>.</w:t>
            </w:r>
          </w:p>
        </w:tc>
        <w:tc>
          <w:tcPr>
            <w:tcW w:w="1039" w:type="dxa"/>
            <w:noWrap/>
            <w:hideMark/>
          </w:tcPr>
          <w:p w14:paraId="2D28A27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0AEE584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Teviot Brook alluvium/WCM</w:t>
            </w:r>
          </w:p>
        </w:tc>
        <w:tc>
          <w:tcPr>
            <w:tcW w:w="4640" w:type="dxa"/>
            <w:hideMark/>
          </w:tcPr>
          <w:p w14:paraId="74BC439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Hydrochemical</w:t>
            </w:r>
            <w:proofErr w:type="spellEnd"/>
            <w:r w:rsidRPr="00907BE7">
              <w:rPr>
                <w:rFonts w:cs="Arial"/>
                <w:color w:val="000000"/>
                <w:sz w:val="20"/>
              </w:rPr>
              <w:t xml:space="preserve"> processes in a shallow coal seam gas aquifer and its overlying stream–alluvial system: implications for recharge and inter-aquifer connectivity</w:t>
            </w:r>
          </w:p>
        </w:tc>
      </w:tr>
      <w:tr w:rsidR="009A7B9A" w:rsidRPr="005F161D" w14:paraId="3A989E15"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10FB39C1" w14:textId="540A3B62" w:rsidR="00A42599" w:rsidRPr="002C231F" w:rsidRDefault="00FA0A34" w:rsidP="002C231F">
            <w:pPr>
              <w:jc w:val="center"/>
              <w:rPr>
                <w:rFonts w:cs="Arial"/>
                <w:color w:val="000000"/>
                <w:sz w:val="20"/>
              </w:rPr>
            </w:pPr>
            <w:r w:rsidRPr="00FA0A34">
              <w:rPr>
                <w:rFonts w:cs="Arial"/>
                <w:sz w:val="20"/>
                <w:vertAlign w:val="superscript"/>
              </w:rPr>
              <w:t>32</w:t>
            </w:r>
          </w:p>
        </w:tc>
        <w:tc>
          <w:tcPr>
            <w:tcW w:w="3200" w:type="dxa"/>
            <w:noWrap/>
            <w:hideMark/>
          </w:tcPr>
          <w:p w14:paraId="10E35B7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Duvert et al. (2020)</w:t>
            </w:r>
          </w:p>
        </w:tc>
        <w:tc>
          <w:tcPr>
            <w:tcW w:w="2120" w:type="dxa"/>
            <w:hideMark/>
          </w:tcPr>
          <w:p w14:paraId="7D396AA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JGR-</w:t>
            </w:r>
            <w:proofErr w:type="spellStart"/>
            <w:r w:rsidRPr="00907BE7">
              <w:rPr>
                <w:rFonts w:cs="Arial"/>
                <w:color w:val="000000"/>
                <w:sz w:val="20"/>
              </w:rPr>
              <w:t>Biogeochem</w:t>
            </w:r>
            <w:proofErr w:type="spellEnd"/>
          </w:p>
        </w:tc>
        <w:tc>
          <w:tcPr>
            <w:tcW w:w="1039" w:type="dxa"/>
            <w:noWrap/>
            <w:hideMark/>
          </w:tcPr>
          <w:p w14:paraId="1EBC806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4095AD4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Howard catchment</w:t>
            </w:r>
          </w:p>
        </w:tc>
        <w:tc>
          <w:tcPr>
            <w:tcW w:w="4640" w:type="dxa"/>
            <w:hideMark/>
          </w:tcPr>
          <w:p w14:paraId="492564C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Seasonal Shift </w:t>
            </w:r>
            <w:proofErr w:type="gramStart"/>
            <w:r w:rsidRPr="00907BE7">
              <w:rPr>
                <w:rFonts w:cs="Arial"/>
                <w:color w:val="000000"/>
                <w:sz w:val="20"/>
              </w:rPr>
              <w:t>From</w:t>
            </w:r>
            <w:proofErr w:type="gramEnd"/>
            <w:r w:rsidRPr="00907BE7">
              <w:rPr>
                <w:rFonts w:cs="Arial"/>
                <w:color w:val="000000"/>
                <w:sz w:val="20"/>
              </w:rPr>
              <w:t xml:space="preserve"> Biogenic to Geogenic Fluvial Carbon Caused by Changing Water Sources in the Wet-Dry Tropics</w:t>
            </w:r>
          </w:p>
        </w:tc>
      </w:tr>
      <w:tr w:rsidR="009A7B9A" w:rsidRPr="005F161D" w14:paraId="288C57D7"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0BF55968" w14:textId="2A562824" w:rsidR="00A42599" w:rsidRPr="002C231F" w:rsidRDefault="00FA0A34" w:rsidP="002C231F">
            <w:pPr>
              <w:jc w:val="center"/>
              <w:rPr>
                <w:rFonts w:cs="Arial"/>
                <w:color w:val="000000"/>
                <w:sz w:val="20"/>
              </w:rPr>
            </w:pPr>
            <w:r w:rsidRPr="00FA0A34">
              <w:rPr>
                <w:rFonts w:cs="Arial"/>
                <w:sz w:val="20"/>
                <w:vertAlign w:val="superscript"/>
              </w:rPr>
              <w:t>33</w:t>
            </w:r>
          </w:p>
        </w:tc>
        <w:tc>
          <w:tcPr>
            <w:tcW w:w="3200" w:type="dxa"/>
            <w:noWrap/>
            <w:hideMark/>
          </w:tcPr>
          <w:p w14:paraId="5E73B31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DWER (2023)</w:t>
            </w:r>
          </w:p>
        </w:tc>
        <w:tc>
          <w:tcPr>
            <w:tcW w:w="2120" w:type="dxa"/>
            <w:hideMark/>
          </w:tcPr>
          <w:p w14:paraId="17AA37B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7827864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1F57FB4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Kimbeley</w:t>
            </w:r>
            <w:proofErr w:type="spellEnd"/>
            <w:r w:rsidRPr="00907BE7">
              <w:rPr>
                <w:rFonts w:cs="Arial"/>
                <w:color w:val="000000"/>
                <w:sz w:val="20"/>
              </w:rPr>
              <w:t>, WA</w:t>
            </w:r>
          </w:p>
        </w:tc>
        <w:tc>
          <w:tcPr>
            <w:tcW w:w="4640" w:type="dxa"/>
            <w:hideMark/>
          </w:tcPr>
          <w:p w14:paraId="0D4EF15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Fitzroy Valley groundwater investigations 2015–18 Kimberley, Western Australia</w:t>
            </w:r>
          </w:p>
        </w:tc>
      </w:tr>
      <w:tr w:rsidR="009A7B9A" w:rsidRPr="005F161D" w14:paraId="3DECE7BC" w14:textId="77777777" w:rsidTr="002448CA">
        <w:trPr>
          <w:trHeight w:val="290"/>
        </w:trPr>
        <w:tc>
          <w:tcPr>
            <w:cnfStyle w:val="001000000000" w:firstRow="0" w:lastRow="0" w:firstColumn="1" w:lastColumn="0" w:oddVBand="0" w:evenVBand="0" w:oddHBand="0" w:evenHBand="0" w:firstRowFirstColumn="0" w:firstRowLastColumn="0" w:lastRowFirstColumn="0" w:lastRowLastColumn="0"/>
            <w:tcW w:w="700" w:type="dxa"/>
            <w:noWrap/>
          </w:tcPr>
          <w:p w14:paraId="2B129B6A" w14:textId="0C4D72F3" w:rsidR="00A42599" w:rsidRPr="00D557E1" w:rsidRDefault="00D557E1" w:rsidP="002C231F">
            <w:pPr>
              <w:jc w:val="center"/>
              <w:rPr>
                <w:rFonts w:cs="Arial"/>
                <w:color w:val="000000"/>
                <w:sz w:val="20"/>
                <w:lang w:val="en-AU"/>
              </w:rPr>
            </w:pPr>
            <w:r w:rsidRPr="00D557E1">
              <w:rPr>
                <w:rFonts w:cs="Arial"/>
                <w:sz w:val="20"/>
                <w:vertAlign w:val="superscript"/>
              </w:rPr>
              <w:t>34</w:t>
            </w:r>
          </w:p>
        </w:tc>
        <w:tc>
          <w:tcPr>
            <w:tcW w:w="3200" w:type="dxa"/>
            <w:noWrap/>
            <w:hideMark/>
          </w:tcPr>
          <w:p w14:paraId="03E0EFD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GA portal (2025)</w:t>
            </w:r>
          </w:p>
        </w:tc>
        <w:tc>
          <w:tcPr>
            <w:tcW w:w="2120" w:type="dxa"/>
            <w:hideMark/>
          </w:tcPr>
          <w:p w14:paraId="675E367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Database</w:t>
            </w:r>
          </w:p>
        </w:tc>
        <w:tc>
          <w:tcPr>
            <w:tcW w:w="1039" w:type="dxa"/>
            <w:noWrap/>
            <w:hideMark/>
          </w:tcPr>
          <w:p w14:paraId="245C5CE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w:t>
            </w:r>
          </w:p>
        </w:tc>
        <w:tc>
          <w:tcPr>
            <w:tcW w:w="1940" w:type="dxa"/>
            <w:hideMark/>
          </w:tcPr>
          <w:p w14:paraId="066401E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GA water portal</w:t>
            </w:r>
          </w:p>
        </w:tc>
        <w:tc>
          <w:tcPr>
            <w:tcW w:w="4640" w:type="dxa"/>
            <w:hideMark/>
          </w:tcPr>
          <w:p w14:paraId="45AAA0F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Geoscience Australia Portal</w:t>
            </w:r>
          </w:p>
        </w:tc>
      </w:tr>
      <w:tr w:rsidR="009A7B9A" w:rsidRPr="005F161D" w14:paraId="53A95984" w14:textId="77777777" w:rsidTr="002448CA">
        <w:trPr>
          <w:trHeight w:val="290"/>
        </w:trPr>
        <w:tc>
          <w:tcPr>
            <w:cnfStyle w:val="001000000000" w:firstRow="0" w:lastRow="0" w:firstColumn="1" w:lastColumn="0" w:oddVBand="0" w:evenVBand="0" w:oddHBand="0" w:evenHBand="0" w:firstRowFirstColumn="0" w:firstRowLastColumn="0" w:lastRowFirstColumn="0" w:lastRowLastColumn="0"/>
            <w:tcW w:w="700" w:type="dxa"/>
            <w:noWrap/>
          </w:tcPr>
          <w:p w14:paraId="4482FB40" w14:textId="4D49C067" w:rsidR="00A42599" w:rsidRPr="002C231F" w:rsidRDefault="00D557E1" w:rsidP="002C231F">
            <w:pPr>
              <w:jc w:val="center"/>
              <w:rPr>
                <w:rFonts w:cs="Arial"/>
                <w:color w:val="000000"/>
                <w:sz w:val="20"/>
              </w:rPr>
            </w:pPr>
            <w:r w:rsidRPr="00D557E1">
              <w:rPr>
                <w:rFonts w:cs="Arial"/>
                <w:sz w:val="20"/>
                <w:vertAlign w:val="superscript"/>
              </w:rPr>
              <w:t>35</w:t>
            </w:r>
          </w:p>
        </w:tc>
        <w:tc>
          <w:tcPr>
            <w:tcW w:w="3200" w:type="dxa"/>
            <w:noWrap/>
            <w:hideMark/>
          </w:tcPr>
          <w:p w14:paraId="6FEDABED" w14:textId="2BE2E494"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GBAP (202</w:t>
            </w:r>
            <w:r w:rsidR="00121031">
              <w:rPr>
                <w:rFonts w:cs="Arial"/>
                <w:sz w:val="20"/>
              </w:rPr>
              <w:t>1a</w:t>
            </w:r>
            <w:r w:rsidRPr="00907BE7">
              <w:rPr>
                <w:rFonts w:cs="Arial"/>
                <w:sz w:val="20"/>
              </w:rPr>
              <w:t>)</w:t>
            </w:r>
          </w:p>
        </w:tc>
        <w:tc>
          <w:tcPr>
            <w:tcW w:w="2120" w:type="dxa"/>
            <w:hideMark/>
          </w:tcPr>
          <w:p w14:paraId="0BE98F9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1A3694A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3AF1D41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Mataranka</w:t>
            </w:r>
            <w:proofErr w:type="spellEnd"/>
          </w:p>
        </w:tc>
        <w:tc>
          <w:tcPr>
            <w:tcW w:w="4640" w:type="dxa"/>
            <w:hideMark/>
          </w:tcPr>
          <w:p w14:paraId="6A622EC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Environmental tracer data 2019</w:t>
            </w:r>
          </w:p>
        </w:tc>
      </w:tr>
      <w:tr w:rsidR="009A7B9A" w:rsidRPr="005F161D" w14:paraId="4A5F5A3E"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22DBF2E6" w14:textId="6BF13851" w:rsidR="00A42599" w:rsidRPr="002C231F" w:rsidRDefault="00003193" w:rsidP="002C231F">
            <w:pPr>
              <w:jc w:val="center"/>
              <w:rPr>
                <w:rFonts w:cs="Arial"/>
                <w:color w:val="000000"/>
                <w:sz w:val="20"/>
              </w:rPr>
            </w:pPr>
            <w:r w:rsidRPr="00003193">
              <w:rPr>
                <w:rFonts w:cs="Arial"/>
                <w:sz w:val="20"/>
                <w:vertAlign w:val="superscript"/>
              </w:rPr>
              <w:t>36</w:t>
            </w:r>
          </w:p>
        </w:tc>
        <w:tc>
          <w:tcPr>
            <w:tcW w:w="3200" w:type="dxa"/>
            <w:noWrap/>
            <w:hideMark/>
          </w:tcPr>
          <w:p w14:paraId="6B022224" w14:textId="3A67C14E"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GBAP (2021</w:t>
            </w:r>
            <w:r w:rsidR="00121031">
              <w:rPr>
                <w:rFonts w:cs="Arial"/>
                <w:sz w:val="20"/>
              </w:rPr>
              <w:t>b</w:t>
            </w:r>
            <w:r w:rsidRPr="00907BE7">
              <w:rPr>
                <w:rFonts w:cs="Arial"/>
                <w:sz w:val="20"/>
              </w:rPr>
              <w:t>)</w:t>
            </w:r>
          </w:p>
        </w:tc>
        <w:tc>
          <w:tcPr>
            <w:tcW w:w="2120" w:type="dxa"/>
            <w:hideMark/>
          </w:tcPr>
          <w:p w14:paraId="4BE4AEF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1F185B1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Qld/SA</w:t>
            </w:r>
          </w:p>
        </w:tc>
        <w:tc>
          <w:tcPr>
            <w:tcW w:w="1940" w:type="dxa"/>
            <w:hideMark/>
          </w:tcPr>
          <w:p w14:paraId="046B981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Cooper and </w:t>
            </w:r>
            <w:proofErr w:type="spellStart"/>
            <w:r w:rsidRPr="00907BE7">
              <w:rPr>
                <w:rFonts w:cs="Arial"/>
                <w:color w:val="000000"/>
                <w:sz w:val="20"/>
              </w:rPr>
              <w:t>Eromanga</w:t>
            </w:r>
            <w:proofErr w:type="spellEnd"/>
            <w:r w:rsidRPr="00907BE7">
              <w:rPr>
                <w:rFonts w:cs="Arial"/>
                <w:color w:val="000000"/>
                <w:sz w:val="20"/>
              </w:rPr>
              <w:t xml:space="preserve"> basins (GAB)</w:t>
            </w:r>
          </w:p>
        </w:tc>
        <w:tc>
          <w:tcPr>
            <w:tcW w:w="4640" w:type="dxa"/>
            <w:hideMark/>
          </w:tcPr>
          <w:p w14:paraId="2EB755B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Hydrogeochemistry</w:t>
            </w:r>
            <w:proofErr w:type="spellEnd"/>
            <w:r w:rsidRPr="00907BE7">
              <w:rPr>
                <w:rFonts w:cs="Arial"/>
                <w:color w:val="000000"/>
                <w:sz w:val="20"/>
              </w:rPr>
              <w:t xml:space="preserve"> and environmental tracers of Cooper Basin, GAB and shallow groundwater</w:t>
            </w:r>
          </w:p>
        </w:tc>
      </w:tr>
      <w:tr w:rsidR="009A7B9A" w:rsidRPr="005F161D" w14:paraId="6860CA78"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715C86D" w14:textId="582DA5B4" w:rsidR="00A42599" w:rsidRPr="002C231F" w:rsidRDefault="00003193" w:rsidP="002C231F">
            <w:pPr>
              <w:jc w:val="center"/>
              <w:rPr>
                <w:rFonts w:cs="Arial"/>
                <w:color w:val="000000"/>
                <w:sz w:val="20"/>
              </w:rPr>
            </w:pPr>
            <w:r w:rsidRPr="00003193">
              <w:rPr>
                <w:rFonts w:cs="Arial"/>
                <w:sz w:val="20"/>
                <w:vertAlign w:val="superscript"/>
              </w:rPr>
              <w:lastRenderedPageBreak/>
              <w:t>37</w:t>
            </w:r>
          </w:p>
        </w:tc>
        <w:tc>
          <w:tcPr>
            <w:tcW w:w="3200" w:type="dxa"/>
            <w:noWrap/>
            <w:hideMark/>
          </w:tcPr>
          <w:p w14:paraId="29B6D78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Hofmann and Cartwright (2013)</w:t>
            </w:r>
          </w:p>
        </w:tc>
        <w:tc>
          <w:tcPr>
            <w:tcW w:w="2120" w:type="dxa"/>
            <w:hideMark/>
          </w:tcPr>
          <w:p w14:paraId="6676953A" w14:textId="2C38DEE6"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Appl</w:t>
            </w:r>
            <w:r w:rsidR="002A5A1B">
              <w:rPr>
                <w:rFonts w:cs="Arial"/>
                <w:color w:val="000000"/>
                <w:sz w:val="20"/>
              </w:rPr>
              <w:t>.</w:t>
            </w:r>
            <w:r w:rsidRPr="00907BE7">
              <w:rPr>
                <w:rFonts w:cs="Arial"/>
                <w:color w:val="000000"/>
                <w:sz w:val="20"/>
              </w:rPr>
              <w:t xml:space="preserve"> Geochem</w:t>
            </w:r>
            <w:r w:rsidR="002A5A1B">
              <w:rPr>
                <w:rFonts w:cs="Arial"/>
                <w:color w:val="000000"/>
                <w:sz w:val="20"/>
              </w:rPr>
              <w:t>.</w:t>
            </w:r>
          </w:p>
        </w:tc>
        <w:tc>
          <w:tcPr>
            <w:tcW w:w="1039" w:type="dxa"/>
            <w:noWrap/>
            <w:hideMark/>
          </w:tcPr>
          <w:p w14:paraId="6E47CDB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53AB40F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Gippsland Basin</w:t>
            </w:r>
          </w:p>
        </w:tc>
        <w:tc>
          <w:tcPr>
            <w:tcW w:w="4640" w:type="dxa"/>
            <w:hideMark/>
          </w:tcPr>
          <w:p w14:paraId="6BE9189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Using </w:t>
            </w:r>
            <w:proofErr w:type="spellStart"/>
            <w:r w:rsidRPr="00907BE7">
              <w:rPr>
                <w:rFonts w:cs="Arial"/>
                <w:color w:val="000000"/>
                <w:sz w:val="20"/>
              </w:rPr>
              <w:t>hydrogeochemistry</w:t>
            </w:r>
            <w:proofErr w:type="spellEnd"/>
            <w:r w:rsidRPr="00907BE7">
              <w:rPr>
                <w:rFonts w:cs="Arial"/>
                <w:color w:val="000000"/>
                <w:sz w:val="20"/>
              </w:rPr>
              <w:t xml:space="preserve"> to understand inter-aquifer mixing in the </w:t>
            </w:r>
            <w:proofErr w:type="gramStart"/>
            <w:r w:rsidRPr="00907BE7">
              <w:rPr>
                <w:rFonts w:cs="Arial"/>
                <w:color w:val="000000"/>
                <w:sz w:val="20"/>
              </w:rPr>
              <w:t>on-shore</w:t>
            </w:r>
            <w:proofErr w:type="gramEnd"/>
            <w:r w:rsidRPr="00907BE7">
              <w:rPr>
                <w:rFonts w:cs="Arial"/>
                <w:color w:val="000000"/>
                <w:sz w:val="20"/>
              </w:rPr>
              <w:t xml:space="preserve"> part of the Gippsland Basin, southeast Australia</w:t>
            </w:r>
          </w:p>
        </w:tc>
      </w:tr>
      <w:tr w:rsidR="009A7B9A" w:rsidRPr="005F161D" w14:paraId="6961ABF8"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64443C3A" w14:textId="5B3244E1" w:rsidR="00A42599" w:rsidRPr="002C231F" w:rsidRDefault="00581F20" w:rsidP="002C231F">
            <w:pPr>
              <w:jc w:val="center"/>
              <w:rPr>
                <w:rFonts w:cs="Arial"/>
                <w:color w:val="000000"/>
                <w:sz w:val="20"/>
              </w:rPr>
            </w:pPr>
            <w:r w:rsidRPr="00581F20">
              <w:rPr>
                <w:rFonts w:cs="Arial"/>
                <w:sz w:val="20"/>
                <w:vertAlign w:val="superscript"/>
              </w:rPr>
              <w:t>38</w:t>
            </w:r>
          </w:p>
        </w:tc>
        <w:tc>
          <w:tcPr>
            <w:tcW w:w="3200" w:type="dxa"/>
            <w:noWrap/>
            <w:hideMark/>
          </w:tcPr>
          <w:p w14:paraId="28C766B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Hall et al. (2020)</w:t>
            </w:r>
          </w:p>
        </w:tc>
        <w:tc>
          <w:tcPr>
            <w:tcW w:w="2120" w:type="dxa"/>
            <w:hideMark/>
          </w:tcPr>
          <w:p w14:paraId="04BC7F0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4E6215B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23E910F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Western Port Basin</w:t>
            </w:r>
          </w:p>
        </w:tc>
        <w:tc>
          <w:tcPr>
            <w:tcW w:w="4640" w:type="dxa"/>
            <w:hideMark/>
          </w:tcPr>
          <w:p w14:paraId="3F3B84C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multiple lines of evidence to map groundwater recharge in a rapidly urbanising catchment: Implications for future land and water management</w:t>
            </w:r>
          </w:p>
        </w:tc>
      </w:tr>
      <w:tr w:rsidR="009A7B9A" w:rsidRPr="005F161D" w14:paraId="7609880B"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630F3597" w14:textId="12946866" w:rsidR="00A42599" w:rsidRPr="002C231F" w:rsidRDefault="00581F20" w:rsidP="002C231F">
            <w:pPr>
              <w:jc w:val="center"/>
              <w:rPr>
                <w:rFonts w:cs="Arial"/>
                <w:color w:val="000000"/>
                <w:sz w:val="20"/>
              </w:rPr>
            </w:pPr>
            <w:r w:rsidRPr="00581F20">
              <w:rPr>
                <w:rFonts w:cs="Arial"/>
                <w:sz w:val="20"/>
                <w:vertAlign w:val="superscript"/>
              </w:rPr>
              <w:t>39</w:t>
            </w:r>
          </w:p>
        </w:tc>
        <w:tc>
          <w:tcPr>
            <w:tcW w:w="3200" w:type="dxa"/>
            <w:noWrap/>
            <w:hideMark/>
          </w:tcPr>
          <w:p w14:paraId="5987BC4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Harris et al. (2022)</w:t>
            </w:r>
          </w:p>
        </w:tc>
        <w:tc>
          <w:tcPr>
            <w:tcW w:w="2120" w:type="dxa"/>
            <w:hideMark/>
          </w:tcPr>
          <w:p w14:paraId="474F6C4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hideMark/>
          </w:tcPr>
          <w:p w14:paraId="4CFAA4C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468F77B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Nogoa</w:t>
            </w:r>
            <w:proofErr w:type="spellEnd"/>
            <w:r w:rsidRPr="00907BE7">
              <w:rPr>
                <w:rFonts w:cs="Arial"/>
                <w:color w:val="000000"/>
                <w:sz w:val="20"/>
              </w:rPr>
              <w:t xml:space="preserve"> River</w:t>
            </w:r>
          </w:p>
        </w:tc>
        <w:tc>
          <w:tcPr>
            <w:tcW w:w="4640" w:type="dxa"/>
            <w:hideMark/>
          </w:tcPr>
          <w:p w14:paraId="08EFE3F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Isotopic evidence for nitrate sources and controls on denitrification in groundwater beneath an irrigated agricultural district</w:t>
            </w:r>
          </w:p>
        </w:tc>
      </w:tr>
      <w:tr w:rsidR="009A7B9A" w:rsidRPr="005F161D" w14:paraId="4C449377"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66B4FDDD" w14:textId="2672694E" w:rsidR="00A42599" w:rsidRPr="002C231F" w:rsidRDefault="00581F20" w:rsidP="002C231F">
            <w:pPr>
              <w:jc w:val="center"/>
              <w:rPr>
                <w:rFonts w:cs="Arial"/>
                <w:color w:val="000000"/>
                <w:sz w:val="20"/>
              </w:rPr>
            </w:pPr>
            <w:r w:rsidRPr="00581F20">
              <w:rPr>
                <w:rFonts w:cs="Arial"/>
                <w:sz w:val="20"/>
                <w:vertAlign w:val="superscript"/>
              </w:rPr>
              <w:t>40</w:t>
            </w:r>
          </w:p>
        </w:tc>
        <w:tc>
          <w:tcPr>
            <w:tcW w:w="3200" w:type="dxa"/>
            <w:noWrap/>
            <w:hideMark/>
          </w:tcPr>
          <w:p w14:paraId="487BE87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Hepburn et al. (2020)</w:t>
            </w:r>
          </w:p>
        </w:tc>
        <w:tc>
          <w:tcPr>
            <w:tcW w:w="2120" w:type="dxa"/>
            <w:hideMark/>
          </w:tcPr>
          <w:p w14:paraId="54920D9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HJ</w:t>
            </w:r>
          </w:p>
        </w:tc>
        <w:tc>
          <w:tcPr>
            <w:tcW w:w="1039" w:type="dxa"/>
            <w:noWrap/>
            <w:hideMark/>
          </w:tcPr>
          <w:p w14:paraId="0221784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5910551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Yarra</w:t>
            </w:r>
            <w:proofErr w:type="spellEnd"/>
            <w:r w:rsidRPr="00907BE7">
              <w:rPr>
                <w:rFonts w:cs="Arial"/>
                <w:color w:val="000000"/>
                <w:sz w:val="20"/>
              </w:rPr>
              <w:t xml:space="preserve"> River estuary</w:t>
            </w:r>
          </w:p>
        </w:tc>
        <w:tc>
          <w:tcPr>
            <w:tcW w:w="4640" w:type="dxa"/>
            <w:hideMark/>
          </w:tcPr>
          <w:p w14:paraId="629D6BF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Environmental isotopes as indicators of groundwater recharge, residence times and salinity in a coastal urban redevelopment precinct in Australia</w:t>
            </w:r>
          </w:p>
        </w:tc>
      </w:tr>
      <w:tr w:rsidR="009A7B9A" w:rsidRPr="005F161D" w14:paraId="1FF0B229"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7DDA0BCD" w14:textId="746CAC94" w:rsidR="00A42599" w:rsidRPr="002C231F" w:rsidRDefault="004635D6" w:rsidP="002C231F">
            <w:pPr>
              <w:jc w:val="center"/>
              <w:rPr>
                <w:rFonts w:cs="Arial"/>
                <w:color w:val="000000"/>
                <w:sz w:val="20"/>
              </w:rPr>
            </w:pPr>
            <w:r w:rsidRPr="004635D6">
              <w:rPr>
                <w:rFonts w:cs="Arial"/>
                <w:sz w:val="20"/>
                <w:vertAlign w:val="superscript"/>
              </w:rPr>
              <w:t>41</w:t>
            </w:r>
          </w:p>
        </w:tc>
        <w:tc>
          <w:tcPr>
            <w:tcW w:w="3200" w:type="dxa"/>
            <w:noWrap/>
            <w:hideMark/>
          </w:tcPr>
          <w:p w14:paraId="3103B3E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Howcroft et al. (2017)</w:t>
            </w:r>
          </w:p>
        </w:tc>
        <w:tc>
          <w:tcPr>
            <w:tcW w:w="2120" w:type="dxa"/>
            <w:hideMark/>
          </w:tcPr>
          <w:p w14:paraId="761A800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Chemical Geology</w:t>
            </w:r>
          </w:p>
        </w:tc>
        <w:tc>
          <w:tcPr>
            <w:tcW w:w="1039" w:type="dxa"/>
            <w:noWrap/>
            <w:hideMark/>
          </w:tcPr>
          <w:p w14:paraId="71AFAE0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7BB4B9B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Barwon River catchment, Vic</w:t>
            </w:r>
          </w:p>
        </w:tc>
        <w:tc>
          <w:tcPr>
            <w:tcW w:w="4640" w:type="dxa"/>
            <w:hideMark/>
          </w:tcPr>
          <w:p w14:paraId="5F461DC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Differences in groundwater and chloride residence times in saline groundwater: The Barwon River Catchment of Southeast Australia</w:t>
            </w:r>
          </w:p>
        </w:tc>
      </w:tr>
      <w:tr w:rsidR="009A7B9A" w:rsidRPr="005F161D" w14:paraId="6AB720FA"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6FEF8D15" w14:textId="064AE5CB" w:rsidR="00A42599" w:rsidRPr="002C231F" w:rsidRDefault="004635D6" w:rsidP="002C231F">
            <w:pPr>
              <w:jc w:val="center"/>
              <w:rPr>
                <w:rFonts w:cs="Arial"/>
                <w:color w:val="000000"/>
                <w:sz w:val="20"/>
              </w:rPr>
            </w:pPr>
            <w:r w:rsidRPr="004635D6">
              <w:rPr>
                <w:rFonts w:cs="Arial"/>
                <w:sz w:val="20"/>
                <w:vertAlign w:val="superscript"/>
              </w:rPr>
              <w:t>42</w:t>
            </w:r>
          </w:p>
        </w:tc>
        <w:tc>
          <w:tcPr>
            <w:tcW w:w="3200" w:type="dxa"/>
            <w:noWrap/>
            <w:hideMark/>
          </w:tcPr>
          <w:p w14:paraId="540455B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Hofmann et al. (2020)</w:t>
            </w:r>
          </w:p>
        </w:tc>
        <w:tc>
          <w:tcPr>
            <w:tcW w:w="2120" w:type="dxa"/>
            <w:hideMark/>
          </w:tcPr>
          <w:p w14:paraId="455832E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hideMark/>
          </w:tcPr>
          <w:p w14:paraId="63A5AC5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65D0AEE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Stradbroke Island</w:t>
            </w:r>
          </w:p>
        </w:tc>
        <w:tc>
          <w:tcPr>
            <w:tcW w:w="4640" w:type="dxa"/>
            <w:hideMark/>
          </w:tcPr>
          <w:p w14:paraId="11D31AC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Groundwater </w:t>
            </w:r>
            <w:proofErr w:type="gramStart"/>
            <w:r w:rsidRPr="00907BE7">
              <w:rPr>
                <w:rFonts w:cs="Arial"/>
                <w:color w:val="000000"/>
                <w:sz w:val="20"/>
              </w:rPr>
              <w:t>mean</w:t>
            </w:r>
            <w:proofErr w:type="gramEnd"/>
            <w:r w:rsidRPr="00907BE7">
              <w:rPr>
                <w:rFonts w:cs="Arial"/>
                <w:color w:val="000000"/>
                <w:sz w:val="20"/>
              </w:rPr>
              <w:t xml:space="preserve"> residence times of a subtropical barrier sand island</w:t>
            </w:r>
          </w:p>
        </w:tc>
      </w:tr>
      <w:tr w:rsidR="00251A14" w:rsidRPr="005F161D" w14:paraId="6E4E2C3B"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767FFD70" w14:textId="7B1DCD2F" w:rsidR="002448CA" w:rsidRPr="00E91688" w:rsidRDefault="00E91688" w:rsidP="002448CA">
            <w:pPr>
              <w:jc w:val="center"/>
              <w:rPr>
                <w:rFonts w:cs="Arial"/>
                <w:color w:val="000000"/>
                <w:sz w:val="20"/>
                <w:lang w:val="en-AU"/>
              </w:rPr>
            </w:pPr>
            <w:r w:rsidRPr="00E91688">
              <w:rPr>
                <w:rFonts w:cs="Arial"/>
                <w:sz w:val="20"/>
                <w:vertAlign w:val="superscript"/>
              </w:rPr>
              <w:t>43</w:t>
            </w:r>
          </w:p>
        </w:tc>
        <w:tc>
          <w:tcPr>
            <w:tcW w:w="3200" w:type="dxa"/>
            <w:noWrap/>
          </w:tcPr>
          <w:p w14:paraId="272AB1AB" w14:textId="21516083" w:rsidR="002448CA" w:rsidRPr="00BA37C4" w:rsidRDefault="002448CA" w:rsidP="002448CA">
            <w:pPr>
              <w:cnfStyle w:val="000000000000" w:firstRow="0" w:lastRow="0" w:firstColumn="0" w:lastColumn="0" w:oddVBand="0" w:evenVBand="0" w:oddHBand="0" w:evenHBand="0" w:firstRowFirstColumn="0" w:firstRowLastColumn="0" w:lastRowFirstColumn="0" w:lastRowLastColumn="0"/>
              <w:rPr>
                <w:rFonts w:cs="Arial"/>
                <w:sz w:val="20"/>
              </w:rPr>
            </w:pPr>
            <w:r w:rsidRPr="00BA37C4">
              <w:rPr>
                <w:rFonts w:cs="Arial"/>
                <w:sz w:val="20"/>
              </w:rPr>
              <w:t>Hutley (2021)</w:t>
            </w:r>
          </w:p>
        </w:tc>
        <w:tc>
          <w:tcPr>
            <w:tcW w:w="2120" w:type="dxa"/>
          </w:tcPr>
          <w:p w14:paraId="2BEEA9E4" w14:textId="49F045D9" w:rsidR="002448CA" w:rsidRPr="00BA37C4" w:rsidRDefault="002448CA" w:rsidP="002448CA">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BA37C4">
              <w:rPr>
                <w:rFonts w:cs="Arial"/>
                <w:color w:val="000000"/>
                <w:sz w:val="20"/>
              </w:rPr>
              <w:t>Report</w:t>
            </w:r>
          </w:p>
        </w:tc>
        <w:tc>
          <w:tcPr>
            <w:tcW w:w="1039" w:type="dxa"/>
            <w:noWrap/>
          </w:tcPr>
          <w:p w14:paraId="7DF84F37" w14:textId="21B481E1" w:rsidR="002448CA" w:rsidRPr="00BA37C4" w:rsidRDefault="002448CA" w:rsidP="002448CA">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BA37C4">
              <w:rPr>
                <w:rFonts w:cs="Arial"/>
                <w:color w:val="000000"/>
                <w:sz w:val="20"/>
              </w:rPr>
              <w:t>NT</w:t>
            </w:r>
          </w:p>
        </w:tc>
        <w:tc>
          <w:tcPr>
            <w:tcW w:w="1940" w:type="dxa"/>
          </w:tcPr>
          <w:p w14:paraId="3A03E472" w14:textId="24E76BBB" w:rsidR="002448CA" w:rsidRPr="00BA37C4" w:rsidRDefault="002448CA" w:rsidP="002448CA">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BA37C4">
              <w:rPr>
                <w:rFonts w:cs="Arial"/>
                <w:color w:val="000000"/>
                <w:sz w:val="20"/>
              </w:rPr>
              <w:t>Ranger Mine</w:t>
            </w:r>
          </w:p>
        </w:tc>
        <w:tc>
          <w:tcPr>
            <w:tcW w:w="4640" w:type="dxa"/>
          </w:tcPr>
          <w:p w14:paraId="425FBFCE" w14:textId="5D1CBA5A" w:rsidR="002448CA" w:rsidRPr="00BA37C4" w:rsidRDefault="002448CA" w:rsidP="002448CA">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BA37C4">
              <w:rPr>
                <w:rFonts w:cs="Arial"/>
                <w:color w:val="000000"/>
                <w:sz w:val="20"/>
              </w:rPr>
              <w:t xml:space="preserve">Ecohydrology and sensitivity of riparian flora, </w:t>
            </w:r>
            <w:proofErr w:type="spellStart"/>
            <w:r w:rsidRPr="00BA37C4">
              <w:rPr>
                <w:rFonts w:cs="Arial"/>
                <w:color w:val="000000"/>
                <w:sz w:val="20"/>
              </w:rPr>
              <w:t>Magela</w:t>
            </w:r>
            <w:proofErr w:type="spellEnd"/>
            <w:r w:rsidRPr="00BA37C4">
              <w:rPr>
                <w:rFonts w:cs="Arial"/>
                <w:color w:val="000000"/>
                <w:sz w:val="20"/>
              </w:rPr>
              <w:t xml:space="preserve"> Creek, Ranger uranium mine</w:t>
            </w:r>
          </w:p>
        </w:tc>
      </w:tr>
      <w:tr w:rsidR="009A7B9A" w:rsidRPr="005F161D" w14:paraId="4495CF59"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E790B1D" w14:textId="4625C841" w:rsidR="00A42599" w:rsidRPr="002C231F" w:rsidRDefault="00E91688" w:rsidP="002C231F">
            <w:pPr>
              <w:jc w:val="center"/>
              <w:rPr>
                <w:rFonts w:cs="Arial"/>
                <w:color w:val="000000"/>
                <w:sz w:val="20"/>
              </w:rPr>
            </w:pPr>
            <w:r w:rsidRPr="00E91688">
              <w:rPr>
                <w:rFonts w:cs="Arial"/>
                <w:sz w:val="20"/>
                <w:vertAlign w:val="superscript"/>
              </w:rPr>
              <w:t>44</w:t>
            </w:r>
          </w:p>
        </w:tc>
        <w:tc>
          <w:tcPr>
            <w:tcW w:w="3200" w:type="dxa"/>
            <w:noWrap/>
            <w:hideMark/>
          </w:tcPr>
          <w:p w14:paraId="54AC076A" w14:textId="6D31E121"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Irvine and Duvert (202</w:t>
            </w:r>
            <w:r w:rsidR="00E67947">
              <w:rPr>
                <w:rFonts w:cs="Arial"/>
                <w:sz w:val="20"/>
              </w:rPr>
              <w:t>2</w:t>
            </w:r>
            <w:r w:rsidRPr="00907BE7">
              <w:rPr>
                <w:rFonts w:cs="Arial"/>
                <w:sz w:val="20"/>
              </w:rPr>
              <w:t>)</w:t>
            </w:r>
          </w:p>
        </w:tc>
        <w:tc>
          <w:tcPr>
            <w:tcW w:w="2120" w:type="dxa"/>
            <w:hideMark/>
          </w:tcPr>
          <w:p w14:paraId="66A549F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6E138E7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7F4DC0E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Cambrian Limestone Aquifer</w:t>
            </w:r>
          </w:p>
        </w:tc>
        <w:tc>
          <w:tcPr>
            <w:tcW w:w="4640" w:type="dxa"/>
            <w:hideMark/>
          </w:tcPr>
          <w:p w14:paraId="64EF1F6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Beetaloo</w:t>
            </w:r>
            <w:proofErr w:type="spellEnd"/>
            <w:r w:rsidRPr="00907BE7">
              <w:rPr>
                <w:rFonts w:cs="Arial"/>
                <w:color w:val="000000"/>
                <w:sz w:val="20"/>
              </w:rPr>
              <w:t xml:space="preserve"> Sub-basin SREBA Water Studies: Flora River groundwater and surface water interactions study</w:t>
            </w:r>
          </w:p>
        </w:tc>
      </w:tr>
      <w:tr w:rsidR="009A7B9A" w:rsidRPr="005F161D" w14:paraId="42B72322"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424063FF" w14:textId="30FC8A89" w:rsidR="00A42599" w:rsidRPr="002C231F" w:rsidRDefault="00E91688" w:rsidP="002C231F">
            <w:pPr>
              <w:jc w:val="center"/>
              <w:rPr>
                <w:rFonts w:cs="Arial"/>
                <w:color w:val="000000"/>
                <w:sz w:val="20"/>
              </w:rPr>
            </w:pPr>
            <w:r w:rsidRPr="00E91688">
              <w:rPr>
                <w:rFonts w:cs="Arial"/>
                <w:sz w:val="20"/>
                <w:vertAlign w:val="superscript"/>
              </w:rPr>
              <w:t>45</w:t>
            </w:r>
          </w:p>
        </w:tc>
        <w:tc>
          <w:tcPr>
            <w:tcW w:w="3200" w:type="dxa"/>
            <w:noWrap/>
            <w:hideMark/>
          </w:tcPr>
          <w:p w14:paraId="3B48FF3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Iverach et al. (2015)</w:t>
            </w:r>
          </w:p>
        </w:tc>
        <w:tc>
          <w:tcPr>
            <w:tcW w:w="2120" w:type="dxa"/>
            <w:hideMark/>
          </w:tcPr>
          <w:p w14:paraId="7A74733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Scientific Reports</w:t>
            </w:r>
          </w:p>
        </w:tc>
        <w:tc>
          <w:tcPr>
            <w:tcW w:w="1039" w:type="dxa"/>
            <w:noWrap/>
            <w:hideMark/>
          </w:tcPr>
          <w:p w14:paraId="6074FDB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03353AC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SE Qld CSG</w:t>
            </w:r>
          </w:p>
        </w:tc>
        <w:tc>
          <w:tcPr>
            <w:tcW w:w="4640" w:type="dxa"/>
            <w:hideMark/>
          </w:tcPr>
          <w:p w14:paraId="2C1BD49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Assessing Connectivity Between an Overlying Aquifer and a Coal Seam Gas Resource Using Methane Isotopes, Dissolved Organic Carbon and Tritium</w:t>
            </w:r>
          </w:p>
        </w:tc>
      </w:tr>
      <w:tr w:rsidR="009A7B9A" w:rsidRPr="005F161D" w14:paraId="1B257F65"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06CBB961" w14:textId="153E4616" w:rsidR="00A42599" w:rsidRPr="002C231F" w:rsidRDefault="00A043A4" w:rsidP="002C231F">
            <w:pPr>
              <w:jc w:val="center"/>
              <w:rPr>
                <w:rFonts w:cs="Arial"/>
                <w:color w:val="000000"/>
                <w:sz w:val="20"/>
              </w:rPr>
            </w:pPr>
            <w:r w:rsidRPr="00A043A4">
              <w:rPr>
                <w:rFonts w:cs="Arial"/>
                <w:sz w:val="20"/>
                <w:vertAlign w:val="superscript"/>
              </w:rPr>
              <w:t>46</w:t>
            </w:r>
          </w:p>
        </w:tc>
        <w:tc>
          <w:tcPr>
            <w:tcW w:w="3200" w:type="dxa"/>
            <w:noWrap/>
            <w:hideMark/>
          </w:tcPr>
          <w:p w14:paraId="5093728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Iverach et al. (2017)</w:t>
            </w:r>
          </w:p>
        </w:tc>
        <w:tc>
          <w:tcPr>
            <w:tcW w:w="2120" w:type="dxa"/>
            <w:hideMark/>
          </w:tcPr>
          <w:p w14:paraId="439DE9B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hideMark/>
          </w:tcPr>
          <w:p w14:paraId="1C1C7D5B"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0C01DE6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Narrabri</w:t>
            </w:r>
          </w:p>
        </w:tc>
        <w:tc>
          <w:tcPr>
            <w:tcW w:w="4640" w:type="dxa"/>
            <w:hideMark/>
          </w:tcPr>
          <w:p w14:paraId="3EBE072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 multi-tracer approach to constraining artesian groundwater discharge into an alluvial aquifer</w:t>
            </w:r>
          </w:p>
        </w:tc>
      </w:tr>
      <w:tr w:rsidR="009A7B9A" w:rsidRPr="005F161D" w14:paraId="2D124671"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89514D2" w14:textId="6E5EDF76" w:rsidR="00A42599" w:rsidRPr="002C231F" w:rsidRDefault="00A043A4" w:rsidP="002C231F">
            <w:pPr>
              <w:jc w:val="center"/>
              <w:rPr>
                <w:rFonts w:cs="Arial"/>
                <w:color w:val="000000"/>
                <w:sz w:val="20"/>
              </w:rPr>
            </w:pPr>
            <w:r w:rsidRPr="00A043A4">
              <w:rPr>
                <w:rFonts w:cs="Arial"/>
                <w:sz w:val="20"/>
                <w:vertAlign w:val="superscript"/>
              </w:rPr>
              <w:lastRenderedPageBreak/>
              <w:t>47</w:t>
            </w:r>
          </w:p>
        </w:tc>
        <w:tc>
          <w:tcPr>
            <w:tcW w:w="3200" w:type="dxa"/>
            <w:noWrap/>
            <w:hideMark/>
          </w:tcPr>
          <w:p w14:paraId="5A4C689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JACOBS (2016)</w:t>
            </w:r>
          </w:p>
        </w:tc>
        <w:tc>
          <w:tcPr>
            <w:tcW w:w="2120" w:type="dxa"/>
            <w:hideMark/>
          </w:tcPr>
          <w:p w14:paraId="4054904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07304C4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62EA76F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Barwon Downs, Vic</w:t>
            </w:r>
          </w:p>
        </w:tc>
        <w:tc>
          <w:tcPr>
            <w:tcW w:w="4640" w:type="dxa"/>
            <w:hideMark/>
          </w:tcPr>
          <w:p w14:paraId="57E2A64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 multi-tracer approach to constraining artesian groundwater discharge into an alluvial aquifer Recharge Rate Assessment</w:t>
            </w:r>
          </w:p>
        </w:tc>
      </w:tr>
      <w:tr w:rsidR="009A7B9A" w:rsidRPr="005F161D" w14:paraId="61EB0C9B"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3125238F" w14:textId="062FA985" w:rsidR="00A42599" w:rsidRPr="002C231F" w:rsidRDefault="00A043A4" w:rsidP="002C231F">
            <w:pPr>
              <w:jc w:val="center"/>
              <w:rPr>
                <w:rFonts w:cs="Arial"/>
                <w:color w:val="000000"/>
                <w:sz w:val="20"/>
              </w:rPr>
            </w:pPr>
            <w:r w:rsidRPr="00A043A4">
              <w:rPr>
                <w:rFonts w:cs="Arial"/>
                <w:sz w:val="20"/>
                <w:vertAlign w:val="superscript"/>
              </w:rPr>
              <w:t>48</w:t>
            </w:r>
          </w:p>
        </w:tc>
        <w:tc>
          <w:tcPr>
            <w:tcW w:w="3200" w:type="dxa"/>
            <w:noWrap/>
            <w:hideMark/>
          </w:tcPr>
          <w:p w14:paraId="78D1FBD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King et al. (2015)</w:t>
            </w:r>
          </w:p>
        </w:tc>
        <w:tc>
          <w:tcPr>
            <w:tcW w:w="2120" w:type="dxa"/>
            <w:hideMark/>
          </w:tcPr>
          <w:p w14:paraId="2AB8421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hideMark/>
          </w:tcPr>
          <w:p w14:paraId="79CC99D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3935AD8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Near Brisbane</w:t>
            </w:r>
          </w:p>
        </w:tc>
        <w:tc>
          <w:tcPr>
            <w:tcW w:w="4640" w:type="dxa"/>
            <w:hideMark/>
          </w:tcPr>
          <w:p w14:paraId="5B4E324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Identifying flood recharge and inter-aquifer connectivity using multiple isotopes in subtropical Australia</w:t>
            </w:r>
          </w:p>
        </w:tc>
      </w:tr>
      <w:tr w:rsidR="009A7B9A" w:rsidRPr="005F161D" w14:paraId="14DC2D95"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114F6F1A" w14:textId="3E1FB984" w:rsidR="00A42599" w:rsidRPr="002C231F" w:rsidRDefault="0095701F" w:rsidP="002C231F">
            <w:pPr>
              <w:jc w:val="center"/>
              <w:rPr>
                <w:rFonts w:cs="Arial"/>
                <w:color w:val="000000"/>
                <w:sz w:val="20"/>
              </w:rPr>
            </w:pPr>
            <w:r w:rsidRPr="0095701F">
              <w:rPr>
                <w:rFonts w:cs="Arial"/>
                <w:sz w:val="20"/>
                <w:vertAlign w:val="superscript"/>
              </w:rPr>
              <w:t>49</w:t>
            </w:r>
          </w:p>
        </w:tc>
        <w:tc>
          <w:tcPr>
            <w:tcW w:w="3200" w:type="dxa"/>
            <w:noWrap/>
            <w:hideMark/>
          </w:tcPr>
          <w:p w14:paraId="2F65F54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Lamontagne et al. (2015)</w:t>
            </w:r>
          </w:p>
        </w:tc>
        <w:tc>
          <w:tcPr>
            <w:tcW w:w="2120" w:type="dxa"/>
            <w:hideMark/>
          </w:tcPr>
          <w:p w14:paraId="757FDE3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WRR</w:t>
            </w:r>
          </w:p>
        </w:tc>
        <w:tc>
          <w:tcPr>
            <w:tcW w:w="1039" w:type="dxa"/>
            <w:noWrap/>
            <w:hideMark/>
          </w:tcPr>
          <w:p w14:paraId="457DB98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034260B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Namoi River basin, NSW</w:t>
            </w:r>
          </w:p>
        </w:tc>
        <w:tc>
          <w:tcPr>
            <w:tcW w:w="4640" w:type="dxa"/>
            <w:hideMark/>
          </w:tcPr>
          <w:p w14:paraId="2484C73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River infiltration to a subtropical alluvial aquifer inferred using multiple environmental tracers</w:t>
            </w:r>
          </w:p>
        </w:tc>
      </w:tr>
      <w:tr w:rsidR="009A7B9A" w:rsidRPr="005F161D" w14:paraId="54025FF8"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5DCD5D02" w14:textId="7F3AB4C2" w:rsidR="00A42599" w:rsidRPr="002C231F" w:rsidRDefault="0095701F" w:rsidP="002C231F">
            <w:pPr>
              <w:jc w:val="center"/>
              <w:rPr>
                <w:rFonts w:cs="Arial"/>
                <w:color w:val="000000"/>
                <w:sz w:val="20"/>
              </w:rPr>
            </w:pPr>
            <w:r w:rsidRPr="0095701F">
              <w:rPr>
                <w:rFonts w:cs="Arial"/>
                <w:sz w:val="20"/>
                <w:vertAlign w:val="superscript"/>
              </w:rPr>
              <w:t>50</w:t>
            </w:r>
          </w:p>
        </w:tc>
        <w:tc>
          <w:tcPr>
            <w:tcW w:w="3200" w:type="dxa"/>
            <w:noWrap/>
            <w:hideMark/>
          </w:tcPr>
          <w:p w14:paraId="2A75F23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Lamontagne et al. (2021)</w:t>
            </w:r>
          </w:p>
        </w:tc>
        <w:tc>
          <w:tcPr>
            <w:tcW w:w="2120" w:type="dxa"/>
            <w:hideMark/>
          </w:tcPr>
          <w:p w14:paraId="09D8FAD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Scientific Reports</w:t>
            </w:r>
          </w:p>
        </w:tc>
        <w:tc>
          <w:tcPr>
            <w:tcW w:w="1039" w:type="dxa"/>
            <w:noWrap/>
            <w:hideMark/>
          </w:tcPr>
          <w:p w14:paraId="641B2CE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hideMark/>
          </w:tcPr>
          <w:p w14:paraId="0196288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Cambrian Limestone Aquifer</w:t>
            </w:r>
          </w:p>
        </w:tc>
        <w:tc>
          <w:tcPr>
            <w:tcW w:w="4640" w:type="dxa"/>
            <w:hideMark/>
          </w:tcPr>
          <w:p w14:paraId="789DACF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Groundwater sources for the </w:t>
            </w:r>
            <w:proofErr w:type="spellStart"/>
            <w:r w:rsidRPr="00907BE7">
              <w:rPr>
                <w:rFonts w:cs="Arial"/>
                <w:color w:val="000000"/>
                <w:sz w:val="20"/>
              </w:rPr>
              <w:t>Mataranka</w:t>
            </w:r>
            <w:proofErr w:type="spellEnd"/>
            <w:r w:rsidRPr="00907BE7">
              <w:rPr>
                <w:rFonts w:cs="Arial"/>
                <w:color w:val="000000"/>
                <w:sz w:val="20"/>
              </w:rPr>
              <w:t xml:space="preserve"> Springs (Northern Territory, Australia)</w:t>
            </w:r>
          </w:p>
        </w:tc>
      </w:tr>
      <w:tr w:rsidR="009A7B9A" w:rsidRPr="005F161D" w14:paraId="562AA1F3"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7A288E6C" w14:textId="5855110E" w:rsidR="00A42599" w:rsidRPr="002C231F" w:rsidRDefault="0095701F" w:rsidP="002C231F">
            <w:pPr>
              <w:jc w:val="center"/>
              <w:rPr>
                <w:rFonts w:cs="Arial"/>
                <w:color w:val="000000"/>
                <w:sz w:val="20"/>
              </w:rPr>
            </w:pPr>
            <w:r w:rsidRPr="0095701F">
              <w:rPr>
                <w:rFonts w:cs="Arial"/>
                <w:sz w:val="20"/>
                <w:vertAlign w:val="superscript"/>
              </w:rPr>
              <w:t>51</w:t>
            </w:r>
          </w:p>
        </w:tc>
        <w:tc>
          <w:tcPr>
            <w:tcW w:w="3200" w:type="dxa"/>
            <w:noWrap/>
            <w:hideMark/>
          </w:tcPr>
          <w:p w14:paraId="00ECC39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Martinez (2017)</w:t>
            </w:r>
          </w:p>
        </w:tc>
        <w:tc>
          <w:tcPr>
            <w:tcW w:w="2120" w:type="dxa"/>
            <w:hideMark/>
          </w:tcPr>
          <w:p w14:paraId="16174EB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Thesis</w:t>
            </w:r>
          </w:p>
        </w:tc>
        <w:tc>
          <w:tcPr>
            <w:tcW w:w="1039" w:type="dxa"/>
            <w:noWrap/>
            <w:hideMark/>
          </w:tcPr>
          <w:p w14:paraId="1734AA4A"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5A75A10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Condamine</w:t>
            </w:r>
          </w:p>
        </w:tc>
        <w:tc>
          <w:tcPr>
            <w:tcW w:w="4640" w:type="dxa"/>
            <w:hideMark/>
          </w:tcPr>
          <w:p w14:paraId="6DAE637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Revealing groundwater-surface water exchanges and recharge processes with multiple tracers and hydrochemistry</w:t>
            </w:r>
          </w:p>
        </w:tc>
      </w:tr>
      <w:tr w:rsidR="009A7B9A" w:rsidRPr="005F161D" w14:paraId="4B5197CD"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494906F0" w14:textId="6C6FB8B6" w:rsidR="00A42599" w:rsidRPr="002C231F" w:rsidRDefault="00E568F4" w:rsidP="002C231F">
            <w:pPr>
              <w:jc w:val="center"/>
              <w:rPr>
                <w:rFonts w:cs="Arial"/>
                <w:color w:val="000000"/>
                <w:sz w:val="20"/>
              </w:rPr>
            </w:pPr>
            <w:r w:rsidRPr="00E568F4">
              <w:rPr>
                <w:rFonts w:cs="Arial"/>
                <w:sz w:val="20"/>
                <w:vertAlign w:val="superscript"/>
              </w:rPr>
              <w:t>52</w:t>
            </w:r>
          </w:p>
        </w:tc>
        <w:tc>
          <w:tcPr>
            <w:tcW w:w="3200" w:type="dxa"/>
            <w:noWrap/>
            <w:hideMark/>
          </w:tcPr>
          <w:p w14:paraId="119C0D3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McCance et al. (2020)</w:t>
            </w:r>
          </w:p>
        </w:tc>
        <w:tc>
          <w:tcPr>
            <w:tcW w:w="2120" w:type="dxa"/>
            <w:hideMark/>
          </w:tcPr>
          <w:p w14:paraId="2AB2C8C6" w14:textId="36F35C1E"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Water Res</w:t>
            </w:r>
            <w:r w:rsidR="00817100">
              <w:rPr>
                <w:rFonts w:cs="Arial"/>
                <w:color w:val="000000"/>
                <w:sz w:val="20"/>
              </w:rPr>
              <w:t>.</w:t>
            </w:r>
          </w:p>
        </w:tc>
        <w:tc>
          <w:tcPr>
            <w:tcW w:w="1039" w:type="dxa"/>
            <w:noWrap/>
            <w:hideMark/>
          </w:tcPr>
          <w:p w14:paraId="27CD21B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0392E51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Mornington Peninsula</w:t>
            </w:r>
          </w:p>
        </w:tc>
        <w:tc>
          <w:tcPr>
            <w:tcW w:w="4640" w:type="dxa"/>
            <w:hideMark/>
          </w:tcPr>
          <w:p w14:paraId="356A552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Combining environmental isotopes with Contaminants of Emerging Concern (CECs) to characterise wastewater derived impacts on groundwater quality</w:t>
            </w:r>
          </w:p>
        </w:tc>
      </w:tr>
      <w:tr w:rsidR="009A7B9A" w:rsidRPr="005F161D" w14:paraId="4AEA15A6"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14397D20" w14:textId="263443CA" w:rsidR="00A42599" w:rsidRPr="002C231F" w:rsidRDefault="00E568F4" w:rsidP="002C231F">
            <w:pPr>
              <w:jc w:val="center"/>
              <w:rPr>
                <w:rFonts w:cs="Arial"/>
                <w:color w:val="000000"/>
                <w:sz w:val="20"/>
              </w:rPr>
            </w:pPr>
            <w:r w:rsidRPr="00E568F4">
              <w:rPr>
                <w:rFonts w:cs="Arial"/>
                <w:sz w:val="20"/>
                <w:vertAlign w:val="superscript"/>
              </w:rPr>
              <w:t>53</w:t>
            </w:r>
          </w:p>
        </w:tc>
        <w:tc>
          <w:tcPr>
            <w:tcW w:w="3200" w:type="dxa"/>
            <w:noWrap/>
            <w:hideMark/>
          </w:tcPr>
          <w:p w14:paraId="7C81EC7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McDonough et al. (2020)</w:t>
            </w:r>
          </w:p>
        </w:tc>
        <w:tc>
          <w:tcPr>
            <w:tcW w:w="2120" w:type="dxa"/>
            <w:hideMark/>
          </w:tcPr>
          <w:p w14:paraId="1F58B79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Geochimica</w:t>
            </w:r>
            <w:proofErr w:type="spellEnd"/>
            <w:r w:rsidRPr="00907BE7">
              <w:rPr>
                <w:rFonts w:cs="Arial"/>
                <w:color w:val="000000"/>
                <w:sz w:val="20"/>
              </w:rPr>
              <w:t xml:space="preserve"> et </w:t>
            </w:r>
            <w:proofErr w:type="spellStart"/>
            <w:r w:rsidRPr="00907BE7">
              <w:rPr>
                <w:rFonts w:cs="Arial"/>
                <w:color w:val="000000"/>
                <w:sz w:val="20"/>
              </w:rPr>
              <w:t>Cosmochimica</w:t>
            </w:r>
            <w:proofErr w:type="spellEnd"/>
            <w:r w:rsidRPr="00907BE7">
              <w:rPr>
                <w:rFonts w:cs="Arial"/>
                <w:color w:val="000000"/>
                <w:sz w:val="20"/>
              </w:rPr>
              <w:t xml:space="preserve"> Acta</w:t>
            </w:r>
          </w:p>
        </w:tc>
        <w:tc>
          <w:tcPr>
            <w:tcW w:w="1039" w:type="dxa"/>
            <w:noWrap/>
            <w:hideMark/>
          </w:tcPr>
          <w:p w14:paraId="2988F8F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06C33FD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Various, NSW</w:t>
            </w:r>
          </w:p>
        </w:tc>
        <w:tc>
          <w:tcPr>
            <w:tcW w:w="4640" w:type="dxa"/>
            <w:hideMark/>
          </w:tcPr>
          <w:p w14:paraId="0B760D5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Characterisation of shallow groundwater dissolved organic matter in aeolian, alluvial and fractured rock aquifers</w:t>
            </w:r>
          </w:p>
        </w:tc>
      </w:tr>
      <w:tr w:rsidR="009A7B9A" w:rsidRPr="005F161D" w14:paraId="654E0018"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114D5BBF" w14:textId="0C777A93" w:rsidR="00A42599" w:rsidRPr="002C231F" w:rsidRDefault="00E568F4" w:rsidP="002C231F">
            <w:pPr>
              <w:jc w:val="center"/>
              <w:rPr>
                <w:rFonts w:cs="Arial"/>
                <w:color w:val="000000"/>
                <w:sz w:val="20"/>
              </w:rPr>
            </w:pPr>
            <w:r w:rsidRPr="00E568F4">
              <w:rPr>
                <w:rFonts w:cs="Arial"/>
                <w:sz w:val="20"/>
                <w:vertAlign w:val="superscript"/>
              </w:rPr>
              <w:t>54</w:t>
            </w:r>
          </w:p>
        </w:tc>
        <w:tc>
          <w:tcPr>
            <w:tcW w:w="3200" w:type="dxa"/>
            <w:noWrap/>
            <w:hideMark/>
          </w:tcPr>
          <w:p w14:paraId="5FC56B1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Meredith et al. 2012</w:t>
            </w:r>
          </w:p>
        </w:tc>
        <w:tc>
          <w:tcPr>
            <w:tcW w:w="2120" w:type="dxa"/>
            <w:hideMark/>
          </w:tcPr>
          <w:p w14:paraId="33A9BD0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hideMark/>
          </w:tcPr>
          <w:p w14:paraId="11C66CF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hideMark/>
          </w:tcPr>
          <w:p w14:paraId="044E55DC"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Perth Basin</w:t>
            </w:r>
          </w:p>
        </w:tc>
        <w:tc>
          <w:tcPr>
            <w:tcW w:w="4640" w:type="dxa"/>
            <w:hideMark/>
          </w:tcPr>
          <w:p w14:paraId="4C40998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Using 14C and 3H to delineate a recharge ‘window’ into the Perth Basin aquifers, North </w:t>
            </w:r>
            <w:proofErr w:type="spellStart"/>
            <w:r w:rsidRPr="00907BE7">
              <w:rPr>
                <w:rFonts w:cs="Arial"/>
                <w:color w:val="000000"/>
                <w:sz w:val="20"/>
              </w:rPr>
              <w:t>Gnangara</w:t>
            </w:r>
            <w:proofErr w:type="spellEnd"/>
            <w:r w:rsidRPr="00907BE7">
              <w:rPr>
                <w:rFonts w:cs="Arial"/>
                <w:color w:val="000000"/>
                <w:sz w:val="20"/>
              </w:rPr>
              <w:t xml:space="preserve"> groundwater system, Western Australia</w:t>
            </w:r>
          </w:p>
        </w:tc>
      </w:tr>
      <w:tr w:rsidR="009A7B9A" w:rsidRPr="005F161D" w14:paraId="6F220AFE"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7C6679D3" w14:textId="1198C3CF" w:rsidR="00A42599" w:rsidRPr="002C231F" w:rsidRDefault="007D1956" w:rsidP="002C231F">
            <w:pPr>
              <w:jc w:val="center"/>
              <w:rPr>
                <w:rFonts w:cs="Arial"/>
                <w:color w:val="000000"/>
                <w:sz w:val="20"/>
              </w:rPr>
            </w:pPr>
            <w:r w:rsidRPr="007D1956">
              <w:rPr>
                <w:rFonts w:cs="Arial"/>
                <w:sz w:val="20"/>
                <w:vertAlign w:val="superscript"/>
              </w:rPr>
              <w:t>55</w:t>
            </w:r>
          </w:p>
        </w:tc>
        <w:tc>
          <w:tcPr>
            <w:tcW w:w="3200" w:type="dxa"/>
            <w:noWrap/>
            <w:hideMark/>
          </w:tcPr>
          <w:p w14:paraId="025C7D1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Meredith et al. (2015)</w:t>
            </w:r>
          </w:p>
        </w:tc>
        <w:tc>
          <w:tcPr>
            <w:tcW w:w="2120" w:type="dxa"/>
            <w:hideMark/>
          </w:tcPr>
          <w:p w14:paraId="3137319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2D7773F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5AA77A2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Darling River catchment, NSW</w:t>
            </w:r>
          </w:p>
        </w:tc>
        <w:tc>
          <w:tcPr>
            <w:tcW w:w="4640" w:type="dxa"/>
            <w:hideMark/>
          </w:tcPr>
          <w:p w14:paraId="660529D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Evaporation and concentration gradients created by episodic river recharge in a semi-arid zone aquifer: Insights from Cl−, δ18O, δ2H, and 3H</w:t>
            </w:r>
          </w:p>
        </w:tc>
      </w:tr>
      <w:tr w:rsidR="009A7B9A" w:rsidRPr="005F161D" w14:paraId="7597494F"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80CAAD6" w14:textId="519B56C0" w:rsidR="00A42599" w:rsidRPr="002C231F" w:rsidRDefault="007D1956" w:rsidP="002C231F">
            <w:pPr>
              <w:jc w:val="center"/>
              <w:rPr>
                <w:rFonts w:cs="Arial"/>
                <w:color w:val="000000"/>
                <w:sz w:val="20"/>
              </w:rPr>
            </w:pPr>
            <w:r w:rsidRPr="007D1956">
              <w:rPr>
                <w:rFonts w:cs="Arial"/>
                <w:sz w:val="20"/>
                <w:vertAlign w:val="superscript"/>
              </w:rPr>
              <w:t>56</w:t>
            </w:r>
          </w:p>
        </w:tc>
        <w:tc>
          <w:tcPr>
            <w:tcW w:w="3200" w:type="dxa"/>
            <w:noWrap/>
            <w:hideMark/>
          </w:tcPr>
          <w:p w14:paraId="6902914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Owen et al. (2016)</w:t>
            </w:r>
          </w:p>
        </w:tc>
        <w:tc>
          <w:tcPr>
            <w:tcW w:w="2120" w:type="dxa"/>
            <w:hideMark/>
          </w:tcPr>
          <w:p w14:paraId="228B6FB0"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Scientific Reports</w:t>
            </w:r>
          </w:p>
        </w:tc>
        <w:tc>
          <w:tcPr>
            <w:tcW w:w="1039" w:type="dxa"/>
            <w:noWrap/>
            <w:hideMark/>
          </w:tcPr>
          <w:p w14:paraId="5A487D3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Qld/SA</w:t>
            </w:r>
          </w:p>
        </w:tc>
        <w:tc>
          <w:tcPr>
            <w:tcW w:w="1940" w:type="dxa"/>
            <w:hideMark/>
          </w:tcPr>
          <w:p w14:paraId="29F79AD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Condamine River, Qld</w:t>
            </w:r>
          </w:p>
        </w:tc>
        <w:tc>
          <w:tcPr>
            <w:tcW w:w="4640" w:type="dxa"/>
            <w:hideMark/>
          </w:tcPr>
          <w:p w14:paraId="1AFCF6D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Thermodynamic and </w:t>
            </w:r>
            <w:proofErr w:type="spellStart"/>
            <w:r w:rsidRPr="00907BE7">
              <w:rPr>
                <w:rFonts w:cs="Arial"/>
                <w:color w:val="000000"/>
                <w:sz w:val="20"/>
              </w:rPr>
              <w:t>hydrochemical</w:t>
            </w:r>
            <w:proofErr w:type="spellEnd"/>
            <w:r w:rsidRPr="00907BE7">
              <w:rPr>
                <w:rFonts w:cs="Arial"/>
                <w:color w:val="000000"/>
                <w:sz w:val="20"/>
              </w:rPr>
              <w:t xml:space="preserve"> controls on CH4 in a coal seam gas and overlying alluvial aquifer: new insights into CH4 origins</w:t>
            </w:r>
          </w:p>
        </w:tc>
      </w:tr>
      <w:tr w:rsidR="009A7B9A" w:rsidRPr="005F161D" w14:paraId="07DBDF17"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47E45169" w14:textId="0F3333E8" w:rsidR="00A42599" w:rsidRPr="002C231F" w:rsidRDefault="00AC47CF" w:rsidP="002C231F">
            <w:pPr>
              <w:jc w:val="center"/>
              <w:rPr>
                <w:rFonts w:cs="Arial"/>
                <w:color w:val="000000"/>
                <w:sz w:val="20"/>
              </w:rPr>
            </w:pPr>
            <w:r w:rsidRPr="00AC47CF">
              <w:rPr>
                <w:rFonts w:cs="Arial"/>
                <w:sz w:val="20"/>
                <w:vertAlign w:val="superscript"/>
              </w:rPr>
              <w:lastRenderedPageBreak/>
              <w:t>57</w:t>
            </w:r>
          </w:p>
        </w:tc>
        <w:tc>
          <w:tcPr>
            <w:tcW w:w="3200" w:type="dxa"/>
            <w:noWrap/>
            <w:hideMark/>
          </w:tcPr>
          <w:p w14:paraId="1D1410C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Pearce et al. (2024)</w:t>
            </w:r>
          </w:p>
        </w:tc>
        <w:tc>
          <w:tcPr>
            <w:tcW w:w="2120" w:type="dxa"/>
            <w:hideMark/>
          </w:tcPr>
          <w:p w14:paraId="25D4376D" w14:textId="17B179FD"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IJoCG</w:t>
            </w:r>
            <w:proofErr w:type="spellEnd"/>
          </w:p>
        </w:tc>
        <w:tc>
          <w:tcPr>
            <w:tcW w:w="1039" w:type="dxa"/>
            <w:noWrap/>
            <w:hideMark/>
          </w:tcPr>
          <w:p w14:paraId="595F0C9D"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2E73CFD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GAB</w:t>
            </w:r>
          </w:p>
        </w:tc>
        <w:tc>
          <w:tcPr>
            <w:tcW w:w="4640" w:type="dxa"/>
            <w:hideMark/>
          </w:tcPr>
          <w:p w14:paraId="2BF8EE5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Geochemical tracers associated with methane in aquifers overlying a coal seam gas reservoir</w:t>
            </w:r>
          </w:p>
        </w:tc>
      </w:tr>
      <w:tr w:rsidR="009A7B9A" w:rsidRPr="005F161D" w14:paraId="2A9FB956"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190A2F47" w14:textId="5608F02D" w:rsidR="00A42599" w:rsidRPr="002C231F" w:rsidRDefault="00AC47CF" w:rsidP="002C231F">
            <w:pPr>
              <w:jc w:val="center"/>
              <w:rPr>
                <w:rFonts w:cs="Arial"/>
                <w:color w:val="000000"/>
                <w:sz w:val="20"/>
              </w:rPr>
            </w:pPr>
            <w:r w:rsidRPr="00AC47CF">
              <w:rPr>
                <w:rFonts w:cs="Arial"/>
                <w:sz w:val="20"/>
                <w:vertAlign w:val="superscript"/>
              </w:rPr>
              <w:t>58</w:t>
            </w:r>
          </w:p>
        </w:tc>
        <w:tc>
          <w:tcPr>
            <w:tcW w:w="3200" w:type="dxa"/>
            <w:noWrap/>
            <w:hideMark/>
          </w:tcPr>
          <w:p w14:paraId="36C479E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Raiber et al. (2015)</w:t>
            </w:r>
          </w:p>
        </w:tc>
        <w:tc>
          <w:tcPr>
            <w:tcW w:w="2120" w:type="dxa"/>
            <w:hideMark/>
          </w:tcPr>
          <w:p w14:paraId="2A866FB6"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hideMark/>
          </w:tcPr>
          <w:p w14:paraId="0278613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hideMark/>
          </w:tcPr>
          <w:p w14:paraId="5F35B153"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SW Victoria, eastern Hopkins</w:t>
            </w:r>
          </w:p>
        </w:tc>
        <w:tc>
          <w:tcPr>
            <w:tcW w:w="4640" w:type="dxa"/>
            <w:hideMark/>
          </w:tcPr>
          <w:p w14:paraId="29E0A827"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Environmental isotopes meet 3D geological modelling: Conceptualising recharge and </w:t>
            </w:r>
            <w:proofErr w:type="gramStart"/>
            <w:r w:rsidRPr="00907BE7">
              <w:rPr>
                <w:rFonts w:cs="Arial"/>
                <w:color w:val="000000"/>
                <w:sz w:val="20"/>
              </w:rPr>
              <w:t>structurally-controlled</w:t>
            </w:r>
            <w:proofErr w:type="gramEnd"/>
            <w:r w:rsidRPr="00907BE7">
              <w:rPr>
                <w:rFonts w:cs="Arial"/>
                <w:color w:val="000000"/>
                <w:sz w:val="20"/>
              </w:rPr>
              <w:t xml:space="preserve"> aquifer connectivity in the basalt plains of south-western Victoria, Australia</w:t>
            </w:r>
          </w:p>
        </w:tc>
      </w:tr>
      <w:tr w:rsidR="009A7B9A" w:rsidRPr="005F161D" w14:paraId="52E3F943"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C95D190" w14:textId="1EF4FE94" w:rsidR="00A42599" w:rsidRPr="002C231F" w:rsidRDefault="007D3551" w:rsidP="002C231F">
            <w:pPr>
              <w:jc w:val="center"/>
              <w:rPr>
                <w:rFonts w:cs="Arial"/>
                <w:color w:val="000000"/>
                <w:sz w:val="20"/>
              </w:rPr>
            </w:pPr>
            <w:r w:rsidRPr="007D3551">
              <w:rPr>
                <w:rFonts w:cs="Arial"/>
                <w:sz w:val="20"/>
                <w:vertAlign w:val="superscript"/>
              </w:rPr>
              <w:t>59</w:t>
            </w:r>
          </w:p>
        </w:tc>
        <w:tc>
          <w:tcPr>
            <w:tcW w:w="3200" w:type="dxa"/>
            <w:noWrap/>
            <w:hideMark/>
          </w:tcPr>
          <w:p w14:paraId="2A95596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Raiber et al. (2022)</w:t>
            </w:r>
          </w:p>
        </w:tc>
        <w:tc>
          <w:tcPr>
            <w:tcW w:w="2120" w:type="dxa"/>
            <w:hideMark/>
          </w:tcPr>
          <w:p w14:paraId="3E949BD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hideMark/>
          </w:tcPr>
          <w:p w14:paraId="662A6602"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039846B4"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Eromanga</w:t>
            </w:r>
            <w:proofErr w:type="spellEnd"/>
            <w:r w:rsidRPr="00907BE7">
              <w:rPr>
                <w:rFonts w:cs="Arial"/>
                <w:color w:val="000000"/>
                <w:sz w:val="20"/>
              </w:rPr>
              <w:t xml:space="preserve"> Basin (GAB)</w:t>
            </w:r>
          </w:p>
        </w:tc>
        <w:tc>
          <w:tcPr>
            <w:tcW w:w="4640" w:type="dxa"/>
            <w:hideMark/>
          </w:tcPr>
          <w:p w14:paraId="03DD110E"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Assessing recharge processes and flow dynamics using environmental tracers in the Great Artesian Basin</w:t>
            </w:r>
          </w:p>
        </w:tc>
      </w:tr>
      <w:tr w:rsidR="009A7B9A" w:rsidRPr="005F161D" w14:paraId="1AAECC6B"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EDE5B81" w14:textId="63D3C467" w:rsidR="00A42599" w:rsidRPr="002C231F" w:rsidRDefault="002F1EEC" w:rsidP="002C231F">
            <w:pPr>
              <w:jc w:val="center"/>
              <w:rPr>
                <w:rFonts w:cs="Arial"/>
                <w:color w:val="000000"/>
                <w:sz w:val="20"/>
              </w:rPr>
            </w:pPr>
            <w:r w:rsidRPr="002F1EEC">
              <w:rPr>
                <w:rFonts w:cs="Arial"/>
                <w:sz w:val="20"/>
                <w:vertAlign w:val="superscript"/>
              </w:rPr>
              <w:t>60</w:t>
            </w:r>
          </w:p>
        </w:tc>
        <w:tc>
          <w:tcPr>
            <w:tcW w:w="3200" w:type="dxa"/>
            <w:noWrap/>
            <w:hideMark/>
          </w:tcPr>
          <w:p w14:paraId="03692761"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Santos et al. (2017)</w:t>
            </w:r>
          </w:p>
        </w:tc>
        <w:tc>
          <w:tcPr>
            <w:tcW w:w="2120" w:type="dxa"/>
            <w:hideMark/>
          </w:tcPr>
          <w:p w14:paraId="74185A99"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hideMark/>
          </w:tcPr>
          <w:p w14:paraId="65589FC8"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hideMark/>
          </w:tcPr>
          <w:p w14:paraId="13F6B3C5"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Woodburn Sand Aquifer</w:t>
            </w:r>
          </w:p>
        </w:tc>
        <w:tc>
          <w:tcPr>
            <w:tcW w:w="4640" w:type="dxa"/>
            <w:hideMark/>
          </w:tcPr>
          <w:p w14:paraId="7A5B468F" w14:textId="77777777" w:rsidR="00A42599" w:rsidRPr="00907BE7" w:rsidRDefault="00A42599" w:rsidP="00855B92">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Assessing the recharge of a coastal aquifer using physical observations, tritium, groundwater chemistry and modelling</w:t>
            </w:r>
          </w:p>
        </w:tc>
      </w:tr>
      <w:tr w:rsidR="00251A14" w:rsidRPr="005F161D" w14:paraId="1DFD6169"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65BAC11F" w14:textId="5E3F63F0" w:rsidR="00A6339F" w:rsidRPr="002C231F" w:rsidRDefault="002F1EEC" w:rsidP="00A6339F">
            <w:pPr>
              <w:jc w:val="center"/>
              <w:rPr>
                <w:rFonts w:cs="Arial"/>
                <w:color w:val="000000"/>
                <w:sz w:val="20"/>
              </w:rPr>
            </w:pPr>
            <w:r w:rsidRPr="002F1EEC">
              <w:rPr>
                <w:rFonts w:cs="Arial"/>
                <w:sz w:val="20"/>
                <w:vertAlign w:val="superscript"/>
              </w:rPr>
              <w:t>61</w:t>
            </w:r>
          </w:p>
        </w:tc>
        <w:tc>
          <w:tcPr>
            <w:tcW w:w="3200" w:type="dxa"/>
            <w:noWrap/>
          </w:tcPr>
          <w:p w14:paraId="488FBBDF" w14:textId="635773E1" w:rsidR="00A6339F" w:rsidRPr="00907BE7" w:rsidRDefault="00A6339F" w:rsidP="00A6339F">
            <w:pPr>
              <w:cnfStyle w:val="000000000000" w:firstRow="0" w:lastRow="0" w:firstColumn="0" w:lastColumn="0" w:oddVBand="0" w:evenVBand="0" w:oddHBand="0" w:evenHBand="0" w:firstRowFirstColumn="0" w:firstRowLastColumn="0" w:lastRowFirstColumn="0" w:lastRowLastColumn="0"/>
              <w:rPr>
                <w:rFonts w:cs="Arial"/>
                <w:sz w:val="20"/>
              </w:rPr>
            </w:pPr>
            <w:r w:rsidRPr="005F161D">
              <w:rPr>
                <w:rFonts w:cs="Arial"/>
              </w:rPr>
              <w:t>Schroder et al. (2020)</w:t>
            </w:r>
          </w:p>
        </w:tc>
        <w:tc>
          <w:tcPr>
            <w:tcW w:w="2120" w:type="dxa"/>
          </w:tcPr>
          <w:p w14:paraId="4D272C48" w14:textId="2D05652B" w:rsidR="00A6339F" w:rsidRPr="00907BE7" w:rsidRDefault="00A6339F" w:rsidP="00A6339F">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Report</w:t>
            </w:r>
          </w:p>
        </w:tc>
        <w:tc>
          <w:tcPr>
            <w:tcW w:w="1039" w:type="dxa"/>
            <w:noWrap/>
          </w:tcPr>
          <w:p w14:paraId="72DAB0ED" w14:textId="4306E1B6" w:rsidR="00A6339F" w:rsidRPr="00907BE7" w:rsidRDefault="00A6339F" w:rsidP="00A6339F">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NT/Qld</w:t>
            </w:r>
          </w:p>
        </w:tc>
        <w:tc>
          <w:tcPr>
            <w:tcW w:w="1940" w:type="dxa"/>
          </w:tcPr>
          <w:p w14:paraId="4AC26E15" w14:textId="7A0DDAB5" w:rsidR="00A6339F" w:rsidRPr="00907BE7" w:rsidRDefault="00A6339F" w:rsidP="00A6339F">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Northern Australia, NT and Qld</w:t>
            </w:r>
          </w:p>
        </w:tc>
        <w:tc>
          <w:tcPr>
            <w:tcW w:w="4640" w:type="dxa"/>
          </w:tcPr>
          <w:p w14:paraId="2005EA61" w14:textId="008C388F" w:rsidR="00A6339F" w:rsidRPr="00907BE7" w:rsidRDefault="00A6339F" w:rsidP="00A6339F">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F161D">
              <w:rPr>
                <w:rFonts w:cs="Arial"/>
                <w:color w:val="000000"/>
                <w:sz w:val="20"/>
              </w:rPr>
              <w:t>Northern Australia Hydrogeochemical Survey: Final Data Release and Hydrogeochemical Atlas for EFTF</w:t>
            </w:r>
          </w:p>
        </w:tc>
      </w:tr>
      <w:tr w:rsidR="009A7B9A" w:rsidRPr="005F161D" w14:paraId="2C83E601"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3EE4F113" w14:textId="5A1AC99D" w:rsidR="00B14D73" w:rsidRPr="002C231F" w:rsidRDefault="002F1EEC" w:rsidP="002C231F">
            <w:pPr>
              <w:jc w:val="center"/>
              <w:rPr>
                <w:rFonts w:cs="Arial"/>
                <w:color w:val="000000"/>
                <w:sz w:val="20"/>
              </w:rPr>
            </w:pPr>
            <w:r w:rsidRPr="002F1EEC">
              <w:rPr>
                <w:rFonts w:cs="Arial"/>
                <w:sz w:val="20"/>
                <w:vertAlign w:val="superscript"/>
              </w:rPr>
              <w:t>62</w:t>
            </w:r>
          </w:p>
        </w:tc>
        <w:tc>
          <w:tcPr>
            <w:tcW w:w="3200" w:type="dxa"/>
            <w:noWrap/>
            <w:hideMark/>
          </w:tcPr>
          <w:p w14:paraId="70013553" w14:textId="71F201C0"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sz w:val="20"/>
              </w:rPr>
              <w:t>Shishaye</w:t>
            </w:r>
            <w:proofErr w:type="spellEnd"/>
            <w:r w:rsidRPr="00907BE7">
              <w:rPr>
                <w:rFonts w:cs="Arial"/>
                <w:sz w:val="20"/>
              </w:rPr>
              <w:t xml:space="preserve"> et al. 2021</w:t>
            </w:r>
          </w:p>
        </w:tc>
        <w:tc>
          <w:tcPr>
            <w:tcW w:w="2120" w:type="dxa"/>
            <w:hideMark/>
          </w:tcPr>
          <w:p w14:paraId="79679FAB" w14:textId="09A4471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hideMark/>
          </w:tcPr>
          <w:p w14:paraId="17656054" w14:textId="5A11B71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hideMark/>
          </w:tcPr>
          <w:p w14:paraId="272D3E13" w14:textId="5DCB0ECE"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Burdekin Delta</w:t>
            </w:r>
          </w:p>
        </w:tc>
        <w:tc>
          <w:tcPr>
            <w:tcW w:w="4640" w:type="dxa"/>
            <w:hideMark/>
          </w:tcPr>
          <w:p w14:paraId="0DB3244A" w14:textId="7B3E64E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The legacy and drivers of groundwater nutrients and pesticides in an agriculturally impacted Quaternary aquifer system</w:t>
            </w:r>
          </w:p>
        </w:tc>
      </w:tr>
      <w:tr w:rsidR="009A7B9A" w:rsidRPr="005F161D" w14:paraId="049EB51D"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5B1B73E7" w14:textId="105327BC" w:rsidR="00B14D73" w:rsidRPr="002C231F" w:rsidRDefault="005A7666" w:rsidP="002C231F">
            <w:pPr>
              <w:jc w:val="center"/>
              <w:rPr>
                <w:rFonts w:cs="Arial"/>
                <w:color w:val="000000"/>
                <w:sz w:val="20"/>
              </w:rPr>
            </w:pPr>
            <w:r w:rsidRPr="005A7666">
              <w:rPr>
                <w:rFonts w:cs="Arial"/>
                <w:sz w:val="20"/>
                <w:vertAlign w:val="superscript"/>
              </w:rPr>
              <w:t>63</w:t>
            </w:r>
          </w:p>
        </w:tc>
        <w:tc>
          <w:tcPr>
            <w:tcW w:w="3200" w:type="dxa"/>
            <w:noWrap/>
          </w:tcPr>
          <w:p w14:paraId="473A3FF5" w14:textId="23B2C379"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Skrzypek et al. (2023)</w:t>
            </w:r>
          </w:p>
        </w:tc>
        <w:tc>
          <w:tcPr>
            <w:tcW w:w="2120" w:type="dxa"/>
          </w:tcPr>
          <w:p w14:paraId="20B46815" w14:textId="1C01B7A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J </w:t>
            </w:r>
            <w:proofErr w:type="spellStart"/>
            <w:r w:rsidRPr="00907BE7">
              <w:rPr>
                <w:rFonts w:cs="Arial"/>
                <w:color w:val="000000"/>
                <w:sz w:val="20"/>
              </w:rPr>
              <w:t>Hydrol</w:t>
            </w:r>
            <w:proofErr w:type="spellEnd"/>
            <w:r w:rsidRPr="00907BE7">
              <w:rPr>
                <w:rFonts w:cs="Arial"/>
                <w:color w:val="000000"/>
                <w:sz w:val="20"/>
              </w:rPr>
              <w:t xml:space="preserve"> Reg Stud</w:t>
            </w:r>
          </w:p>
        </w:tc>
        <w:tc>
          <w:tcPr>
            <w:tcW w:w="1039" w:type="dxa"/>
            <w:noWrap/>
          </w:tcPr>
          <w:p w14:paraId="4409AB72" w14:textId="08F01C9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WA</w:t>
            </w:r>
          </w:p>
        </w:tc>
        <w:tc>
          <w:tcPr>
            <w:tcW w:w="1940" w:type="dxa"/>
          </w:tcPr>
          <w:p w14:paraId="420308A2" w14:textId="7E85EE9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Pilbara</w:t>
            </w:r>
          </w:p>
        </w:tc>
        <w:tc>
          <w:tcPr>
            <w:tcW w:w="4640" w:type="dxa"/>
          </w:tcPr>
          <w:p w14:paraId="096F0EFD" w14:textId="7320502E"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Groundwater recharge through internally drained basins in a semiarid climate, Western Australia</w:t>
            </w:r>
          </w:p>
        </w:tc>
      </w:tr>
      <w:tr w:rsidR="009A7B9A" w:rsidRPr="005F161D" w14:paraId="7F38FAC1" w14:textId="77777777" w:rsidTr="002448CA">
        <w:trPr>
          <w:trHeight w:val="580"/>
        </w:trPr>
        <w:tc>
          <w:tcPr>
            <w:cnfStyle w:val="001000000000" w:firstRow="0" w:lastRow="0" w:firstColumn="1" w:lastColumn="0" w:oddVBand="0" w:evenVBand="0" w:oddHBand="0" w:evenHBand="0" w:firstRowFirstColumn="0" w:firstRowLastColumn="0" w:lastRowFirstColumn="0" w:lastRowLastColumn="0"/>
            <w:tcW w:w="700" w:type="dxa"/>
            <w:noWrap/>
          </w:tcPr>
          <w:p w14:paraId="5796CBA9" w14:textId="31D61F28" w:rsidR="00B14D73" w:rsidRPr="002C231F" w:rsidRDefault="00F64C8B" w:rsidP="002C231F">
            <w:pPr>
              <w:jc w:val="center"/>
              <w:rPr>
                <w:rFonts w:cs="Arial"/>
                <w:color w:val="000000"/>
                <w:sz w:val="20"/>
              </w:rPr>
            </w:pPr>
            <w:r w:rsidRPr="00F64C8B">
              <w:rPr>
                <w:rFonts w:cs="Arial"/>
                <w:sz w:val="20"/>
                <w:vertAlign w:val="superscript"/>
              </w:rPr>
              <w:t>64</w:t>
            </w:r>
          </w:p>
        </w:tc>
        <w:tc>
          <w:tcPr>
            <w:tcW w:w="3200" w:type="dxa"/>
            <w:noWrap/>
          </w:tcPr>
          <w:p w14:paraId="4F100017" w14:textId="39B0EFD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Taylor et al. (2018)</w:t>
            </w:r>
          </w:p>
        </w:tc>
        <w:tc>
          <w:tcPr>
            <w:tcW w:w="2120" w:type="dxa"/>
          </w:tcPr>
          <w:p w14:paraId="33E04933" w14:textId="53ED0F8C"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tcPr>
          <w:p w14:paraId="3E64F102" w14:textId="487A59E8"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Qld</w:t>
            </w:r>
          </w:p>
        </w:tc>
        <w:tc>
          <w:tcPr>
            <w:tcW w:w="1940" w:type="dxa"/>
          </w:tcPr>
          <w:p w14:paraId="417EBE81" w14:textId="18D7F04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Flinders River, Qld</w:t>
            </w:r>
          </w:p>
        </w:tc>
        <w:tc>
          <w:tcPr>
            <w:tcW w:w="4640" w:type="dxa"/>
          </w:tcPr>
          <w:p w14:paraId="365F4078" w14:textId="2F2982D9"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Characterising alluvial aquifers in a remote ephemeral catchment (Flinders River, Queensland) using a direct push tracer approach</w:t>
            </w:r>
          </w:p>
        </w:tc>
      </w:tr>
      <w:tr w:rsidR="009A7B9A" w:rsidRPr="005F161D" w14:paraId="14BC3DB4"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7F8C309" w14:textId="2F3E5DAB" w:rsidR="00B14D73" w:rsidRPr="002C231F" w:rsidRDefault="00A14D54" w:rsidP="002C231F">
            <w:pPr>
              <w:jc w:val="center"/>
              <w:rPr>
                <w:rFonts w:cs="Arial"/>
                <w:color w:val="000000"/>
                <w:sz w:val="20"/>
              </w:rPr>
            </w:pPr>
            <w:r w:rsidRPr="00A14D54">
              <w:rPr>
                <w:rFonts w:cs="Arial"/>
                <w:sz w:val="20"/>
                <w:vertAlign w:val="superscript"/>
              </w:rPr>
              <w:t>65</w:t>
            </w:r>
          </w:p>
        </w:tc>
        <w:tc>
          <w:tcPr>
            <w:tcW w:w="3200" w:type="dxa"/>
            <w:noWrap/>
          </w:tcPr>
          <w:p w14:paraId="2D5F131A" w14:textId="668D9B5E"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Taylor et al. (2023)</w:t>
            </w:r>
          </w:p>
        </w:tc>
        <w:tc>
          <w:tcPr>
            <w:tcW w:w="2120" w:type="dxa"/>
          </w:tcPr>
          <w:p w14:paraId="336C9653" w14:textId="618E4B80"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tcPr>
          <w:p w14:paraId="67CFCBBC" w14:textId="2AF34BFC"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tcPr>
          <w:p w14:paraId="29C7E67B" w14:textId="52B6DE4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Roper Catchment NT</w:t>
            </w:r>
          </w:p>
        </w:tc>
        <w:tc>
          <w:tcPr>
            <w:tcW w:w="4640" w:type="dxa"/>
          </w:tcPr>
          <w:p w14:paraId="74E1C7D5" w14:textId="4C79706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Hydrogeological assessment of the Cambrian Limestone Aquifer and Dook Creek Aquifer in the Roper catchment, Northern Territory</w:t>
            </w:r>
          </w:p>
        </w:tc>
      </w:tr>
      <w:tr w:rsidR="009A7B9A" w:rsidRPr="005F161D" w14:paraId="1AB34EA3"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1497D7AB" w14:textId="4AE3FC8F" w:rsidR="00B14D73" w:rsidRPr="002C231F" w:rsidRDefault="00EA4763" w:rsidP="002C231F">
            <w:pPr>
              <w:jc w:val="center"/>
              <w:rPr>
                <w:rFonts w:cs="Arial"/>
                <w:color w:val="000000"/>
                <w:sz w:val="20"/>
              </w:rPr>
            </w:pPr>
            <w:r w:rsidRPr="00EA4763">
              <w:rPr>
                <w:rFonts w:cs="Arial"/>
                <w:sz w:val="20"/>
                <w:vertAlign w:val="superscript"/>
              </w:rPr>
              <w:t>66</w:t>
            </w:r>
          </w:p>
        </w:tc>
        <w:tc>
          <w:tcPr>
            <w:tcW w:w="3200" w:type="dxa"/>
            <w:noWrap/>
          </w:tcPr>
          <w:p w14:paraId="20397438" w14:textId="69DA04DE"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Taylor et al. (2024)</w:t>
            </w:r>
          </w:p>
        </w:tc>
        <w:tc>
          <w:tcPr>
            <w:tcW w:w="2120" w:type="dxa"/>
          </w:tcPr>
          <w:p w14:paraId="572C4B8E" w14:textId="6BF9B69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tcPr>
          <w:p w14:paraId="595B5DCD" w14:textId="65DF18B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tcPr>
          <w:p w14:paraId="212A6BCC" w14:textId="3AC5395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Victoria Catchment, NT</w:t>
            </w:r>
          </w:p>
        </w:tc>
        <w:tc>
          <w:tcPr>
            <w:tcW w:w="4640" w:type="dxa"/>
          </w:tcPr>
          <w:p w14:paraId="73764148" w14:textId="3B34C1C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Characterising groundwater resources of the </w:t>
            </w:r>
            <w:proofErr w:type="spellStart"/>
            <w:r w:rsidRPr="00907BE7">
              <w:rPr>
                <w:rFonts w:cs="Arial"/>
                <w:color w:val="000000"/>
                <w:sz w:val="20"/>
              </w:rPr>
              <w:t>Montejinni</w:t>
            </w:r>
            <w:proofErr w:type="spellEnd"/>
            <w:r w:rsidRPr="00907BE7">
              <w:rPr>
                <w:rFonts w:cs="Arial"/>
                <w:color w:val="000000"/>
                <w:sz w:val="20"/>
              </w:rPr>
              <w:t xml:space="preserve"> Limestone and Skull Creek Formation in the Victoria catchment, Northern Territory. A technical report from the CSIRO Victoria River </w:t>
            </w:r>
            <w:r w:rsidRPr="00907BE7">
              <w:rPr>
                <w:rFonts w:cs="Arial"/>
                <w:color w:val="000000"/>
                <w:sz w:val="20"/>
              </w:rPr>
              <w:lastRenderedPageBreak/>
              <w:t>Water Resource Assessment for the National Water Grid.</w:t>
            </w:r>
          </w:p>
        </w:tc>
      </w:tr>
      <w:tr w:rsidR="009A7B9A" w:rsidRPr="005F161D" w14:paraId="48DDDFEB" w14:textId="77777777" w:rsidTr="002448CA">
        <w:trPr>
          <w:trHeight w:val="1740"/>
        </w:trPr>
        <w:tc>
          <w:tcPr>
            <w:cnfStyle w:val="001000000000" w:firstRow="0" w:lastRow="0" w:firstColumn="1" w:lastColumn="0" w:oddVBand="0" w:evenVBand="0" w:oddHBand="0" w:evenHBand="0" w:firstRowFirstColumn="0" w:firstRowLastColumn="0" w:lastRowFirstColumn="0" w:lastRowLastColumn="0"/>
            <w:tcW w:w="700" w:type="dxa"/>
            <w:noWrap/>
          </w:tcPr>
          <w:p w14:paraId="6BDC70D8" w14:textId="7D786CAF" w:rsidR="00B14D73" w:rsidRPr="002C231F" w:rsidRDefault="00EA4763" w:rsidP="002C231F">
            <w:pPr>
              <w:jc w:val="center"/>
              <w:rPr>
                <w:rFonts w:cs="Arial"/>
                <w:color w:val="000000"/>
                <w:sz w:val="20"/>
              </w:rPr>
            </w:pPr>
            <w:r w:rsidRPr="00EA4763">
              <w:rPr>
                <w:rFonts w:cs="Arial"/>
                <w:sz w:val="20"/>
                <w:vertAlign w:val="superscript"/>
              </w:rPr>
              <w:lastRenderedPageBreak/>
              <w:t>67</w:t>
            </w:r>
          </w:p>
        </w:tc>
        <w:tc>
          <w:tcPr>
            <w:tcW w:w="3200" w:type="dxa"/>
            <w:noWrap/>
          </w:tcPr>
          <w:p w14:paraId="02E20010" w14:textId="71FAB19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sz w:val="20"/>
              </w:rPr>
              <w:t>Turnadge</w:t>
            </w:r>
            <w:proofErr w:type="spellEnd"/>
            <w:r w:rsidRPr="00907BE7">
              <w:rPr>
                <w:rFonts w:cs="Arial"/>
                <w:sz w:val="20"/>
              </w:rPr>
              <w:t xml:space="preserve"> et al. (2018)</w:t>
            </w:r>
          </w:p>
        </w:tc>
        <w:tc>
          <w:tcPr>
            <w:tcW w:w="2120" w:type="dxa"/>
          </w:tcPr>
          <w:p w14:paraId="33292760" w14:textId="397C57A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Report</w:t>
            </w:r>
          </w:p>
        </w:tc>
        <w:tc>
          <w:tcPr>
            <w:tcW w:w="1039" w:type="dxa"/>
            <w:noWrap/>
          </w:tcPr>
          <w:p w14:paraId="4CD8653E" w14:textId="723AB0E6"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NT</w:t>
            </w:r>
          </w:p>
        </w:tc>
        <w:tc>
          <w:tcPr>
            <w:tcW w:w="1940" w:type="dxa"/>
          </w:tcPr>
          <w:p w14:paraId="24B0E46D" w14:textId="50A15998"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Mary-Wildman River region</w:t>
            </w:r>
          </w:p>
        </w:tc>
        <w:tc>
          <w:tcPr>
            <w:tcW w:w="4640" w:type="dxa"/>
          </w:tcPr>
          <w:p w14:paraId="3137E877" w14:textId="58F707B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Hydrogeological characterisation of the Mary–Wildman rivers area, Northern Territory. A technical report to the Australian Government from the CSIRO Northern Australia Water Resource Assessment, part of the National Water Infrastructure Development Fund: Water Resource Assessments</w:t>
            </w:r>
          </w:p>
        </w:tc>
      </w:tr>
      <w:tr w:rsidR="009A7B9A" w:rsidRPr="005F161D" w14:paraId="7CE1FDD8" w14:textId="77777777" w:rsidTr="002448CA">
        <w:trPr>
          <w:trHeight w:val="2030"/>
        </w:trPr>
        <w:tc>
          <w:tcPr>
            <w:cnfStyle w:val="001000000000" w:firstRow="0" w:lastRow="0" w:firstColumn="1" w:lastColumn="0" w:oddVBand="0" w:evenVBand="0" w:oddHBand="0" w:evenHBand="0" w:firstRowFirstColumn="0" w:firstRowLastColumn="0" w:lastRowFirstColumn="0" w:lastRowLastColumn="0"/>
            <w:tcW w:w="700" w:type="dxa"/>
            <w:noWrap/>
          </w:tcPr>
          <w:p w14:paraId="02E4072D" w14:textId="2F761AEC" w:rsidR="00B14D73" w:rsidRPr="002C231F" w:rsidRDefault="00251A14" w:rsidP="002C231F">
            <w:pPr>
              <w:jc w:val="center"/>
              <w:rPr>
                <w:rFonts w:cs="Arial"/>
                <w:color w:val="000000"/>
                <w:sz w:val="20"/>
              </w:rPr>
            </w:pPr>
            <w:r w:rsidRPr="00251A14">
              <w:rPr>
                <w:rFonts w:cs="Arial"/>
                <w:sz w:val="20"/>
                <w:vertAlign w:val="superscript"/>
              </w:rPr>
              <w:t>68</w:t>
            </w:r>
          </w:p>
        </w:tc>
        <w:tc>
          <w:tcPr>
            <w:tcW w:w="3200" w:type="dxa"/>
            <w:noWrap/>
          </w:tcPr>
          <w:p w14:paraId="00F403CC" w14:textId="17F0D09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Tweed et al. (2011)</w:t>
            </w:r>
          </w:p>
        </w:tc>
        <w:tc>
          <w:tcPr>
            <w:tcW w:w="2120" w:type="dxa"/>
          </w:tcPr>
          <w:p w14:paraId="2C42504D" w14:textId="0C7F6FD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proofErr w:type="spellStart"/>
            <w:r w:rsidRPr="00907BE7">
              <w:rPr>
                <w:rFonts w:cs="Arial"/>
                <w:color w:val="000000"/>
                <w:sz w:val="20"/>
              </w:rPr>
              <w:t>JoH</w:t>
            </w:r>
            <w:proofErr w:type="spellEnd"/>
          </w:p>
        </w:tc>
        <w:tc>
          <w:tcPr>
            <w:tcW w:w="1039" w:type="dxa"/>
            <w:noWrap/>
          </w:tcPr>
          <w:p w14:paraId="070F6460" w14:textId="0FF2B1C0"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SA</w:t>
            </w:r>
          </w:p>
        </w:tc>
        <w:tc>
          <w:tcPr>
            <w:tcW w:w="1940" w:type="dxa"/>
          </w:tcPr>
          <w:p w14:paraId="748A655D" w14:textId="6C99C506"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Lake Eyre Basin, SA</w:t>
            </w:r>
          </w:p>
        </w:tc>
        <w:tc>
          <w:tcPr>
            <w:tcW w:w="4640" w:type="dxa"/>
          </w:tcPr>
          <w:p w14:paraId="7C5FA8F7" w14:textId="622872C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Arid zone groundwater recharge and salinisation processes; an example from the Lake Eyre Basin, Australia</w:t>
            </w:r>
          </w:p>
        </w:tc>
      </w:tr>
      <w:tr w:rsidR="009A7B9A" w:rsidRPr="005F161D" w14:paraId="2AEB384B"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04D439E3" w14:textId="0DDC6913" w:rsidR="00B14D73" w:rsidRPr="002C231F" w:rsidRDefault="00251A14" w:rsidP="002C231F">
            <w:pPr>
              <w:jc w:val="center"/>
              <w:rPr>
                <w:rFonts w:cs="Arial"/>
                <w:color w:val="000000"/>
                <w:sz w:val="20"/>
              </w:rPr>
            </w:pPr>
            <w:r w:rsidRPr="00251A14">
              <w:rPr>
                <w:rFonts w:cs="Arial"/>
                <w:sz w:val="20"/>
                <w:vertAlign w:val="superscript"/>
              </w:rPr>
              <w:t>69</w:t>
            </w:r>
          </w:p>
        </w:tc>
        <w:tc>
          <w:tcPr>
            <w:tcW w:w="3200" w:type="dxa"/>
            <w:noWrap/>
          </w:tcPr>
          <w:p w14:paraId="5CBD7B07" w14:textId="44C96450"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Unland et al. (2014)</w:t>
            </w:r>
          </w:p>
        </w:tc>
        <w:tc>
          <w:tcPr>
            <w:tcW w:w="2120" w:type="dxa"/>
          </w:tcPr>
          <w:p w14:paraId="6C2592E8" w14:textId="7D1A273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tcPr>
          <w:p w14:paraId="7881C68A" w14:textId="6F5FD7E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tcPr>
          <w:p w14:paraId="25AA8A81" w14:textId="4AEB82A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Tambo River, Vic</w:t>
            </w:r>
          </w:p>
        </w:tc>
        <w:tc>
          <w:tcPr>
            <w:tcW w:w="4640" w:type="dxa"/>
          </w:tcPr>
          <w:p w14:paraId="1A903FC5" w14:textId="4801101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 xml:space="preserve">Residence times and mixing of water in </w:t>
            </w:r>
            <w:proofErr w:type="gramStart"/>
            <w:r w:rsidRPr="00907BE7">
              <w:rPr>
                <w:rFonts w:cs="Arial"/>
                <w:color w:val="000000"/>
                <w:sz w:val="20"/>
              </w:rPr>
              <w:t>river banks</w:t>
            </w:r>
            <w:proofErr w:type="gramEnd"/>
            <w:r w:rsidRPr="00907BE7">
              <w:rPr>
                <w:rFonts w:cs="Arial"/>
                <w:color w:val="000000"/>
                <w:sz w:val="20"/>
              </w:rPr>
              <w:t>: implications for recharge and groundwater–surface water exchange</w:t>
            </w:r>
          </w:p>
        </w:tc>
      </w:tr>
      <w:tr w:rsidR="009A7B9A" w:rsidRPr="005F161D" w14:paraId="3F768752"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1CDB52EA" w14:textId="38E59754" w:rsidR="00B14D73" w:rsidRPr="002C231F" w:rsidRDefault="009A7B9A" w:rsidP="002C231F">
            <w:pPr>
              <w:jc w:val="center"/>
              <w:rPr>
                <w:rFonts w:cs="Arial"/>
                <w:color w:val="000000"/>
                <w:sz w:val="20"/>
              </w:rPr>
            </w:pPr>
            <w:r w:rsidRPr="009A7B9A">
              <w:rPr>
                <w:rFonts w:cs="Arial"/>
                <w:sz w:val="20"/>
                <w:vertAlign w:val="superscript"/>
              </w:rPr>
              <w:t>70</w:t>
            </w:r>
          </w:p>
        </w:tc>
        <w:tc>
          <w:tcPr>
            <w:tcW w:w="3200" w:type="dxa"/>
            <w:noWrap/>
          </w:tcPr>
          <w:p w14:paraId="2508A14B" w14:textId="6BD456F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Young et al. (2004)</w:t>
            </w:r>
          </w:p>
        </w:tc>
        <w:tc>
          <w:tcPr>
            <w:tcW w:w="2120" w:type="dxa"/>
          </w:tcPr>
          <w:p w14:paraId="57207C42" w14:textId="4C193C8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Aust. J. Exp. Agri.</w:t>
            </w:r>
          </w:p>
        </w:tc>
        <w:tc>
          <w:tcPr>
            <w:tcW w:w="1039" w:type="dxa"/>
            <w:noWrap/>
          </w:tcPr>
          <w:p w14:paraId="144BCACB" w14:textId="7F3448E1"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NSW</w:t>
            </w:r>
          </w:p>
        </w:tc>
        <w:tc>
          <w:tcPr>
            <w:tcW w:w="1940" w:type="dxa"/>
          </w:tcPr>
          <w:p w14:paraId="3AAF86EB" w14:textId="13DCDC46"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Liverpool Plains, NSW</w:t>
            </w:r>
          </w:p>
        </w:tc>
        <w:tc>
          <w:tcPr>
            <w:tcW w:w="4640" w:type="dxa"/>
          </w:tcPr>
          <w:p w14:paraId="7AD7AF8C" w14:textId="1AFB18B6"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If long fallow cropping is leaky then shallow groundwaters on the Liverpool Plains should be of recent origin</w:t>
            </w:r>
          </w:p>
        </w:tc>
      </w:tr>
      <w:tr w:rsidR="009A7B9A" w:rsidRPr="005F161D" w14:paraId="5412B9CB"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41321933" w14:textId="50955A35" w:rsidR="00B14D73" w:rsidRPr="002C231F" w:rsidRDefault="009A7B9A" w:rsidP="002C231F">
            <w:pPr>
              <w:jc w:val="center"/>
              <w:rPr>
                <w:rFonts w:cs="Arial"/>
                <w:color w:val="000000"/>
                <w:sz w:val="20"/>
              </w:rPr>
            </w:pPr>
            <w:r w:rsidRPr="009A7B9A">
              <w:rPr>
                <w:rFonts w:cs="Arial"/>
                <w:sz w:val="20"/>
                <w:vertAlign w:val="superscript"/>
              </w:rPr>
              <w:t>71</w:t>
            </w:r>
          </w:p>
        </w:tc>
        <w:tc>
          <w:tcPr>
            <w:tcW w:w="3200" w:type="dxa"/>
            <w:noWrap/>
          </w:tcPr>
          <w:p w14:paraId="39FD8D26" w14:textId="2DEFC93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Zhou and Cartwright (2021)</w:t>
            </w:r>
          </w:p>
        </w:tc>
        <w:tc>
          <w:tcPr>
            <w:tcW w:w="2120" w:type="dxa"/>
          </w:tcPr>
          <w:p w14:paraId="4F1CB98E" w14:textId="63065D2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tcPr>
          <w:p w14:paraId="1C0752C2" w14:textId="063080C8"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tcPr>
          <w:p w14:paraId="5FFE8B9B" w14:textId="0DC9237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Upper Wimmera River, Vic</w:t>
            </w:r>
          </w:p>
        </w:tc>
        <w:tc>
          <w:tcPr>
            <w:tcW w:w="4640" w:type="dxa"/>
          </w:tcPr>
          <w:p w14:paraId="433E9CD0" w14:textId="78617506"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Using geochemistry to identify and quantify the sources, distribution, and fluxes of baseflow to an intermittent river impacted by climate change: The upper Wimmera River, southeast Australia</w:t>
            </w:r>
          </w:p>
        </w:tc>
      </w:tr>
      <w:tr w:rsidR="009A7B9A" w:rsidRPr="005F161D" w14:paraId="1434029D" w14:textId="77777777" w:rsidTr="002448CA">
        <w:trPr>
          <w:trHeight w:val="1160"/>
        </w:trPr>
        <w:tc>
          <w:tcPr>
            <w:cnfStyle w:val="001000000000" w:firstRow="0" w:lastRow="0" w:firstColumn="1" w:lastColumn="0" w:oddVBand="0" w:evenVBand="0" w:oddHBand="0" w:evenHBand="0" w:firstRowFirstColumn="0" w:firstRowLastColumn="0" w:lastRowFirstColumn="0" w:lastRowLastColumn="0"/>
            <w:tcW w:w="700" w:type="dxa"/>
            <w:noWrap/>
          </w:tcPr>
          <w:p w14:paraId="6D6E7F9A" w14:textId="7D8D080D" w:rsidR="00B14D73" w:rsidRPr="002C231F" w:rsidRDefault="009A7B9A" w:rsidP="002C231F">
            <w:pPr>
              <w:jc w:val="center"/>
              <w:rPr>
                <w:rFonts w:cs="Arial"/>
                <w:color w:val="000000"/>
                <w:sz w:val="20"/>
              </w:rPr>
            </w:pPr>
            <w:r w:rsidRPr="009A7B9A">
              <w:rPr>
                <w:rFonts w:cs="Arial"/>
                <w:sz w:val="20"/>
                <w:vertAlign w:val="superscript"/>
              </w:rPr>
              <w:t>72</w:t>
            </w:r>
          </w:p>
        </w:tc>
        <w:tc>
          <w:tcPr>
            <w:tcW w:w="3200" w:type="dxa"/>
            <w:noWrap/>
          </w:tcPr>
          <w:p w14:paraId="43223580" w14:textId="4DD35240"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Zhou et al. (2022)</w:t>
            </w:r>
          </w:p>
        </w:tc>
        <w:tc>
          <w:tcPr>
            <w:tcW w:w="2120" w:type="dxa"/>
          </w:tcPr>
          <w:p w14:paraId="126B4166" w14:textId="3F0750D2"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HESS</w:t>
            </w:r>
          </w:p>
        </w:tc>
        <w:tc>
          <w:tcPr>
            <w:tcW w:w="1039" w:type="dxa"/>
            <w:noWrap/>
          </w:tcPr>
          <w:p w14:paraId="37B8ADFD" w14:textId="16B44D87"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tcPr>
          <w:p w14:paraId="42F784C6" w14:textId="1E0EE13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Wimmera River region</w:t>
            </w:r>
          </w:p>
        </w:tc>
        <w:tc>
          <w:tcPr>
            <w:tcW w:w="4640" w:type="dxa"/>
          </w:tcPr>
          <w:p w14:paraId="2CAD6CCF" w14:textId="3BE335DA"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Sources and mean transit times of stream water in an intermittent river system: the upper Wimmera River, southeast Australia</w:t>
            </w:r>
          </w:p>
        </w:tc>
      </w:tr>
      <w:tr w:rsidR="009A7B9A" w:rsidRPr="005F161D" w14:paraId="0DE1900F" w14:textId="77777777" w:rsidTr="002448CA">
        <w:trPr>
          <w:trHeight w:val="870"/>
        </w:trPr>
        <w:tc>
          <w:tcPr>
            <w:cnfStyle w:val="001000000000" w:firstRow="0" w:lastRow="0" w:firstColumn="1" w:lastColumn="0" w:oddVBand="0" w:evenVBand="0" w:oddHBand="0" w:evenHBand="0" w:firstRowFirstColumn="0" w:firstRowLastColumn="0" w:lastRowFirstColumn="0" w:lastRowLastColumn="0"/>
            <w:tcW w:w="700" w:type="dxa"/>
            <w:noWrap/>
          </w:tcPr>
          <w:p w14:paraId="2A550A77" w14:textId="597ACFBF" w:rsidR="00B14D73" w:rsidRPr="002C231F" w:rsidRDefault="005509E6" w:rsidP="002C231F">
            <w:pPr>
              <w:jc w:val="center"/>
              <w:rPr>
                <w:rFonts w:cs="Arial"/>
                <w:color w:val="000000"/>
                <w:sz w:val="20"/>
              </w:rPr>
            </w:pPr>
            <w:r w:rsidRPr="005509E6">
              <w:rPr>
                <w:rFonts w:cs="Arial"/>
                <w:sz w:val="20"/>
                <w:vertAlign w:val="superscript"/>
              </w:rPr>
              <w:lastRenderedPageBreak/>
              <w:t>73</w:t>
            </w:r>
          </w:p>
        </w:tc>
        <w:tc>
          <w:tcPr>
            <w:tcW w:w="3200" w:type="dxa"/>
            <w:noWrap/>
          </w:tcPr>
          <w:p w14:paraId="1B7F515F" w14:textId="1695C67D"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sz w:val="20"/>
              </w:rPr>
              <w:t>Zhou et al. (2024)</w:t>
            </w:r>
          </w:p>
        </w:tc>
        <w:tc>
          <w:tcPr>
            <w:tcW w:w="2120" w:type="dxa"/>
          </w:tcPr>
          <w:p w14:paraId="7E6170B1" w14:textId="0AEC582B"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STOTEN</w:t>
            </w:r>
          </w:p>
        </w:tc>
        <w:tc>
          <w:tcPr>
            <w:tcW w:w="1039" w:type="dxa"/>
            <w:noWrap/>
          </w:tcPr>
          <w:p w14:paraId="7B2D2591" w14:textId="27FF2A49"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Vic</w:t>
            </w:r>
          </w:p>
        </w:tc>
        <w:tc>
          <w:tcPr>
            <w:tcW w:w="1940" w:type="dxa"/>
          </w:tcPr>
          <w:p w14:paraId="0E0721D7" w14:textId="030602FF"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Avoca River</w:t>
            </w:r>
          </w:p>
        </w:tc>
        <w:tc>
          <w:tcPr>
            <w:tcW w:w="4640" w:type="dxa"/>
          </w:tcPr>
          <w:p w14:paraId="42A9F9D1" w14:textId="18ADA743" w:rsidR="00B14D73" w:rsidRPr="00907BE7" w:rsidRDefault="00B14D73" w:rsidP="00B14D73">
            <w:pPr>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907BE7">
              <w:rPr>
                <w:rFonts w:cs="Arial"/>
                <w:color w:val="000000"/>
                <w:sz w:val="20"/>
              </w:rPr>
              <w:t>Integrating major ion geochemistry, stable isotopes (18O, 2H) and radioactive isotopes (222Rn, 14C, 36Cl, 3H) to understand the interaction between catchment waters and an intermittent river</w:t>
            </w:r>
          </w:p>
        </w:tc>
      </w:tr>
    </w:tbl>
    <w:p w14:paraId="38FCDE7F" w14:textId="77777777" w:rsidR="003A233B" w:rsidRPr="005F161D" w:rsidRDefault="003A233B" w:rsidP="00A42599">
      <w:pPr>
        <w:rPr>
          <w:rFonts w:cs="Arial"/>
        </w:rPr>
      </w:pPr>
    </w:p>
    <w:p w14:paraId="4FB3165D" w14:textId="0B280CBD" w:rsidR="00A42599" w:rsidRPr="005F161D" w:rsidRDefault="005F161D" w:rsidP="00A42599">
      <w:pPr>
        <w:pStyle w:val="Caption"/>
        <w:rPr>
          <w:rFonts w:ascii="Arial" w:hAnsi="Arial" w:cs="Arial"/>
        </w:rPr>
      </w:pPr>
      <w:r>
        <w:rPr>
          <w:rFonts w:ascii="Arial" w:hAnsi="Arial" w:cs="Arial"/>
        </w:rPr>
        <w:t>Table S2</w:t>
      </w:r>
      <w:r w:rsidR="00A42599" w:rsidRPr="005F161D">
        <w:rPr>
          <w:rFonts w:ascii="Arial" w:hAnsi="Arial" w:cs="Arial"/>
        </w:rPr>
        <w:t>. Locations and metadata for the 15 observation sites where composite monthly rainfall samples were collected from Bureau of Meteorology (BoM) stations to measure tritium concentrations. Data are adapted from</w:t>
      </w:r>
      <w:r w:rsidR="00026E4A">
        <w:rPr>
          <w:rFonts w:ascii="Arial" w:hAnsi="Arial" w:cs="Arial"/>
        </w:rPr>
        <w:t xml:space="preserve"> Tadros</w:t>
      </w:r>
      <w:r w:rsidR="00B927B6">
        <w:rPr>
          <w:rFonts w:ascii="Arial" w:hAnsi="Arial" w:cs="Arial"/>
        </w:rPr>
        <w:t xml:space="preserve"> et al.</w:t>
      </w:r>
      <w:r w:rsidR="00B927B6" w:rsidRPr="00B927B6">
        <w:rPr>
          <w:rFonts w:ascii="Arial" w:hAnsi="Arial" w:cs="Arial"/>
          <w:vertAlign w:val="superscript"/>
        </w:rPr>
        <w:t>74</w:t>
      </w:r>
      <w:r w:rsidR="00A42599" w:rsidRPr="005F161D">
        <w:rPr>
          <w:rFonts w:ascii="Arial" w:hAnsi="Arial" w:cs="Arial"/>
        </w:rPr>
        <w:t>.</w:t>
      </w:r>
    </w:p>
    <w:tbl>
      <w:tblPr>
        <w:tblW w:w="1389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7"/>
        <w:gridCol w:w="3062"/>
        <w:gridCol w:w="1016"/>
        <w:gridCol w:w="1224"/>
        <w:gridCol w:w="1224"/>
        <w:gridCol w:w="2605"/>
        <w:gridCol w:w="2904"/>
      </w:tblGrid>
      <w:tr w:rsidR="00A42599" w:rsidRPr="005F161D" w14:paraId="52783903" w14:textId="77777777" w:rsidTr="00A42599">
        <w:trPr>
          <w:trHeight w:val="307"/>
        </w:trPr>
        <w:tc>
          <w:tcPr>
            <w:tcW w:w="1857" w:type="dxa"/>
            <w:shd w:val="clear" w:color="auto" w:fill="D8D8D8"/>
            <w:tcMar>
              <w:top w:w="80" w:type="dxa"/>
              <w:left w:w="80" w:type="dxa"/>
              <w:bottom w:w="80" w:type="dxa"/>
              <w:right w:w="80" w:type="dxa"/>
            </w:tcMar>
            <w:hideMark/>
          </w:tcPr>
          <w:p w14:paraId="246DCA79" w14:textId="77777777" w:rsidR="00A42599" w:rsidRPr="005F161D" w:rsidRDefault="00A42599" w:rsidP="00855B92">
            <w:pPr>
              <w:rPr>
                <w:rFonts w:cs="Arial"/>
                <w:b/>
                <w:bCs/>
              </w:rPr>
            </w:pPr>
            <w:r w:rsidRPr="005F161D">
              <w:rPr>
                <w:rFonts w:cs="Arial"/>
                <w:b/>
                <w:bCs/>
              </w:rPr>
              <w:t>Location</w:t>
            </w:r>
          </w:p>
        </w:tc>
        <w:tc>
          <w:tcPr>
            <w:tcW w:w="3062" w:type="dxa"/>
            <w:shd w:val="clear" w:color="auto" w:fill="D8D8D8"/>
            <w:tcMar>
              <w:top w:w="80" w:type="dxa"/>
              <w:left w:w="80" w:type="dxa"/>
              <w:bottom w:w="80" w:type="dxa"/>
              <w:right w:w="80" w:type="dxa"/>
            </w:tcMar>
            <w:hideMark/>
          </w:tcPr>
          <w:p w14:paraId="22FD51E2" w14:textId="77777777" w:rsidR="00A42599" w:rsidRPr="005F161D" w:rsidRDefault="00A42599" w:rsidP="00855B92">
            <w:pPr>
              <w:rPr>
                <w:rFonts w:cs="Arial"/>
                <w:b/>
                <w:bCs/>
              </w:rPr>
            </w:pPr>
            <w:r w:rsidRPr="005F161D">
              <w:rPr>
                <w:rFonts w:cs="Arial"/>
                <w:b/>
                <w:bCs/>
              </w:rPr>
              <w:t>Station (BoM number)</w:t>
            </w:r>
          </w:p>
        </w:tc>
        <w:tc>
          <w:tcPr>
            <w:tcW w:w="1016" w:type="dxa"/>
            <w:shd w:val="clear" w:color="auto" w:fill="D8D8D8"/>
            <w:tcMar>
              <w:top w:w="80" w:type="dxa"/>
              <w:left w:w="80" w:type="dxa"/>
              <w:bottom w:w="80" w:type="dxa"/>
              <w:right w:w="80" w:type="dxa"/>
            </w:tcMar>
            <w:hideMark/>
          </w:tcPr>
          <w:p w14:paraId="6B3B2157" w14:textId="77777777" w:rsidR="00A42599" w:rsidRPr="005F161D" w:rsidRDefault="00A42599" w:rsidP="00855B92">
            <w:pPr>
              <w:rPr>
                <w:rFonts w:cs="Arial"/>
                <w:b/>
                <w:bCs/>
              </w:rPr>
            </w:pPr>
            <w:r w:rsidRPr="005F161D">
              <w:rPr>
                <w:rFonts w:cs="Arial"/>
                <w:b/>
                <w:bCs/>
              </w:rPr>
              <w:t>Latitude</w:t>
            </w:r>
          </w:p>
        </w:tc>
        <w:tc>
          <w:tcPr>
            <w:tcW w:w="1224" w:type="dxa"/>
            <w:shd w:val="clear" w:color="auto" w:fill="D8D8D8"/>
            <w:tcMar>
              <w:top w:w="80" w:type="dxa"/>
              <w:left w:w="80" w:type="dxa"/>
              <w:bottom w:w="80" w:type="dxa"/>
              <w:right w:w="80" w:type="dxa"/>
            </w:tcMar>
            <w:hideMark/>
          </w:tcPr>
          <w:p w14:paraId="567B096E" w14:textId="77777777" w:rsidR="00A42599" w:rsidRPr="005F161D" w:rsidRDefault="00A42599" w:rsidP="00855B92">
            <w:pPr>
              <w:rPr>
                <w:rFonts w:cs="Arial"/>
                <w:b/>
                <w:bCs/>
              </w:rPr>
            </w:pPr>
            <w:r w:rsidRPr="005F161D">
              <w:rPr>
                <w:rFonts w:cs="Arial"/>
                <w:b/>
                <w:bCs/>
              </w:rPr>
              <w:t>Longitude</w:t>
            </w:r>
          </w:p>
        </w:tc>
        <w:tc>
          <w:tcPr>
            <w:tcW w:w="1224" w:type="dxa"/>
            <w:shd w:val="clear" w:color="auto" w:fill="D8D8D8"/>
            <w:tcMar>
              <w:top w:w="80" w:type="dxa"/>
              <w:left w:w="80" w:type="dxa"/>
              <w:bottom w:w="80" w:type="dxa"/>
              <w:right w:w="80" w:type="dxa"/>
            </w:tcMar>
            <w:hideMark/>
          </w:tcPr>
          <w:p w14:paraId="4925A07F" w14:textId="77777777" w:rsidR="00A42599" w:rsidRPr="005F161D" w:rsidRDefault="00A42599" w:rsidP="00855B92">
            <w:pPr>
              <w:rPr>
                <w:rFonts w:cs="Arial"/>
                <w:b/>
                <w:bCs/>
              </w:rPr>
            </w:pPr>
            <w:r w:rsidRPr="005F161D">
              <w:rPr>
                <w:rFonts w:cs="Arial"/>
                <w:b/>
                <w:bCs/>
              </w:rPr>
              <w:t>Altitude (m)</w:t>
            </w:r>
          </w:p>
        </w:tc>
        <w:tc>
          <w:tcPr>
            <w:tcW w:w="2605" w:type="dxa"/>
            <w:shd w:val="clear" w:color="auto" w:fill="D8D8D8"/>
            <w:tcMar>
              <w:top w:w="80" w:type="dxa"/>
              <w:left w:w="80" w:type="dxa"/>
              <w:bottom w:w="80" w:type="dxa"/>
              <w:right w:w="80" w:type="dxa"/>
            </w:tcMar>
            <w:hideMark/>
          </w:tcPr>
          <w:p w14:paraId="438AF251" w14:textId="77777777" w:rsidR="00A42599" w:rsidRPr="005F161D" w:rsidRDefault="00A42599" w:rsidP="00855B92">
            <w:pPr>
              <w:rPr>
                <w:rFonts w:cs="Arial"/>
                <w:b/>
                <w:bCs/>
              </w:rPr>
            </w:pPr>
            <w:r w:rsidRPr="005F161D">
              <w:rPr>
                <w:rFonts w:cs="Arial"/>
                <w:b/>
                <w:bCs/>
              </w:rPr>
              <w:t xml:space="preserve">Temporal Coverage </w:t>
            </w:r>
          </w:p>
        </w:tc>
        <w:tc>
          <w:tcPr>
            <w:tcW w:w="2904" w:type="dxa"/>
            <w:shd w:val="clear" w:color="auto" w:fill="D8D8D8"/>
            <w:tcMar>
              <w:top w:w="80" w:type="dxa"/>
              <w:left w:w="80" w:type="dxa"/>
              <w:bottom w:w="80" w:type="dxa"/>
              <w:right w:w="80" w:type="dxa"/>
            </w:tcMar>
            <w:hideMark/>
          </w:tcPr>
          <w:p w14:paraId="447EE085" w14:textId="77777777" w:rsidR="00A42599" w:rsidRPr="005F161D" w:rsidRDefault="00A42599" w:rsidP="00855B92">
            <w:pPr>
              <w:rPr>
                <w:rFonts w:cs="Arial"/>
                <w:b/>
                <w:bCs/>
              </w:rPr>
            </w:pPr>
            <w:r w:rsidRPr="005F161D">
              <w:rPr>
                <w:rFonts w:cs="Arial"/>
                <w:b/>
                <w:bCs/>
              </w:rPr>
              <w:t>Comments</w:t>
            </w:r>
          </w:p>
        </w:tc>
      </w:tr>
      <w:tr w:rsidR="00A42599" w:rsidRPr="005F161D" w14:paraId="6BAC9575" w14:textId="77777777" w:rsidTr="00A42599">
        <w:tc>
          <w:tcPr>
            <w:tcW w:w="1857" w:type="dxa"/>
            <w:shd w:val="clear" w:color="auto" w:fill="auto"/>
            <w:tcMar>
              <w:top w:w="80" w:type="dxa"/>
              <w:left w:w="80" w:type="dxa"/>
              <w:bottom w:w="80" w:type="dxa"/>
              <w:right w:w="80" w:type="dxa"/>
            </w:tcMar>
            <w:hideMark/>
          </w:tcPr>
          <w:p w14:paraId="69301B1A" w14:textId="77777777" w:rsidR="00A42599" w:rsidRPr="005F161D" w:rsidRDefault="00A42599" w:rsidP="00855B92">
            <w:pPr>
              <w:rPr>
                <w:rFonts w:cs="Arial"/>
              </w:rPr>
            </w:pPr>
            <w:r w:rsidRPr="005F161D">
              <w:rPr>
                <w:rFonts w:cs="Arial"/>
              </w:rPr>
              <w:t>Adelaide (SA)</w:t>
            </w:r>
          </w:p>
        </w:tc>
        <w:tc>
          <w:tcPr>
            <w:tcW w:w="3062" w:type="dxa"/>
            <w:shd w:val="clear" w:color="auto" w:fill="auto"/>
            <w:tcMar>
              <w:top w:w="80" w:type="dxa"/>
              <w:left w:w="80" w:type="dxa"/>
              <w:bottom w:w="80" w:type="dxa"/>
              <w:right w:w="80" w:type="dxa"/>
            </w:tcMar>
            <w:hideMark/>
          </w:tcPr>
          <w:p w14:paraId="758CADAD" w14:textId="77777777" w:rsidR="00A42599" w:rsidRPr="005F161D" w:rsidRDefault="00A42599" w:rsidP="00855B92">
            <w:pPr>
              <w:rPr>
                <w:rFonts w:cs="Arial"/>
              </w:rPr>
            </w:pPr>
            <w:r w:rsidRPr="005F161D">
              <w:rPr>
                <w:rFonts w:cs="Arial"/>
              </w:rPr>
              <w:t>Adelaide Airport (023034)</w:t>
            </w:r>
          </w:p>
        </w:tc>
        <w:tc>
          <w:tcPr>
            <w:tcW w:w="1016" w:type="dxa"/>
            <w:shd w:val="clear" w:color="auto" w:fill="auto"/>
            <w:tcMar>
              <w:top w:w="80" w:type="dxa"/>
              <w:left w:w="80" w:type="dxa"/>
              <w:bottom w:w="80" w:type="dxa"/>
              <w:right w:w="80" w:type="dxa"/>
            </w:tcMar>
            <w:hideMark/>
          </w:tcPr>
          <w:p w14:paraId="30EFC201" w14:textId="77777777" w:rsidR="00A42599" w:rsidRPr="005F161D" w:rsidRDefault="00A42599" w:rsidP="00855B92">
            <w:pPr>
              <w:rPr>
                <w:rFonts w:cs="Arial"/>
              </w:rPr>
            </w:pPr>
            <w:r w:rsidRPr="005F161D">
              <w:rPr>
                <w:rFonts w:cs="Arial"/>
              </w:rPr>
              <w:t xml:space="preserve">-34.95 </w:t>
            </w:r>
          </w:p>
        </w:tc>
        <w:tc>
          <w:tcPr>
            <w:tcW w:w="1224" w:type="dxa"/>
            <w:shd w:val="clear" w:color="auto" w:fill="auto"/>
            <w:tcMar>
              <w:top w:w="80" w:type="dxa"/>
              <w:left w:w="80" w:type="dxa"/>
              <w:bottom w:w="80" w:type="dxa"/>
              <w:right w:w="80" w:type="dxa"/>
            </w:tcMar>
            <w:hideMark/>
          </w:tcPr>
          <w:p w14:paraId="78F27973" w14:textId="77777777" w:rsidR="00A42599" w:rsidRPr="005F161D" w:rsidRDefault="00A42599" w:rsidP="00855B92">
            <w:pPr>
              <w:rPr>
                <w:rFonts w:cs="Arial"/>
              </w:rPr>
            </w:pPr>
            <w:r w:rsidRPr="005F161D">
              <w:rPr>
                <w:rFonts w:cs="Arial"/>
              </w:rPr>
              <w:t xml:space="preserve">138.52 </w:t>
            </w:r>
          </w:p>
        </w:tc>
        <w:tc>
          <w:tcPr>
            <w:tcW w:w="1224" w:type="dxa"/>
            <w:shd w:val="clear" w:color="auto" w:fill="auto"/>
            <w:tcMar>
              <w:top w:w="80" w:type="dxa"/>
              <w:left w:w="80" w:type="dxa"/>
              <w:bottom w:w="80" w:type="dxa"/>
              <w:right w:w="80" w:type="dxa"/>
            </w:tcMar>
            <w:hideMark/>
          </w:tcPr>
          <w:p w14:paraId="092A2FDC" w14:textId="77777777" w:rsidR="00A42599" w:rsidRPr="005F161D" w:rsidRDefault="00A42599" w:rsidP="00855B92">
            <w:pPr>
              <w:rPr>
                <w:rFonts w:cs="Arial"/>
              </w:rPr>
            </w:pPr>
            <w:r w:rsidRPr="005F161D">
              <w:rPr>
                <w:rFonts w:cs="Arial"/>
              </w:rPr>
              <w:t>2</w:t>
            </w:r>
          </w:p>
        </w:tc>
        <w:tc>
          <w:tcPr>
            <w:tcW w:w="2605" w:type="dxa"/>
            <w:shd w:val="clear" w:color="auto" w:fill="auto"/>
            <w:tcMar>
              <w:top w:w="80" w:type="dxa"/>
              <w:left w:w="80" w:type="dxa"/>
              <w:bottom w:w="80" w:type="dxa"/>
              <w:right w:w="80" w:type="dxa"/>
            </w:tcMar>
            <w:hideMark/>
          </w:tcPr>
          <w:p w14:paraId="327AC0CC" w14:textId="77777777" w:rsidR="00A42599" w:rsidRPr="005F161D" w:rsidRDefault="00A42599" w:rsidP="00855B92">
            <w:pPr>
              <w:rPr>
                <w:rFonts w:cs="Arial"/>
              </w:rPr>
            </w:pPr>
            <w:r w:rsidRPr="005F161D">
              <w:rPr>
                <w:rFonts w:cs="Arial"/>
              </w:rPr>
              <w:t>1962–1991, 2005–2007</w:t>
            </w:r>
          </w:p>
        </w:tc>
        <w:tc>
          <w:tcPr>
            <w:tcW w:w="2904" w:type="dxa"/>
            <w:shd w:val="clear" w:color="auto" w:fill="auto"/>
            <w:tcMar>
              <w:top w:w="80" w:type="dxa"/>
              <w:left w:w="80" w:type="dxa"/>
              <w:bottom w:w="80" w:type="dxa"/>
              <w:right w:w="80" w:type="dxa"/>
            </w:tcMar>
            <w:hideMark/>
          </w:tcPr>
          <w:p w14:paraId="2A431C97" w14:textId="77777777" w:rsidR="00A42599" w:rsidRPr="005F161D" w:rsidRDefault="00A42599" w:rsidP="00855B92">
            <w:pPr>
              <w:rPr>
                <w:rFonts w:cs="Arial"/>
              </w:rPr>
            </w:pPr>
            <w:r w:rsidRPr="005F161D">
              <w:rPr>
                <w:rFonts w:cs="Arial"/>
              </w:rPr>
              <w:t> </w:t>
            </w:r>
          </w:p>
        </w:tc>
      </w:tr>
      <w:tr w:rsidR="00A42599" w:rsidRPr="005F161D" w14:paraId="70B154DE" w14:textId="77777777" w:rsidTr="00A42599">
        <w:tc>
          <w:tcPr>
            <w:tcW w:w="1857" w:type="dxa"/>
            <w:shd w:val="clear" w:color="auto" w:fill="auto"/>
            <w:tcMar>
              <w:top w:w="80" w:type="dxa"/>
              <w:left w:w="80" w:type="dxa"/>
              <w:bottom w:w="80" w:type="dxa"/>
              <w:right w:w="80" w:type="dxa"/>
            </w:tcMar>
            <w:hideMark/>
          </w:tcPr>
          <w:p w14:paraId="56EEAA14" w14:textId="77777777" w:rsidR="00A42599" w:rsidRPr="005F161D" w:rsidRDefault="00A42599" w:rsidP="00855B92">
            <w:pPr>
              <w:rPr>
                <w:rFonts w:cs="Arial"/>
              </w:rPr>
            </w:pPr>
            <w:r w:rsidRPr="005F161D">
              <w:rPr>
                <w:rFonts w:cs="Arial"/>
              </w:rPr>
              <w:t>Alice Springs (NT)</w:t>
            </w:r>
          </w:p>
        </w:tc>
        <w:tc>
          <w:tcPr>
            <w:tcW w:w="3062" w:type="dxa"/>
            <w:shd w:val="clear" w:color="auto" w:fill="auto"/>
            <w:tcMar>
              <w:top w:w="80" w:type="dxa"/>
              <w:left w:w="80" w:type="dxa"/>
              <w:bottom w:w="80" w:type="dxa"/>
              <w:right w:w="80" w:type="dxa"/>
            </w:tcMar>
            <w:hideMark/>
          </w:tcPr>
          <w:p w14:paraId="1CFFB5C8" w14:textId="77777777" w:rsidR="00A42599" w:rsidRPr="005F161D" w:rsidRDefault="00A42599" w:rsidP="00855B92">
            <w:pPr>
              <w:rPr>
                <w:rFonts w:cs="Arial"/>
              </w:rPr>
            </w:pPr>
            <w:r w:rsidRPr="005F161D">
              <w:rPr>
                <w:rFonts w:cs="Arial"/>
              </w:rPr>
              <w:t>Alice Springs Airport (015590)</w:t>
            </w:r>
          </w:p>
        </w:tc>
        <w:tc>
          <w:tcPr>
            <w:tcW w:w="1016" w:type="dxa"/>
            <w:shd w:val="clear" w:color="auto" w:fill="auto"/>
            <w:tcMar>
              <w:top w:w="80" w:type="dxa"/>
              <w:left w:w="80" w:type="dxa"/>
              <w:bottom w:w="80" w:type="dxa"/>
              <w:right w:w="80" w:type="dxa"/>
            </w:tcMar>
            <w:hideMark/>
          </w:tcPr>
          <w:p w14:paraId="18ED7E71" w14:textId="77777777" w:rsidR="00A42599" w:rsidRPr="005F161D" w:rsidRDefault="00A42599" w:rsidP="00855B92">
            <w:pPr>
              <w:rPr>
                <w:rFonts w:cs="Arial"/>
              </w:rPr>
            </w:pPr>
            <w:r w:rsidRPr="005F161D">
              <w:rPr>
                <w:rFonts w:cs="Arial"/>
              </w:rPr>
              <w:t>-23.80</w:t>
            </w:r>
          </w:p>
        </w:tc>
        <w:tc>
          <w:tcPr>
            <w:tcW w:w="1224" w:type="dxa"/>
            <w:shd w:val="clear" w:color="auto" w:fill="auto"/>
            <w:tcMar>
              <w:top w:w="80" w:type="dxa"/>
              <w:left w:w="80" w:type="dxa"/>
              <w:bottom w:w="80" w:type="dxa"/>
              <w:right w:w="80" w:type="dxa"/>
            </w:tcMar>
            <w:hideMark/>
          </w:tcPr>
          <w:p w14:paraId="6A188526" w14:textId="77777777" w:rsidR="00A42599" w:rsidRPr="005F161D" w:rsidRDefault="00A42599" w:rsidP="00855B92">
            <w:pPr>
              <w:rPr>
                <w:rFonts w:cs="Arial"/>
              </w:rPr>
            </w:pPr>
            <w:r w:rsidRPr="005F161D">
              <w:rPr>
                <w:rFonts w:cs="Arial"/>
              </w:rPr>
              <w:t>133.89</w:t>
            </w:r>
          </w:p>
        </w:tc>
        <w:tc>
          <w:tcPr>
            <w:tcW w:w="1224" w:type="dxa"/>
            <w:shd w:val="clear" w:color="auto" w:fill="auto"/>
            <w:tcMar>
              <w:top w:w="80" w:type="dxa"/>
              <w:left w:w="80" w:type="dxa"/>
              <w:bottom w:w="80" w:type="dxa"/>
              <w:right w:w="80" w:type="dxa"/>
            </w:tcMar>
            <w:hideMark/>
          </w:tcPr>
          <w:p w14:paraId="49B8E350" w14:textId="77777777" w:rsidR="00A42599" w:rsidRPr="005F161D" w:rsidRDefault="00A42599" w:rsidP="00855B92">
            <w:pPr>
              <w:rPr>
                <w:rFonts w:cs="Arial"/>
              </w:rPr>
            </w:pPr>
            <w:r w:rsidRPr="005F161D">
              <w:rPr>
                <w:rFonts w:cs="Arial"/>
              </w:rPr>
              <w:t>546</w:t>
            </w:r>
          </w:p>
        </w:tc>
        <w:tc>
          <w:tcPr>
            <w:tcW w:w="2605" w:type="dxa"/>
            <w:shd w:val="clear" w:color="auto" w:fill="auto"/>
            <w:tcMar>
              <w:top w:w="80" w:type="dxa"/>
              <w:left w:w="80" w:type="dxa"/>
              <w:bottom w:w="80" w:type="dxa"/>
              <w:right w:w="80" w:type="dxa"/>
            </w:tcMar>
            <w:hideMark/>
          </w:tcPr>
          <w:p w14:paraId="54F54C1A" w14:textId="77777777" w:rsidR="00A42599" w:rsidRPr="005F161D" w:rsidRDefault="00A42599" w:rsidP="00855B92">
            <w:pPr>
              <w:rPr>
                <w:rFonts w:cs="Arial"/>
              </w:rPr>
            </w:pPr>
            <w:r w:rsidRPr="005F161D">
              <w:rPr>
                <w:rFonts w:cs="Arial"/>
              </w:rPr>
              <w:t>1964–1991, 2005–2012</w:t>
            </w:r>
          </w:p>
        </w:tc>
        <w:tc>
          <w:tcPr>
            <w:tcW w:w="2904" w:type="dxa"/>
            <w:shd w:val="clear" w:color="auto" w:fill="auto"/>
            <w:tcMar>
              <w:top w:w="80" w:type="dxa"/>
              <w:left w:w="80" w:type="dxa"/>
              <w:bottom w:w="80" w:type="dxa"/>
              <w:right w:w="80" w:type="dxa"/>
            </w:tcMar>
            <w:hideMark/>
          </w:tcPr>
          <w:p w14:paraId="61756BB1" w14:textId="77777777" w:rsidR="00A42599" w:rsidRPr="005F161D" w:rsidRDefault="00A42599" w:rsidP="00855B92">
            <w:pPr>
              <w:rPr>
                <w:rFonts w:cs="Arial"/>
              </w:rPr>
            </w:pPr>
            <w:r w:rsidRPr="005F161D">
              <w:rPr>
                <w:rFonts w:cs="Arial"/>
              </w:rPr>
              <w:t> </w:t>
            </w:r>
          </w:p>
        </w:tc>
      </w:tr>
      <w:tr w:rsidR="00A42599" w:rsidRPr="005F161D" w14:paraId="2D52027E" w14:textId="77777777" w:rsidTr="00A42599">
        <w:tc>
          <w:tcPr>
            <w:tcW w:w="1857" w:type="dxa"/>
            <w:vMerge w:val="restart"/>
            <w:shd w:val="clear" w:color="auto" w:fill="auto"/>
            <w:tcMar>
              <w:top w:w="80" w:type="dxa"/>
              <w:left w:w="80" w:type="dxa"/>
              <w:bottom w:w="80" w:type="dxa"/>
              <w:right w:w="80" w:type="dxa"/>
            </w:tcMar>
            <w:hideMark/>
          </w:tcPr>
          <w:p w14:paraId="5E11B43E" w14:textId="77777777" w:rsidR="00A42599" w:rsidRPr="005F161D" w:rsidRDefault="00A42599" w:rsidP="00855B92">
            <w:pPr>
              <w:rPr>
                <w:rFonts w:cs="Arial"/>
              </w:rPr>
            </w:pPr>
            <w:r w:rsidRPr="005F161D">
              <w:rPr>
                <w:rFonts w:cs="Arial"/>
              </w:rPr>
              <w:t>Brisbane (Qld)*</w:t>
            </w:r>
          </w:p>
          <w:p w14:paraId="683CA86E" w14:textId="77777777" w:rsidR="00A42599" w:rsidRPr="005F161D" w:rsidRDefault="00A42599" w:rsidP="00855B92">
            <w:pPr>
              <w:rPr>
                <w:rFonts w:cs="Arial"/>
              </w:rPr>
            </w:pPr>
            <w:r w:rsidRPr="005F161D">
              <w:rPr>
                <w:rFonts w:cs="Arial"/>
              </w:rPr>
              <w:t> </w:t>
            </w:r>
          </w:p>
        </w:tc>
        <w:tc>
          <w:tcPr>
            <w:tcW w:w="3062" w:type="dxa"/>
            <w:shd w:val="clear" w:color="auto" w:fill="auto"/>
            <w:tcMar>
              <w:top w:w="80" w:type="dxa"/>
              <w:left w:w="80" w:type="dxa"/>
              <w:bottom w:w="80" w:type="dxa"/>
              <w:right w:w="80" w:type="dxa"/>
            </w:tcMar>
            <w:hideMark/>
          </w:tcPr>
          <w:p w14:paraId="7A16721A" w14:textId="77777777" w:rsidR="00A42599" w:rsidRPr="005F161D" w:rsidRDefault="00A42599" w:rsidP="00855B92">
            <w:pPr>
              <w:rPr>
                <w:rFonts w:cs="Arial"/>
              </w:rPr>
            </w:pPr>
            <w:r w:rsidRPr="005F161D">
              <w:rPr>
                <w:rFonts w:cs="Arial"/>
              </w:rPr>
              <w:t>Brisbane Aero (040223)</w:t>
            </w:r>
          </w:p>
        </w:tc>
        <w:tc>
          <w:tcPr>
            <w:tcW w:w="1016" w:type="dxa"/>
            <w:shd w:val="clear" w:color="auto" w:fill="auto"/>
            <w:tcMar>
              <w:top w:w="80" w:type="dxa"/>
              <w:left w:w="80" w:type="dxa"/>
              <w:bottom w:w="80" w:type="dxa"/>
              <w:right w:w="80" w:type="dxa"/>
            </w:tcMar>
            <w:hideMark/>
          </w:tcPr>
          <w:p w14:paraId="4A245019" w14:textId="77777777" w:rsidR="00A42599" w:rsidRPr="005F161D" w:rsidRDefault="00A42599" w:rsidP="00855B92">
            <w:pPr>
              <w:rPr>
                <w:rFonts w:cs="Arial"/>
              </w:rPr>
            </w:pPr>
            <w:r w:rsidRPr="005F161D">
              <w:rPr>
                <w:rFonts w:cs="Arial"/>
              </w:rPr>
              <w:t>-27.42</w:t>
            </w:r>
          </w:p>
        </w:tc>
        <w:tc>
          <w:tcPr>
            <w:tcW w:w="1224" w:type="dxa"/>
            <w:shd w:val="clear" w:color="auto" w:fill="auto"/>
            <w:tcMar>
              <w:top w:w="80" w:type="dxa"/>
              <w:left w:w="80" w:type="dxa"/>
              <w:bottom w:w="80" w:type="dxa"/>
              <w:right w:w="80" w:type="dxa"/>
            </w:tcMar>
            <w:hideMark/>
          </w:tcPr>
          <w:p w14:paraId="6E21A446" w14:textId="77777777" w:rsidR="00A42599" w:rsidRPr="005F161D" w:rsidRDefault="00A42599" w:rsidP="00855B92">
            <w:pPr>
              <w:rPr>
                <w:rFonts w:cs="Arial"/>
              </w:rPr>
            </w:pPr>
            <w:r w:rsidRPr="005F161D">
              <w:rPr>
                <w:rFonts w:cs="Arial"/>
              </w:rPr>
              <w:t>153.11</w:t>
            </w:r>
          </w:p>
        </w:tc>
        <w:tc>
          <w:tcPr>
            <w:tcW w:w="1224" w:type="dxa"/>
            <w:shd w:val="clear" w:color="auto" w:fill="auto"/>
            <w:tcMar>
              <w:top w:w="80" w:type="dxa"/>
              <w:left w:w="80" w:type="dxa"/>
              <w:bottom w:w="80" w:type="dxa"/>
              <w:right w:w="80" w:type="dxa"/>
            </w:tcMar>
            <w:hideMark/>
          </w:tcPr>
          <w:p w14:paraId="1BA7FF6D" w14:textId="77777777" w:rsidR="00A42599" w:rsidRPr="005F161D" w:rsidRDefault="00A42599" w:rsidP="00855B92">
            <w:pPr>
              <w:rPr>
                <w:rFonts w:cs="Arial"/>
              </w:rPr>
            </w:pPr>
            <w:r w:rsidRPr="005F161D">
              <w:rPr>
                <w:rFonts w:cs="Arial"/>
              </w:rPr>
              <w:t>4</w:t>
            </w:r>
          </w:p>
        </w:tc>
        <w:tc>
          <w:tcPr>
            <w:tcW w:w="2605" w:type="dxa"/>
            <w:shd w:val="clear" w:color="auto" w:fill="auto"/>
            <w:tcMar>
              <w:top w:w="80" w:type="dxa"/>
              <w:left w:w="80" w:type="dxa"/>
              <w:bottom w:w="80" w:type="dxa"/>
              <w:right w:w="80" w:type="dxa"/>
            </w:tcMar>
            <w:hideMark/>
          </w:tcPr>
          <w:p w14:paraId="16FEC4F4" w14:textId="77777777" w:rsidR="00A42599" w:rsidRPr="005F161D" w:rsidRDefault="00A42599" w:rsidP="00855B92">
            <w:pPr>
              <w:rPr>
                <w:rFonts w:cs="Arial"/>
              </w:rPr>
            </w:pPr>
            <w:r w:rsidRPr="005F161D">
              <w:rPr>
                <w:rFonts w:cs="Arial"/>
              </w:rPr>
              <w:t>1962–1982*, May 1994–2012</w:t>
            </w:r>
          </w:p>
        </w:tc>
        <w:tc>
          <w:tcPr>
            <w:tcW w:w="2904" w:type="dxa"/>
            <w:shd w:val="clear" w:color="auto" w:fill="auto"/>
            <w:tcMar>
              <w:top w:w="80" w:type="dxa"/>
              <w:left w:w="80" w:type="dxa"/>
              <w:bottom w:w="80" w:type="dxa"/>
              <w:right w:w="80" w:type="dxa"/>
            </w:tcMar>
            <w:hideMark/>
          </w:tcPr>
          <w:p w14:paraId="46D67BA3" w14:textId="77777777" w:rsidR="00A42599" w:rsidRPr="005F161D" w:rsidRDefault="00A42599" w:rsidP="00855B92">
            <w:pPr>
              <w:rPr>
                <w:rFonts w:cs="Arial"/>
              </w:rPr>
            </w:pPr>
            <w:r w:rsidRPr="005F161D">
              <w:rPr>
                <w:rFonts w:cs="Arial"/>
              </w:rPr>
              <w:t>*Data continuity maintained by Brisbane RFC (040214)</w:t>
            </w:r>
          </w:p>
        </w:tc>
      </w:tr>
      <w:tr w:rsidR="00A42599" w:rsidRPr="005F161D" w14:paraId="1F4D55D2" w14:textId="77777777" w:rsidTr="00A42599">
        <w:tc>
          <w:tcPr>
            <w:tcW w:w="1857" w:type="dxa"/>
            <w:vMerge/>
            <w:shd w:val="clear" w:color="auto" w:fill="auto"/>
            <w:tcMar>
              <w:top w:w="80" w:type="dxa"/>
              <w:left w:w="80" w:type="dxa"/>
              <w:bottom w:w="80" w:type="dxa"/>
              <w:right w:w="80" w:type="dxa"/>
            </w:tcMar>
            <w:hideMark/>
          </w:tcPr>
          <w:p w14:paraId="3E36734A" w14:textId="77777777" w:rsidR="00A42599" w:rsidRPr="005F161D" w:rsidRDefault="00A42599" w:rsidP="00855B92">
            <w:pPr>
              <w:rPr>
                <w:rFonts w:cs="Arial"/>
              </w:rPr>
            </w:pPr>
          </w:p>
        </w:tc>
        <w:tc>
          <w:tcPr>
            <w:tcW w:w="3062" w:type="dxa"/>
            <w:shd w:val="clear" w:color="auto" w:fill="auto"/>
            <w:tcMar>
              <w:top w:w="80" w:type="dxa"/>
              <w:left w:w="80" w:type="dxa"/>
              <w:bottom w:w="80" w:type="dxa"/>
              <w:right w:w="80" w:type="dxa"/>
            </w:tcMar>
            <w:hideMark/>
          </w:tcPr>
          <w:p w14:paraId="49F1BDB7" w14:textId="77777777" w:rsidR="00A42599" w:rsidRPr="005F161D" w:rsidRDefault="00A42599" w:rsidP="00855B92">
            <w:pPr>
              <w:rPr>
                <w:rFonts w:cs="Arial"/>
              </w:rPr>
            </w:pPr>
            <w:r w:rsidRPr="005F161D">
              <w:rPr>
                <w:rFonts w:cs="Arial"/>
              </w:rPr>
              <w:t>Brisbane RFC (040214)</w:t>
            </w:r>
          </w:p>
        </w:tc>
        <w:tc>
          <w:tcPr>
            <w:tcW w:w="1016" w:type="dxa"/>
            <w:shd w:val="clear" w:color="auto" w:fill="auto"/>
            <w:tcMar>
              <w:top w:w="80" w:type="dxa"/>
              <w:left w:w="80" w:type="dxa"/>
              <w:bottom w:w="80" w:type="dxa"/>
              <w:right w:w="80" w:type="dxa"/>
            </w:tcMar>
            <w:hideMark/>
          </w:tcPr>
          <w:p w14:paraId="5A07FB88" w14:textId="77777777" w:rsidR="00A42599" w:rsidRPr="005F161D" w:rsidRDefault="00A42599" w:rsidP="00855B92">
            <w:pPr>
              <w:rPr>
                <w:rFonts w:cs="Arial"/>
              </w:rPr>
            </w:pPr>
            <w:r w:rsidRPr="005F161D">
              <w:rPr>
                <w:rFonts w:cs="Arial"/>
              </w:rPr>
              <w:t>-27.47</w:t>
            </w:r>
          </w:p>
        </w:tc>
        <w:tc>
          <w:tcPr>
            <w:tcW w:w="1224" w:type="dxa"/>
            <w:shd w:val="clear" w:color="auto" w:fill="auto"/>
            <w:tcMar>
              <w:top w:w="80" w:type="dxa"/>
              <w:left w:w="80" w:type="dxa"/>
              <w:bottom w:w="80" w:type="dxa"/>
              <w:right w:w="80" w:type="dxa"/>
            </w:tcMar>
            <w:hideMark/>
          </w:tcPr>
          <w:p w14:paraId="7F497961" w14:textId="77777777" w:rsidR="00A42599" w:rsidRPr="005F161D" w:rsidRDefault="00A42599" w:rsidP="00855B92">
            <w:pPr>
              <w:rPr>
                <w:rFonts w:cs="Arial"/>
              </w:rPr>
            </w:pPr>
            <w:r w:rsidRPr="005F161D">
              <w:rPr>
                <w:rFonts w:cs="Arial"/>
              </w:rPr>
              <w:t>153.03</w:t>
            </w:r>
          </w:p>
        </w:tc>
        <w:tc>
          <w:tcPr>
            <w:tcW w:w="1224" w:type="dxa"/>
            <w:shd w:val="clear" w:color="auto" w:fill="auto"/>
            <w:tcMar>
              <w:top w:w="80" w:type="dxa"/>
              <w:left w:w="80" w:type="dxa"/>
              <w:bottom w:w="80" w:type="dxa"/>
              <w:right w:w="80" w:type="dxa"/>
            </w:tcMar>
            <w:hideMark/>
          </w:tcPr>
          <w:p w14:paraId="40C26A6F" w14:textId="77777777" w:rsidR="00A42599" w:rsidRPr="005F161D" w:rsidRDefault="00A42599" w:rsidP="00855B92">
            <w:pPr>
              <w:rPr>
                <w:rFonts w:cs="Arial"/>
              </w:rPr>
            </w:pPr>
            <w:r w:rsidRPr="005F161D">
              <w:rPr>
                <w:rFonts w:cs="Arial"/>
              </w:rPr>
              <w:t>38</w:t>
            </w:r>
          </w:p>
        </w:tc>
        <w:tc>
          <w:tcPr>
            <w:tcW w:w="2605" w:type="dxa"/>
            <w:shd w:val="clear" w:color="auto" w:fill="auto"/>
            <w:tcMar>
              <w:top w:w="80" w:type="dxa"/>
              <w:left w:w="80" w:type="dxa"/>
              <w:bottom w:w="80" w:type="dxa"/>
              <w:right w:w="80" w:type="dxa"/>
            </w:tcMar>
            <w:hideMark/>
          </w:tcPr>
          <w:p w14:paraId="7D7A0940" w14:textId="77777777" w:rsidR="00A42599" w:rsidRPr="005F161D" w:rsidRDefault="00A42599" w:rsidP="00855B92">
            <w:pPr>
              <w:rPr>
                <w:rFonts w:cs="Arial"/>
              </w:rPr>
            </w:pPr>
            <w:r w:rsidRPr="005F161D">
              <w:rPr>
                <w:rFonts w:cs="Arial"/>
              </w:rPr>
              <w:t>1983 - May 1994</w:t>
            </w:r>
          </w:p>
        </w:tc>
        <w:tc>
          <w:tcPr>
            <w:tcW w:w="2904" w:type="dxa"/>
            <w:shd w:val="clear" w:color="auto" w:fill="auto"/>
            <w:tcMar>
              <w:top w:w="80" w:type="dxa"/>
              <w:left w:w="80" w:type="dxa"/>
              <w:bottom w:w="80" w:type="dxa"/>
              <w:right w:w="80" w:type="dxa"/>
            </w:tcMar>
            <w:hideMark/>
          </w:tcPr>
          <w:p w14:paraId="4DC1CFCA" w14:textId="77777777" w:rsidR="00A42599" w:rsidRPr="005F161D" w:rsidRDefault="00A42599" w:rsidP="00855B92">
            <w:pPr>
              <w:rPr>
                <w:rFonts w:cs="Arial"/>
              </w:rPr>
            </w:pPr>
            <w:r w:rsidRPr="005F161D">
              <w:rPr>
                <w:rFonts w:cs="Arial"/>
              </w:rPr>
              <w:t> </w:t>
            </w:r>
          </w:p>
        </w:tc>
      </w:tr>
      <w:tr w:rsidR="00A42599" w:rsidRPr="005F161D" w14:paraId="31B3AB37" w14:textId="77777777" w:rsidTr="00A42599">
        <w:tc>
          <w:tcPr>
            <w:tcW w:w="1857" w:type="dxa"/>
            <w:shd w:val="clear" w:color="auto" w:fill="auto"/>
            <w:tcMar>
              <w:top w:w="80" w:type="dxa"/>
              <w:left w:w="80" w:type="dxa"/>
              <w:bottom w:w="80" w:type="dxa"/>
              <w:right w:w="80" w:type="dxa"/>
            </w:tcMar>
            <w:hideMark/>
          </w:tcPr>
          <w:p w14:paraId="74E2202B" w14:textId="77777777" w:rsidR="00A42599" w:rsidRPr="005F161D" w:rsidRDefault="00A42599" w:rsidP="00855B92">
            <w:pPr>
              <w:rPr>
                <w:rFonts w:cs="Arial"/>
              </w:rPr>
            </w:pPr>
            <w:r w:rsidRPr="005F161D">
              <w:rPr>
                <w:rFonts w:cs="Arial"/>
              </w:rPr>
              <w:t>Bundaberg (Qld)</w:t>
            </w:r>
          </w:p>
        </w:tc>
        <w:tc>
          <w:tcPr>
            <w:tcW w:w="3062" w:type="dxa"/>
            <w:shd w:val="clear" w:color="auto" w:fill="auto"/>
            <w:tcMar>
              <w:top w:w="80" w:type="dxa"/>
              <w:left w:w="80" w:type="dxa"/>
              <w:bottom w:w="80" w:type="dxa"/>
              <w:right w:w="80" w:type="dxa"/>
            </w:tcMar>
            <w:hideMark/>
          </w:tcPr>
          <w:p w14:paraId="21F90B62" w14:textId="77777777" w:rsidR="00A42599" w:rsidRPr="005F161D" w:rsidRDefault="00A42599" w:rsidP="00855B92">
            <w:pPr>
              <w:rPr>
                <w:rFonts w:cs="Arial"/>
              </w:rPr>
            </w:pPr>
            <w:r w:rsidRPr="005F161D">
              <w:rPr>
                <w:rFonts w:cs="Arial"/>
              </w:rPr>
              <w:t>Bundaberg Post Office (039015)</w:t>
            </w:r>
          </w:p>
        </w:tc>
        <w:tc>
          <w:tcPr>
            <w:tcW w:w="1016" w:type="dxa"/>
            <w:shd w:val="clear" w:color="auto" w:fill="auto"/>
            <w:tcMar>
              <w:top w:w="80" w:type="dxa"/>
              <w:left w:w="80" w:type="dxa"/>
              <w:bottom w:w="80" w:type="dxa"/>
              <w:right w:w="80" w:type="dxa"/>
            </w:tcMar>
            <w:hideMark/>
          </w:tcPr>
          <w:p w14:paraId="6A366885" w14:textId="77777777" w:rsidR="00A42599" w:rsidRPr="005F161D" w:rsidRDefault="00A42599" w:rsidP="00855B92">
            <w:pPr>
              <w:rPr>
                <w:rFonts w:cs="Arial"/>
              </w:rPr>
            </w:pPr>
            <w:r w:rsidRPr="005F161D">
              <w:rPr>
                <w:rFonts w:cs="Arial"/>
              </w:rPr>
              <w:t>-24.87</w:t>
            </w:r>
          </w:p>
        </w:tc>
        <w:tc>
          <w:tcPr>
            <w:tcW w:w="1224" w:type="dxa"/>
            <w:shd w:val="clear" w:color="auto" w:fill="auto"/>
            <w:tcMar>
              <w:top w:w="80" w:type="dxa"/>
              <w:left w:w="80" w:type="dxa"/>
              <w:bottom w:w="80" w:type="dxa"/>
              <w:right w:w="80" w:type="dxa"/>
            </w:tcMar>
            <w:hideMark/>
          </w:tcPr>
          <w:p w14:paraId="44549FD1" w14:textId="77777777" w:rsidR="00A42599" w:rsidRPr="005F161D" w:rsidRDefault="00A42599" w:rsidP="00855B92">
            <w:pPr>
              <w:rPr>
                <w:rFonts w:cs="Arial"/>
              </w:rPr>
            </w:pPr>
            <w:r w:rsidRPr="005F161D">
              <w:rPr>
                <w:rFonts w:cs="Arial"/>
              </w:rPr>
              <w:t>152.35</w:t>
            </w:r>
          </w:p>
        </w:tc>
        <w:tc>
          <w:tcPr>
            <w:tcW w:w="1224" w:type="dxa"/>
            <w:shd w:val="clear" w:color="auto" w:fill="auto"/>
            <w:tcMar>
              <w:top w:w="80" w:type="dxa"/>
              <w:left w:w="80" w:type="dxa"/>
              <w:bottom w:w="80" w:type="dxa"/>
              <w:right w:w="80" w:type="dxa"/>
            </w:tcMar>
            <w:hideMark/>
          </w:tcPr>
          <w:p w14:paraId="7D83E52C" w14:textId="77777777" w:rsidR="00A42599" w:rsidRPr="005F161D" w:rsidRDefault="00A42599" w:rsidP="00855B92">
            <w:pPr>
              <w:rPr>
                <w:rFonts w:cs="Arial"/>
              </w:rPr>
            </w:pPr>
            <w:r w:rsidRPr="005F161D">
              <w:rPr>
                <w:rFonts w:cs="Arial"/>
              </w:rPr>
              <w:t>14</w:t>
            </w:r>
          </w:p>
        </w:tc>
        <w:tc>
          <w:tcPr>
            <w:tcW w:w="2605" w:type="dxa"/>
            <w:shd w:val="clear" w:color="auto" w:fill="auto"/>
            <w:tcMar>
              <w:top w:w="80" w:type="dxa"/>
              <w:left w:w="80" w:type="dxa"/>
              <w:bottom w:w="80" w:type="dxa"/>
              <w:right w:w="80" w:type="dxa"/>
            </w:tcMar>
            <w:hideMark/>
          </w:tcPr>
          <w:p w14:paraId="47FBB76E" w14:textId="77777777" w:rsidR="00A42599" w:rsidRPr="005F161D" w:rsidRDefault="00A42599" w:rsidP="00855B92">
            <w:pPr>
              <w:rPr>
                <w:rFonts w:cs="Arial"/>
              </w:rPr>
            </w:pPr>
            <w:r w:rsidRPr="005F161D">
              <w:rPr>
                <w:rFonts w:cs="Arial"/>
              </w:rPr>
              <w:t>1970-1982</w:t>
            </w:r>
          </w:p>
        </w:tc>
        <w:tc>
          <w:tcPr>
            <w:tcW w:w="2904" w:type="dxa"/>
            <w:shd w:val="clear" w:color="auto" w:fill="auto"/>
            <w:tcMar>
              <w:top w:w="80" w:type="dxa"/>
              <w:left w:w="80" w:type="dxa"/>
              <w:bottom w:w="80" w:type="dxa"/>
              <w:right w:w="80" w:type="dxa"/>
            </w:tcMar>
            <w:hideMark/>
          </w:tcPr>
          <w:p w14:paraId="1EB8C6E9" w14:textId="77777777" w:rsidR="00A42599" w:rsidRPr="005F161D" w:rsidRDefault="00A42599" w:rsidP="00855B92">
            <w:pPr>
              <w:rPr>
                <w:rFonts w:cs="Arial"/>
              </w:rPr>
            </w:pPr>
            <w:r w:rsidRPr="005F161D">
              <w:rPr>
                <w:rFonts w:cs="Arial"/>
              </w:rPr>
              <w:t> </w:t>
            </w:r>
          </w:p>
        </w:tc>
      </w:tr>
      <w:tr w:rsidR="00A42599" w:rsidRPr="005F161D" w14:paraId="32E480FB" w14:textId="77777777" w:rsidTr="00A42599">
        <w:tc>
          <w:tcPr>
            <w:tcW w:w="1857" w:type="dxa"/>
            <w:vMerge w:val="restart"/>
            <w:shd w:val="clear" w:color="auto" w:fill="auto"/>
            <w:tcMar>
              <w:top w:w="80" w:type="dxa"/>
              <w:left w:w="80" w:type="dxa"/>
              <w:bottom w:w="80" w:type="dxa"/>
              <w:right w:w="80" w:type="dxa"/>
            </w:tcMar>
            <w:hideMark/>
          </w:tcPr>
          <w:p w14:paraId="54BC3D43" w14:textId="77777777" w:rsidR="00A42599" w:rsidRPr="005F161D" w:rsidRDefault="00A42599" w:rsidP="00855B92">
            <w:pPr>
              <w:rPr>
                <w:rFonts w:cs="Arial"/>
              </w:rPr>
            </w:pPr>
            <w:r w:rsidRPr="005F161D">
              <w:rPr>
                <w:rFonts w:cs="Arial"/>
              </w:rPr>
              <w:t>Campbelltown (NSW)*</w:t>
            </w:r>
          </w:p>
          <w:p w14:paraId="54871CD7" w14:textId="77777777" w:rsidR="00A42599" w:rsidRPr="005F161D" w:rsidRDefault="00A42599" w:rsidP="00855B92">
            <w:pPr>
              <w:rPr>
                <w:rFonts w:cs="Arial"/>
              </w:rPr>
            </w:pPr>
            <w:r w:rsidRPr="005F161D">
              <w:rPr>
                <w:rFonts w:cs="Arial"/>
              </w:rPr>
              <w:t> </w:t>
            </w:r>
          </w:p>
        </w:tc>
        <w:tc>
          <w:tcPr>
            <w:tcW w:w="3062" w:type="dxa"/>
            <w:shd w:val="clear" w:color="auto" w:fill="auto"/>
            <w:tcMar>
              <w:top w:w="80" w:type="dxa"/>
              <w:left w:w="80" w:type="dxa"/>
              <w:bottom w:w="80" w:type="dxa"/>
              <w:right w:w="80" w:type="dxa"/>
            </w:tcMar>
            <w:hideMark/>
          </w:tcPr>
          <w:p w14:paraId="5E6A345A" w14:textId="77777777" w:rsidR="00A42599" w:rsidRPr="005F161D" w:rsidRDefault="00A42599" w:rsidP="00855B92">
            <w:pPr>
              <w:rPr>
                <w:rFonts w:cs="Arial"/>
              </w:rPr>
            </w:pPr>
            <w:r w:rsidRPr="005F161D">
              <w:rPr>
                <w:rFonts w:cs="Arial"/>
              </w:rPr>
              <w:t>Campbelltown Swimming Centre (068081)</w:t>
            </w:r>
          </w:p>
        </w:tc>
        <w:tc>
          <w:tcPr>
            <w:tcW w:w="1016" w:type="dxa"/>
            <w:shd w:val="clear" w:color="auto" w:fill="auto"/>
            <w:tcMar>
              <w:top w:w="80" w:type="dxa"/>
              <w:left w:w="80" w:type="dxa"/>
              <w:bottom w:w="80" w:type="dxa"/>
              <w:right w:w="80" w:type="dxa"/>
            </w:tcMar>
            <w:hideMark/>
          </w:tcPr>
          <w:p w14:paraId="2B674F24" w14:textId="77777777" w:rsidR="00A42599" w:rsidRPr="005F161D" w:rsidRDefault="00A42599" w:rsidP="00855B92">
            <w:pPr>
              <w:rPr>
                <w:rFonts w:cs="Arial"/>
              </w:rPr>
            </w:pPr>
            <w:r w:rsidRPr="005F161D">
              <w:rPr>
                <w:rFonts w:cs="Arial"/>
              </w:rPr>
              <w:t>-34.08</w:t>
            </w:r>
          </w:p>
        </w:tc>
        <w:tc>
          <w:tcPr>
            <w:tcW w:w="1224" w:type="dxa"/>
            <w:shd w:val="clear" w:color="auto" w:fill="auto"/>
            <w:tcMar>
              <w:top w:w="80" w:type="dxa"/>
              <w:left w:w="80" w:type="dxa"/>
              <w:bottom w:w="80" w:type="dxa"/>
              <w:right w:w="80" w:type="dxa"/>
            </w:tcMar>
            <w:hideMark/>
          </w:tcPr>
          <w:p w14:paraId="3553E7E1" w14:textId="77777777" w:rsidR="00A42599" w:rsidRPr="005F161D" w:rsidRDefault="00A42599" w:rsidP="00855B92">
            <w:pPr>
              <w:rPr>
                <w:rFonts w:cs="Arial"/>
              </w:rPr>
            </w:pPr>
            <w:r w:rsidRPr="005F161D">
              <w:rPr>
                <w:rFonts w:cs="Arial"/>
              </w:rPr>
              <w:t>150.82</w:t>
            </w:r>
          </w:p>
        </w:tc>
        <w:tc>
          <w:tcPr>
            <w:tcW w:w="1224" w:type="dxa"/>
            <w:shd w:val="clear" w:color="auto" w:fill="auto"/>
            <w:tcMar>
              <w:top w:w="80" w:type="dxa"/>
              <w:left w:w="80" w:type="dxa"/>
              <w:bottom w:w="80" w:type="dxa"/>
              <w:right w:w="80" w:type="dxa"/>
            </w:tcMar>
            <w:hideMark/>
          </w:tcPr>
          <w:p w14:paraId="6EF3675F" w14:textId="77777777" w:rsidR="00A42599" w:rsidRPr="005F161D" w:rsidRDefault="00A42599" w:rsidP="00855B92">
            <w:pPr>
              <w:rPr>
                <w:rFonts w:cs="Arial"/>
              </w:rPr>
            </w:pPr>
            <w:r w:rsidRPr="005F161D">
              <w:rPr>
                <w:rFonts w:cs="Arial"/>
              </w:rPr>
              <w:t>75</w:t>
            </w:r>
          </w:p>
        </w:tc>
        <w:tc>
          <w:tcPr>
            <w:tcW w:w="2605" w:type="dxa"/>
            <w:shd w:val="clear" w:color="auto" w:fill="auto"/>
            <w:tcMar>
              <w:top w:w="80" w:type="dxa"/>
              <w:left w:w="80" w:type="dxa"/>
              <w:bottom w:w="80" w:type="dxa"/>
              <w:right w:w="80" w:type="dxa"/>
            </w:tcMar>
            <w:hideMark/>
          </w:tcPr>
          <w:p w14:paraId="0AD1900A" w14:textId="77777777" w:rsidR="00A42599" w:rsidRPr="005F161D" w:rsidRDefault="00A42599" w:rsidP="00855B92">
            <w:pPr>
              <w:rPr>
                <w:rFonts w:cs="Arial"/>
              </w:rPr>
            </w:pPr>
            <w:r w:rsidRPr="005F161D">
              <w:rPr>
                <w:rFonts w:cs="Arial"/>
              </w:rPr>
              <w:t>1970–1984*</w:t>
            </w:r>
          </w:p>
        </w:tc>
        <w:tc>
          <w:tcPr>
            <w:tcW w:w="2904" w:type="dxa"/>
            <w:shd w:val="clear" w:color="auto" w:fill="auto"/>
            <w:tcMar>
              <w:top w:w="80" w:type="dxa"/>
              <w:left w:w="80" w:type="dxa"/>
              <w:bottom w:w="80" w:type="dxa"/>
              <w:right w:w="80" w:type="dxa"/>
            </w:tcMar>
            <w:hideMark/>
          </w:tcPr>
          <w:p w14:paraId="248F9219" w14:textId="77777777" w:rsidR="00A42599" w:rsidRPr="005F161D" w:rsidRDefault="00A42599" w:rsidP="00855B92">
            <w:pPr>
              <w:rPr>
                <w:rFonts w:cs="Arial"/>
              </w:rPr>
            </w:pPr>
            <w:r w:rsidRPr="005F161D">
              <w:rPr>
                <w:rFonts w:cs="Arial"/>
              </w:rPr>
              <w:t>*Data continuity maintained by Campbelltown (Kentlyn, 068160)</w:t>
            </w:r>
          </w:p>
        </w:tc>
      </w:tr>
      <w:tr w:rsidR="00A42599" w:rsidRPr="005F161D" w14:paraId="6B244EE9" w14:textId="77777777" w:rsidTr="00A42599">
        <w:tc>
          <w:tcPr>
            <w:tcW w:w="1857" w:type="dxa"/>
            <w:vMerge/>
            <w:shd w:val="clear" w:color="auto" w:fill="auto"/>
            <w:tcMar>
              <w:top w:w="80" w:type="dxa"/>
              <w:left w:w="80" w:type="dxa"/>
              <w:bottom w:w="80" w:type="dxa"/>
              <w:right w:w="80" w:type="dxa"/>
            </w:tcMar>
            <w:hideMark/>
          </w:tcPr>
          <w:p w14:paraId="0334E3FF" w14:textId="77777777" w:rsidR="00A42599" w:rsidRPr="005F161D" w:rsidRDefault="00A42599" w:rsidP="00855B92">
            <w:pPr>
              <w:rPr>
                <w:rFonts w:cs="Arial"/>
              </w:rPr>
            </w:pPr>
          </w:p>
        </w:tc>
        <w:tc>
          <w:tcPr>
            <w:tcW w:w="3062" w:type="dxa"/>
            <w:shd w:val="clear" w:color="auto" w:fill="auto"/>
            <w:tcMar>
              <w:top w:w="80" w:type="dxa"/>
              <w:left w:w="80" w:type="dxa"/>
              <w:bottom w:w="80" w:type="dxa"/>
              <w:right w:w="80" w:type="dxa"/>
            </w:tcMar>
            <w:hideMark/>
          </w:tcPr>
          <w:p w14:paraId="1F1B53B4" w14:textId="77777777" w:rsidR="00A42599" w:rsidRPr="005F161D" w:rsidRDefault="00A42599" w:rsidP="00855B92">
            <w:pPr>
              <w:rPr>
                <w:rFonts w:cs="Arial"/>
              </w:rPr>
            </w:pPr>
            <w:r w:rsidRPr="005F161D">
              <w:rPr>
                <w:rFonts w:cs="Arial"/>
              </w:rPr>
              <w:t>Campbelltown (Kentlyn, 068160)</w:t>
            </w:r>
          </w:p>
        </w:tc>
        <w:tc>
          <w:tcPr>
            <w:tcW w:w="1016" w:type="dxa"/>
            <w:shd w:val="clear" w:color="auto" w:fill="auto"/>
            <w:tcMar>
              <w:top w:w="80" w:type="dxa"/>
              <w:left w:w="80" w:type="dxa"/>
              <w:bottom w:w="80" w:type="dxa"/>
              <w:right w:w="80" w:type="dxa"/>
            </w:tcMar>
            <w:hideMark/>
          </w:tcPr>
          <w:p w14:paraId="7666DE5B" w14:textId="77777777" w:rsidR="00A42599" w:rsidRPr="005F161D" w:rsidRDefault="00A42599" w:rsidP="00855B92">
            <w:pPr>
              <w:rPr>
                <w:rFonts w:cs="Arial"/>
              </w:rPr>
            </w:pPr>
            <w:r w:rsidRPr="005F161D">
              <w:rPr>
                <w:rFonts w:cs="Arial"/>
              </w:rPr>
              <w:t>-34.05</w:t>
            </w:r>
          </w:p>
        </w:tc>
        <w:tc>
          <w:tcPr>
            <w:tcW w:w="1224" w:type="dxa"/>
            <w:shd w:val="clear" w:color="auto" w:fill="auto"/>
            <w:tcMar>
              <w:top w:w="80" w:type="dxa"/>
              <w:left w:w="80" w:type="dxa"/>
              <w:bottom w:w="80" w:type="dxa"/>
              <w:right w:w="80" w:type="dxa"/>
            </w:tcMar>
            <w:hideMark/>
          </w:tcPr>
          <w:p w14:paraId="636D4237" w14:textId="77777777" w:rsidR="00A42599" w:rsidRPr="005F161D" w:rsidRDefault="00A42599" w:rsidP="00855B92">
            <w:pPr>
              <w:rPr>
                <w:rFonts w:cs="Arial"/>
              </w:rPr>
            </w:pPr>
            <w:r w:rsidRPr="005F161D">
              <w:rPr>
                <w:rFonts w:cs="Arial"/>
              </w:rPr>
              <w:t>150.88</w:t>
            </w:r>
          </w:p>
        </w:tc>
        <w:tc>
          <w:tcPr>
            <w:tcW w:w="1224" w:type="dxa"/>
            <w:shd w:val="clear" w:color="auto" w:fill="auto"/>
            <w:tcMar>
              <w:top w:w="80" w:type="dxa"/>
              <w:left w:w="80" w:type="dxa"/>
              <w:bottom w:w="80" w:type="dxa"/>
              <w:right w:w="80" w:type="dxa"/>
            </w:tcMar>
            <w:hideMark/>
          </w:tcPr>
          <w:p w14:paraId="71922D3E" w14:textId="77777777" w:rsidR="00A42599" w:rsidRPr="005F161D" w:rsidRDefault="00A42599" w:rsidP="00855B92">
            <w:pPr>
              <w:rPr>
                <w:rFonts w:cs="Arial"/>
              </w:rPr>
            </w:pPr>
            <w:r w:rsidRPr="005F161D">
              <w:rPr>
                <w:rFonts w:cs="Arial"/>
              </w:rPr>
              <w:t>115</w:t>
            </w:r>
          </w:p>
        </w:tc>
        <w:tc>
          <w:tcPr>
            <w:tcW w:w="2605" w:type="dxa"/>
            <w:shd w:val="clear" w:color="auto" w:fill="auto"/>
            <w:tcMar>
              <w:top w:w="80" w:type="dxa"/>
              <w:left w:w="80" w:type="dxa"/>
              <w:bottom w:w="80" w:type="dxa"/>
              <w:right w:w="80" w:type="dxa"/>
            </w:tcMar>
            <w:hideMark/>
          </w:tcPr>
          <w:p w14:paraId="0FDE87A2" w14:textId="77777777" w:rsidR="00A42599" w:rsidRPr="005F161D" w:rsidRDefault="00A42599" w:rsidP="00855B92">
            <w:pPr>
              <w:rPr>
                <w:rFonts w:cs="Arial"/>
              </w:rPr>
            </w:pPr>
            <w:r w:rsidRPr="005F161D">
              <w:rPr>
                <w:rFonts w:cs="Arial"/>
              </w:rPr>
              <w:t>1985-1991</w:t>
            </w:r>
          </w:p>
        </w:tc>
        <w:tc>
          <w:tcPr>
            <w:tcW w:w="2904" w:type="dxa"/>
            <w:shd w:val="clear" w:color="auto" w:fill="auto"/>
            <w:tcMar>
              <w:top w:w="80" w:type="dxa"/>
              <w:left w:w="80" w:type="dxa"/>
              <w:bottom w:w="80" w:type="dxa"/>
              <w:right w:w="80" w:type="dxa"/>
            </w:tcMar>
            <w:hideMark/>
          </w:tcPr>
          <w:p w14:paraId="6705F8BD" w14:textId="77777777" w:rsidR="00A42599" w:rsidRPr="005F161D" w:rsidRDefault="00A42599" w:rsidP="00855B92">
            <w:pPr>
              <w:rPr>
                <w:rFonts w:cs="Arial"/>
              </w:rPr>
            </w:pPr>
            <w:r w:rsidRPr="005F161D">
              <w:rPr>
                <w:rFonts w:cs="Arial"/>
              </w:rPr>
              <w:t> </w:t>
            </w:r>
          </w:p>
        </w:tc>
      </w:tr>
      <w:tr w:rsidR="00A42599" w:rsidRPr="005F161D" w14:paraId="3811B040" w14:textId="77777777" w:rsidTr="00A42599">
        <w:tc>
          <w:tcPr>
            <w:tcW w:w="1857" w:type="dxa"/>
            <w:shd w:val="clear" w:color="auto" w:fill="auto"/>
            <w:tcMar>
              <w:top w:w="80" w:type="dxa"/>
              <w:left w:w="80" w:type="dxa"/>
              <w:bottom w:w="80" w:type="dxa"/>
              <w:right w:w="80" w:type="dxa"/>
            </w:tcMar>
            <w:hideMark/>
          </w:tcPr>
          <w:p w14:paraId="6AF44231" w14:textId="77777777" w:rsidR="00A42599" w:rsidRPr="005F161D" w:rsidRDefault="00A42599" w:rsidP="00855B92">
            <w:pPr>
              <w:rPr>
                <w:rFonts w:cs="Arial"/>
              </w:rPr>
            </w:pPr>
            <w:r w:rsidRPr="005F161D">
              <w:rPr>
                <w:rFonts w:cs="Arial"/>
              </w:rPr>
              <w:lastRenderedPageBreak/>
              <w:t>Charleville (Qld)</w:t>
            </w:r>
          </w:p>
        </w:tc>
        <w:tc>
          <w:tcPr>
            <w:tcW w:w="3062" w:type="dxa"/>
            <w:shd w:val="clear" w:color="auto" w:fill="auto"/>
            <w:tcMar>
              <w:top w:w="80" w:type="dxa"/>
              <w:left w:w="80" w:type="dxa"/>
              <w:bottom w:w="80" w:type="dxa"/>
              <w:right w:w="80" w:type="dxa"/>
            </w:tcMar>
            <w:hideMark/>
          </w:tcPr>
          <w:p w14:paraId="379C5440" w14:textId="77777777" w:rsidR="00A42599" w:rsidRPr="005F161D" w:rsidRDefault="00A42599" w:rsidP="00855B92">
            <w:pPr>
              <w:rPr>
                <w:rFonts w:cs="Arial"/>
              </w:rPr>
            </w:pPr>
            <w:r w:rsidRPr="005F161D">
              <w:rPr>
                <w:rFonts w:cs="Arial"/>
              </w:rPr>
              <w:t>Charleville Aero (044021)</w:t>
            </w:r>
          </w:p>
        </w:tc>
        <w:tc>
          <w:tcPr>
            <w:tcW w:w="1016" w:type="dxa"/>
            <w:shd w:val="clear" w:color="auto" w:fill="auto"/>
            <w:tcMar>
              <w:top w:w="80" w:type="dxa"/>
              <w:left w:w="80" w:type="dxa"/>
              <w:bottom w:w="80" w:type="dxa"/>
              <w:right w:w="80" w:type="dxa"/>
            </w:tcMar>
            <w:hideMark/>
          </w:tcPr>
          <w:p w14:paraId="0358FE3C" w14:textId="77777777" w:rsidR="00A42599" w:rsidRPr="005F161D" w:rsidRDefault="00A42599" w:rsidP="00855B92">
            <w:pPr>
              <w:rPr>
                <w:rFonts w:cs="Arial"/>
              </w:rPr>
            </w:pPr>
            <w:r w:rsidRPr="005F161D">
              <w:rPr>
                <w:rFonts w:cs="Arial"/>
              </w:rPr>
              <w:t>-26.41</w:t>
            </w:r>
          </w:p>
        </w:tc>
        <w:tc>
          <w:tcPr>
            <w:tcW w:w="1224" w:type="dxa"/>
            <w:shd w:val="clear" w:color="auto" w:fill="auto"/>
            <w:tcMar>
              <w:top w:w="80" w:type="dxa"/>
              <w:left w:w="80" w:type="dxa"/>
              <w:bottom w:w="80" w:type="dxa"/>
              <w:right w:w="80" w:type="dxa"/>
            </w:tcMar>
            <w:hideMark/>
          </w:tcPr>
          <w:p w14:paraId="081DF541" w14:textId="77777777" w:rsidR="00A42599" w:rsidRPr="005F161D" w:rsidRDefault="00A42599" w:rsidP="00855B92">
            <w:pPr>
              <w:rPr>
                <w:rFonts w:cs="Arial"/>
              </w:rPr>
            </w:pPr>
            <w:r w:rsidRPr="005F161D">
              <w:rPr>
                <w:rFonts w:cs="Arial"/>
              </w:rPr>
              <w:t>146.26</w:t>
            </w:r>
          </w:p>
        </w:tc>
        <w:tc>
          <w:tcPr>
            <w:tcW w:w="1224" w:type="dxa"/>
            <w:shd w:val="clear" w:color="auto" w:fill="auto"/>
            <w:tcMar>
              <w:top w:w="80" w:type="dxa"/>
              <w:left w:w="80" w:type="dxa"/>
              <w:bottom w:w="80" w:type="dxa"/>
              <w:right w:w="80" w:type="dxa"/>
            </w:tcMar>
            <w:hideMark/>
          </w:tcPr>
          <w:p w14:paraId="00566D99" w14:textId="77777777" w:rsidR="00A42599" w:rsidRPr="005F161D" w:rsidRDefault="00A42599" w:rsidP="00855B92">
            <w:pPr>
              <w:rPr>
                <w:rFonts w:cs="Arial"/>
              </w:rPr>
            </w:pPr>
            <w:r w:rsidRPr="005F161D">
              <w:rPr>
                <w:rFonts w:cs="Arial"/>
              </w:rPr>
              <w:t>302</w:t>
            </w:r>
          </w:p>
        </w:tc>
        <w:tc>
          <w:tcPr>
            <w:tcW w:w="2605" w:type="dxa"/>
            <w:shd w:val="clear" w:color="auto" w:fill="auto"/>
            <w:tcMar>
              <w:top w:w="80" w:type="dxa"/>
              <w:left w:w="80" w:type="dxa"/>
              <w:bottom w:w="80" w:type="dxa"/>
              <w:right w:w="80" w:type="dxa"/>
            </w:tcMar>
            <w:hideMark/>
          </w:tcPr>
          <w:p w14:paraId="0EB735CA" w14:textId="77777777" w:rsidR="00A42599" w:rsidRPr="005F161D" w:rsidRDefault="00A42599" w:rsidP="00855B92">
            <w:pPr>
              <w:rPr>
                <w:rFonts w:cs="Arial"/>
              </w:rPr>
            </w:pPr>
            <w:r w:rsidRPr="005F161D">
              <w:rPr>
                <w:rFonts w:cs="Arial"/>
              </w:rPr>
              <w:t>1970–1982</w:t>
            </w:r>
          </w:p>
        </w:tc>
        <w:tc>
          <w:tcPr>
            <w:tcW w:w="2904" w:type="dxa"/>
            <w:shd w:val="clear" w:color="auto" w:fill="auto"/>
            <w:tcMar>
              <w:top w:w="80" w:type="dxa"/>
              <w:left w:w="80" w:type="dxa"/>
              <w:bottom w:w="80" w:type="dxa"/>
              <w:right w:w="80" w:type="dxa"/>
            </w:tcMar>
            <w:hideMark/>
          </w:tcPr>
          <w:p w14:paraId="25974A7F" w14:textId="77777777" w:rsidR="00A42599" w:rsidRPr="005F161D" w:rsidRDefault="00A42599" w:rsidP="00855B92">
            <w:pPr>
              <w:rPr>
                <w:rFonts w:cs="Arial"/>
              </w:rPr>
            </w:pPr>
            <w:r w:rsidRPr="005F161D">
              <w:rPr>
                <w:rFonts w:cs="Arial"/>
              </w:rPr>
              <w:t> </w:t>
            </w:r>
          </w:p>
        </w:tc>
      </w:tr>
      <w:tr w:rsidR="00A42599" w:rsidRPr="005F161D" w14:paraId="3BB8919B" w14:textId="77777777" w:rsidTr="00A42599">
        <w:tc>
          <w:tcPr>
            <w:tcW w:w="1857" w:type="dxa"/>
            <w:shd w:val="clear" w:color="auto" w:fill="auto"/>
            <w:tcMar>
              <w:top w:w="80" w:type="dxa"/>
              <w:left w:w="80" w:type="dxa"/>
              <w:bottom w:w="80" w:type="dxa"/>
              <w:right w:w="80" w:type="dxa"/>
            </w:tcMar>
            <w:hideMark/>
          </w:tcPr>
          <w:p w14:paraId="19A3698F" w14:textId="77777777" w:rsidR="00A42599" w:rsidRPr="005F161D" w:rsidRDefault="00A42599" w:rsidP="00855B92">
            <w:pPr>
              <w:rPr>
                <w:rFonts w:cs="Arial"/>
              </w:rPr>
            </w:pPr>
            <w:r w:rsidRPr="005F161D">
              <w:rPr>
                <w:rFonts w:cs="Arial"/>
              </w:rPr>
              <w:t>Burdekin (Qld)</w:t>
            </w:r>
          </w:p>
        </w:tc>
        <w:tc>
          <w:tcPr>
            <w:tcW w:w="3062" w:type="dxa"/>
            <w:shd w:val="clear" w:color="auto" w:fill="auto"/>
            <w:tcMar>
              <w:top w:w="80" w:type="dxa"/>
              <w:left w:w="80" w:type="dxa"/>
              <w:bottom w:w="80" w:type="dxa"/>
              <w:right w:w="80" w:type="dxa"/>
            </w:tcMar>
            <w:hideMark/>
          </w:tcPr>
          <w:p w14:paraId="2D15526A" w14:textId="77777777" w:rsidR="00A42599" w:rsidRPr="005F161D" w:rsidRDefault="00A42599" w:rsidP="00855B92">
            <w:pPr>
              <w:rPr>
                <w:rFonts w:cs="Arial"/>
              </w:rPr>
            </w:pPr>
            <w:r w:rsidRPr="005F161D">
              <w:rPr>
                <w:rFonts w:cs="Arial"/>
              </w:rPr>
              <w:t>Burdekin Shire Council (033001)</w:t>
            </w:r>
          </w:p>
        </w:tc>
        <w:tc>
          <w:tcPr>
            <w:tcW w:w="1016" w:type="dxa"/>
            <w:shd w:val="clear" w:color="auto" w:fill="auto"/>
            <w:tcMar>
              <w:top w:w="80" w:type="dxa"/>
              <w:left w:w="80" w:type="dxa"/>
              <w:bottom w:w="80" w:type="dxa"/>
              <w:right w:w="80" w:type="dxa"/>
            </w:tcMar>
            <w:hideMark/>
          </w:tcPr>
          <w:p w14:paraId="26078094" w14:textId="77777777" w:rsidR="00A42599" w:rsidRPr="005F161D" w:rsidRDefault="00A42599" w:rsidP="00855B92">
            <w:pPr>
              <w:rPr>
                <w:rFonts w:cs="Arial"/>
              </w:rPr>
            </w:pPr>
            <w:r w:rsidRPr="005F161D">
              <w:rPr>
                <w:rFonts w:cs="Arial"/>
              </w:rPr>
              <w:t>-19.58</w:t>
            </w:r>
          </w:p>
        </w:tc>
        <w:tc>
          <w:tcPr>
            <w:tcW w:w="1224" w:type="dxa"/>
            <w:shd w:val="clear" w:color="auto" w:fill="auto"/>
            <w:tcMar>
              <w:top w:w="80" w:type="dxa"/>
              <w:left w:w="80" w:type="dxa"/>
              <w:bottom w:w="80" w:type="dxa"/>
              <w:right w:w="80" w:type="dxa"/>
            </w:tcMar>
            <w:hideMark/>
          </w:tcPr>
          <w:p w14:paraId="08DC7FF7" w14:textId="77777777" w:rsidR="00A42599" w:rsidRPr="005F161D" w:rsidRDefault="00A42599" w:rsidP="00855B92">
            <w:pPr>
              <w:rPr>
                <w:rFonts w:cs="Arial"/>
              </w:rPr>
            </w:pPr>
            <w:r w:rsidRPr="005F161D">
              <w:rPr>
                <w:rFonts w:cs="Arial"/>
              </w:rPr>
              <w:t>147.41</w:t>
            </w:r>
          </w:p>
        </w:tc>
        <w:tc>
          <w:tcPr>
            <w:tcW w:w="1224" w:type="dxa"/>
            <w:shd w:val="clear" w:color="auto" w:fill="auto"/>
            <w:tcMar>
              <w:top w:w="80" w:type="dxa"/>
              <w:left w:w="80" w:type="dxa"/>
              <w:bottom w:w="80" w:type="dxa"/>
              <w:right w:w="80" w:type="dxa"/>
            </w:tcMar>
            <w:hideMark/>
          </w:tcPr>
          <w:p w14:paraId="0E25E42D" w14:textId="77777777" w:rsidR="00A42599" w:rsidRPr="005F161D" w:rsidRDefault="00A42599" w:rsidP="00855B92">
            <w:pPr>
              <w:rPr>
                <w:rFonts w:cs="Arial"/>
              </w:rPr>
            </w:pPr>
            <w:r w:rsidRPr="005F161D">
              <w:rPr>
                <w:rFonts w:cs="Arial"/>
              </w:rPr>
              <w:t>13</w:t>
            </w:r>
          </w:p>
        </w:tc>
        <w:tc>
          <w:tcPr>
            <w:tcW w:w="2605" w:type="dxa"/>
            <w:shd w:val="clear" w:color="auto" w:fill="auto"/>
            <w:tcMar>
              <w:top w:w="80" w:type="dxa"/>
              <w:left w:w="80" w:type="dxa"/>
              <w:bottom w:w="80" w:type="dxa"/>
              <w:right w:w="80" w:type="dxa"/>
            </w:tcMar>
            <w:hideMark/>
          </w:tcPr>
          <w:p w14:paraId="5EAF43B9" w14:textId="77777777" w:rsidR="00A42599" w:rsidRPr="005F161D" w:rsidRDefault="00A42599" w:rsidP="00855B92">
            <w:pPr>
              <w:rPr>
                <w:rFonts w:cs="Arial"/>
              </w:rPr>
            </w:pPr>
            <w:r w:rsidRPr="005F161D">
              <w:rPr>
                <w:rFonts w:cs="Arial"/>
              </w:rPr>
              <w:t>1970–1982</w:t>
            </w:r>
          </w:p>
        </w:tc>
        <w:tc>
          <w:tcPr>
            <w:tcW w:w="2904" w:type="dxa"/>
            <w:shd w:val="clear" w:color="auto" w:fill="auto"/>
            <w:tcMar>
              <w:top w:w="80" w:type="dxa"/>
              <w:left w:w="80" w:type="dxa"/>
              <w:bottom w:w="80" w:type="dxa"/>
              <w:right w:w="80" w:type="dxa"/>
            </w:tcMar>
            <w:hideMark/>
          </w:tcPr>
          <w:p w14:paraId="04C604F3" w14:textId="77777777" w:rsidR="00A42599" w:rsidRPr="005F161D" w:rsidRDefault="00A42599" w:rsidP="00855B92">
            <w:pPr>
              <w:rPr>
                <w:rFonts w:cs="Arial"/>
              </w:rPr>
            </w:pPr>
            <w:r w:rsidRPr="005F161D">
              <w:rPr>
                <w:rFonts w:cs="Arial"/>
              </w:rPr>
              <w:t> </w:t>
            </w:r>
          </w:p>
        </w:tc>
      </w:tr>
      <w:tr w:rsidR="00A42599" w:rsidRPr="005F161D" w14:paraId="12787B36" w14:textId="77777777" w:rsidTr="00A42599">
        <w:tc>
          <w:tcPr>
            <w:tcW w:w="1857" w:type="dxa"/>
            <w:shd w:val="clear" w:color="auto" w:fill="auto"/>
            <w:tcMar>
              <w:top w:w="80" w:type="dxa"/>
              <w:left w:w="80" w:type="dxa"/>
              <w:bottom w:w="80" w:type="dxa"/>
              <w:right w:w="80" w:type="dxa"/>
            </w:tcMar>
            <w:hideMark/>
          </w:tcPr>
          <w:p w14:paraId="32B6AB0B" w14:textId="77777777" w:rsidR="00A42599" w:rsidRPr="005F161D" w:rsidRDefault="00A42599" w:rsidP="00855B92">
            <w:pPr>
              <w:rPr>
                <w:rFonts w:cs="Arial"/>
              </w:rPr>
            </w:pPr>
            <w:r w:rsidRPr="005F161D">
              <w:rPr>
                <w:rFonts w:cs="Arial"/>
              </w:rPr>
              <w:t>Darwin (NT)</w:t>
            </w:r>
          </w:p>
        </w:tc>
        <w:tc>
          <w:tcPr>
            <w:tcW w:w="3062" w:type="dxa"/>
            <w:shd w:val="clear" w:color="auto" w:fill="auto"/>
            <w:tcMar>
              <w:top w:w="80" w:type="dxa"/>
              <w:left w:w="80" w:type="dxa"/>
              <w:bottom w:w="80" w:type="dxa"/>
              <w:right w:w="80" w:type="dxa"/>
            </w:tcMar>
            <w:hideMark/>
          </w:tcPr>
          <w:p w14:paraId="24CCA6A1" w14:textId="77777777" w:rsidR="00A42599" w:rsidRPr="005F161D" w:rsidRDefault="00A42599" w:rsidP="00855B92">
            <w:pPr>
              <w:rPr>
                <w:rFonts w:cs="Arial"/>
              </w:rPr>
            </w:pPr>
            <w:r w:rsidRPr="005F161D">
              <w:rPr>
                <w:rFonts w:cs="Arial"/>
              </w:rPr>
              <w:t>Darwin Airport (014015)</w:t>
            </w:r>
          </w:p>
        </w:tc>
        <w:tc>
          <w:tcPr>
            <w:tcW w:w="1016" w:type="dxa"/>
            <w:shd w:val="clear" w:color="auto" w:fill="auto"/>
            <w:tcMar>
              <w:top w:w="80" w:type="dxa"/>
              <w:left w:w="80" w:type="dxa"/>
              <w:bottom w:w="80" w:type="dxa"/>
              <w:right w:w="80" w:type="dxa"/>
            </w:tcMar>
            <w:hideMark/>
          </w:tcPr>
          <w:p w14:paraId="5A213BF6" w14:textId="77777777" w:rsidR="00A42599" w:rsidRPr="005F161D" w:rsidRDefault="00A42599" w:rsidP="00855B92">
            <w:pPr>
              <w:rPr>
                <w:rFonts w:cs="Arial"/>
              </w:rPr>
            </w:pPr>
            <w:r w:rsidRPr="005F161D">
              <w:rPr>
                <w:rFonts w:cs="Arial"/>
              </w:rPr>
              <w:t>-12.42</w:t>
            </w:r>
          </w:p>
        </w:tc>
        <w:tc>
          <w:tcPr>
            <w:tcW w:w="1224" w:type="dxa"/>
            <w:shd w:val="clear" w:color="auto" w:fill="auto"/>
            <w:tcMar>
              <w:top w:w="80" w:type="dxa"/>
              <w:left w:w="80" w:type="dxa"/>
              <w:bottom w:w="80" w:type="dxa"/>
              <w:right w:w="80" w:type="dxa"/>
            </w:tcMar>
            <w:hideMark/>
          </w:tcPr>
          <w:p w14:paraId="48064587" w14:textId="77777777" w:rsidR="00A42599" w:rsidRPr="005F161D" w:rsidRDefault="00A42599" w:rsidP="00855B92">
            <w:pPr>
              <w:rPr>
                <w:rFonts w:cs="Arial"/>
              </w:rPr>
            </w:pPr>
            <w:r w:rsidRPr="005F161D">
              <w:rPr>
                <w:rFonts w:cs="Arial"/>
              </w:rPr>
              <w:t>130.89</w:t>
            </w:r>
          </w:p>
        </w:tc>
        <w:tc>
          <w:tcPr>
            <w:tcW w:w="1224" w:type="dxa"/>
            <w:shd w:val="clear" w:color="auto" w:fill="auto"/>
            <w:tcMar>
              <w:top w:w="80" w:type="dxa"/>
              <w:left w:w="80" w:type="dxa"/>
              <w:bottom w:w="80" w:type="dxa"/>
              <w:right w:w="80" w:type="dxa"/>
            </w:tcMar>
            <w:hideMark/>
          </w:tcPr>
          <w:p w14:paraId="33A61ADE" w14:textId="77777777" w:rsidR="00A42599" w:rsidRPr="005F161D" w:rsidRDefault="00A42599" w:rsidP="00855B92">
            <w:pPr>
              <w:rPr>
                <w:rFonts w:cs="Arial"/>
              </w:rPr>
            </w:pPr>
            <w:r w:rsidRPr="005F161D">
              <w:rPr>
                <w:rFonts w:cs="Arial"/>
              </w:rPr>
              <w:t>30</w:t>
            </w:r>
          </w:p>
        </w:tc>
        <w:tc>
          <w:tcPr>
            <w:tcW w:w="2605" w:type="dxa"/>
            <w:shd w:val="clear" w:color="auto" w:fill="auto"/>
            <w:tcMar>
              <w:top w:w="80" w:type="dxa"/>
              <w:left w:w="80" w:type="dxa"/>
              <w:bottom w:w="80" w:type="dxa"/>
              <w:right w:w="80" w:type="dxa"/>
            </w:tcMar>
            <w:hideMark/>
          </w:tcPr>
          <w:p w14:paraId="066193CA" w14:textId="77777777" w:rsidR="00A42599" w:rsidRPr="005F161D" w:rsidRDefault="00A42599" w:rsidP="00855B92">
            <w:pPr>
              <w:rPr>
                <w:rFonts w:cs="Arial"/>
              </w:rPr>
            </w:pPr>
            <w:r w:rsidRPr="005F161D">
              <w:rPr>
                <w:rFonts w:cs="Arial"/>
              </w:rPr>
              <w:t>1963–2012</w:t>
            </w:r>
          </w:p>
        </w:tc>
        <w:tc>
          <w:tcPr>
            <w:tcW w:w="2904" w:type="dxa"/>
            <w:shd w:val="clear" w:color="auto" w:fill="auto"/>
            <w:tcMar>
              <w:top w:w="80" w:type="dxa"/>
              <w:left w:w="80" w:type="dxa"/>
              <w:bottom w:w="80" w:type="dxa"/>
              <w:right w:w="80" w:type="dxa"/>
            </w:tcMar>
            <w:hideMark/>
          </w:tcPr>
          <w:p w14:paraId="686F5764" w14:textId="77777777" w:rsidR="00A42599" w:rsidRPr="005F161D" w:rsidRDefault="00A42599" w:rsidP="00855B92">
            <w:pPr>
              <w:rPr>
                <w:rFonts w:cs="Arial"/>
              </w:rPr>
            </w:pPr>
            <w:r w:rsidRPr="005F161D">
              <w:rPr>
                <w:rFonts w:cs="Arial"/>
              </w:rPr>
              <w:t> </w:t>
            </w:r>
          </w:p>
        </w:tc>
      </w:tr>
      <w:tr w:rsidR="00A42599" w:rsidRPr="005F161D" w14:paraId="78D98160" w14:textId="77777777" w:rsidTr="00A42599">
        <w:tc>
          <w:tcPr>
            <w:tcW w:w="1857" w:type="dxa"/>
            <w:shd w:val="clear" w:color="auto" w:fill="auto"/>
            <w:tcMar>
              <w:top w:w="80" w:type="dxa"/>
              <w:left w:w="80" w:type="dxa"/>
              <w:bottom w:w="80" w:type="dxa"/>
              <w:right w:w="80" w:type="dxa"/>
            </w:tcMar>
            <w:hideMark/>
          </w:tcPr>
          <w:p w14:paraId="331B7EF7" w14:textId="77777777" w:rsidR="00A42599" w:rsidRPr="005F161D" w:rsidRDefault="00A42599" w:rsidP="00855B92">
            <w:pPr>
              <w:rPr>
                <w:rFonts w:cs="Arial"/>
              </w:rPr>
            </w:pPr>
            <w:r w:rsidRPr="005F161D">
              <w:rPr>
                <w:rFonts w:cs="Arial"/>
              </w:rPr>
              <w:t>Longreach (Qld)</w:t>
            </w:r>
          </w:p>
        </w:tc>
        <w:tc>
          <w:tcPr>
            <w:tcW w:w="3062" w:type="dxa"/>
            <w:shd w:val="clear" w:color="auto" w:fill="auto"/>
            <w:tcMar>
              <w:top w:w="80" w:type="dxa"/>
              <w:left w:w="80" w:type="dxa"/>
              <w:bottom w:w="80" w:type="dxa"/>
              <w:right w:w="80" w:type="dxa"/>
            </w:tcMar>
            <w:hideMark/>
          </w:tcPr>
          <w:p w14:paraId="40E293FC" w14:textId="77777777" w:rsidR="00A42599" w:rsidRPr="005F161D" w:rsidRDefault="00A42599" w:rsidP="00855B92">
            <w:pPr>
              <w:rPr>
                <w:rFonts w:cs="Arial"/>
              </w:rPr>
            </w:pPr>
            <w:r w:rsidRPr="005F161D">
              <w:rPr>
                <w:rFonts w:cs="Arial"/>
              </w:rPr>
              <w:t>Longreach Aero (036031)</w:t>
            </w:r>
          </w:p>
        </w:tc>
        <w:tc>
          <w:tcPr>
            <w:tcW w:w="1016" w:type="dxa"/>
            <w:shd w:val="clear" w:color="auto" w:fill="auto"/>
            <w:tcMar>
              <w:top w:w="80" w:type="dxa"/>
              <w:left w:w="80" w:type="dxa"/>
              <w:bottom w:w="80" w:type="dxa"/>
              <w:right w:w="80" w:type="dxa"/>
            </w:tcMar>
            <w:hideMark/>
          </w:tcPr>
          <w:p w14:paraId="4F54049C" w14:textId="77777777" w:rsidR="00A42599" w:rsidRPr="005F161D" w:rsidRDefault="00A42599" w:rsidP="00855B92">
            <w:pPr>
              <w:rPr>
                <w:rFonts w:cs="Arial"/>
              </w:rPr>
            </w:pPr>
            <w:r w:rsidRPr="005F161D">
              <w:rPr>
                <w:rFonts w:cs="Arial"/>
              </w:rPr>
              <w:t>-23.44</w:t>
            </w:r>
          </w:p>
        </w:tc>
        <w:tc>
          <w:tcPr>
            <w:tcW w:w="1224" w:type="dxa"/>
            <w:shd w:val="clear" w:color="auto" w:fill="auto"/>
            <w:tcMar>
              <w:top w:w="80" w:type="dxa"/>
              <w:left w:w="80" w:type="dxa"/>
              <w:bottom w:w="80" w:type="dxa"/>
              <w:right w:w="80" w:type="dxa"/>
            </w:tcMar>
            <w:hideMark/>
          </w:tcPr>
          <w:p w14:paraId="6541BB3F" w14:textId="77777777" w:rsidR="00A42599" w:rsidRPr="005F161D" w:rsidRDefault="00A42599" w:rsidP="00855B92">
            <w:pPr>
              <w:rPr>
                <w:rFonts w:cs="Arial"/>
              </w:rPr>
            </w:pPr>
            <w:r w:rsidRPr="005F161D">
              <w:rPr>
                <w:rFonts w:cs="Arial"/>
              </w:rPr>
              <w:t>144.28</w:t>
            </w:r>
          </w:p>
        </w:tc>
        <w:tc>
          <w:tcPr>
            <w:tcW w:w="1224" w:type="dxa"/>
            <w:shd w:val="clear" w:color="auto" w:fill="auto"/>
            <w:tcMar>
              <w:top w:w="80" w:type="dxa"/>
              <w:left w:w="80" w:type="dxa"/>
              <w:bottom w:w="80" w:type="dxa"/>
              <w:right w:w="80" w:type="dxa"/>
            </w:tcMar>
            <w:hideMark/>
          </w:tcPr>
          <w:p w14:paraId="25B95347" w14:textId="77777777" w:rsidR="00A42599" w:rsidRPr="005F161D" w:rsidRDefault="00A42599" w:rsidP="00855B92">
            <w:pPr>
              <w:rPr>
                <w:rFonts w:cs="Arial"/>
              </w:rPr>
            </w:pPr>
            <w:r w:rsidRPr="005F161D">
              <w:rPr>
                <w:rFonts w:cs="Arial"/>
              </w:rPr>
              <w:t>192</w:t>
            </w:r>
          </w:p>
        </w:tc>
        <w:tc>
          <w:tcPr>
            <w:tcW w:w="2605" w:type="dxa"/>
            <w:shd w:val="clear" w:color="auto" w:fill="auto"/>
            <w:tcMar>
              <w:top w:w="80" w:type="dxa"/>
              <w:left w:w="80" w:type="dxa"/>
              <w:bottom w:w="80" w:type="dxa"/>
              <w:right w:w="80" w:type="dxa"/>
            </w:tcMar>
            <w:hideMark/>
          </w:tcPr>
          <w:p w14:paraId="51BC9A24" w14:textId="77777777" w:rsidR="00A42599" w:rsidRPr="005F161D" w:rsidRDefault="00A42599" w:rsidP="00855B92">
            <w:pPr>
              <w:rPr>
                <w:rFonts w:cs="Arial"/>
              </w:rPr>
            </w:pPr>
            <w:r w:rsidRPr="005F161D">
              <w:rPr>
                <w:rFonts w:cs="Arial"/>
              </w:rPr>
              <w:t>1970-1991</w:t>
            </w:r>
          </w:p>
        </w:tc>
        <w:tc>
          <w:tcPr>
            <w:tcW w:w="2904" w:type="dxa"/>
            <w:shd w:val="clear" w:color="auto" w:fill="auto"/>
            <w:tcMar>
              <w:top w:w="80" w:type="dxa"/>
              <w:left w:w="80" w:type="dxa"/>
              <w:bottom w:w="80" w:type="dxa"/>
              <w:right w:w="80" w:type="dxa"/>
            </w:tcMar>
            <w:hideMark/>
          </w:tcPr>
          <w:p w14:paraId="4B723EA1" w14:textId="77777777" w:rsidR="00A42599" w:rsidRPr="005F161D" w:rsidRDefault="00A42599" w:rsidP="00855B92">
            <w:pPr>
              <w:rPr>
                <w:rFonts w:cs="Arial"/>
              </w:rPr>
            </w:pPr>
            <w:r w:rsidRPr="005F161D">
              <w:rPr>
                <w:rFonts w:cs="Arial"/>
              </w:rPr>
              <w:t> </w:t>
            </w:r>
          </w:p>
        </w:tc>
      </w:tr>
      <w:tr w:rsidR="00A42599" w:rsidRPr="005F161D" w14:paraId="4FDAA699" w14:textId="77777777" w:rsidTr="00A42599">
        <w:tc>
          <w:tcPr>
            <w:tcW w:w="1857" w:type="dxa"/>
            <w:shd w:val="clear" w:color="auto" w:fill="auto"/>
            <w:tcMar>
              <w:top w:w="80" w:type="dxa"/>
              <w:left w:w="80" w:type="dxa"/>
              <w:bottom w:w="80" w:type="dxa"/>
              <w:right w:w="80" w:type="dxa"/>
            </w:tcMar>
            <w:hideMark/>
          </w:tcPr>
          <w:p w14:paraId="4B452660" w14:textId="77777777" w:rsidR="00A42599" w:rsidRPr="005F161D" w:rsidRDefault="00A42599" w:rsidP="00855B92">
            <w:pPr>
              <w:rPr>
                <w:rFonts w:cs="Arial"/>
              </w:rPr>
            </w:pPr>
            <w:r w:rsidRPr="005F161D">
              <w:rPr>
                <w:rFonts w:cs="Arial"/>
              </w:rPr>
              <w:t>Mackay (Qld)</w:t>
            </w:r>
          </w:p>
        </w:tc>
        <w:tc>
          <w:tcPr>
            <w:tcW w:w="3062" w:type="dxa"/>
            <w:shd w:val="clear" w:color="auto" w:fill="auto"/>
            <w:tcMar>
              <w:top w:w="80" w:type="dxa"/>
              <w:left w:w="80" w:type="dxa"/>
              <w:bottom w:w="80" w:type="dxa"/>
              <w:right w:w="80" w:type="dxa"/>
            </w:tcMar>
            <w:hideMark/>
          </w:tcPr>
          <w:p w14:paraId="36DE1D4C" w14:textId="77777777" w:rsidR="00A42599" w:rsidRPr="005F161D" w:rsidRDefault="00A42599" w:rsidP="00855B92">
            <w:pPr>
              <w:rPr>
                <w:rFonts w:cs="Arial"/>
              </w:rPr>
            </w:pPr>
            <w:r w:rsidRPr="005F161D">
              <w:rPr>
                <w:rFonts w:cs="Arial"/>
              </w:rPr>
              <w:t>Mackay M.O (033119)</w:t>
            </w:r>
          </w:p>
        </w:tc>
        <w:tc>
          <w:tcPr>
            <w:tcW w:w="1016" w:type="dxa"/>
            <w:shd w:val="clear" w:color="auto" w:fill="auto"/>
            <w:tcMar>
              <w:top w:w="80" w:type="dxa"/>
              <w:left w:w="80" w:type="dxa"/>
              <w:bottom w:w="80" w:type="dxa"/>
              <w:right w:w="80" w:type="dxa"/>
            </w:tcMar>
            <w:hideMark/>
          </w:tcPr>
          <w:p w14:paraId="0216C015" w14:textId="77777777" w:rsidR="00A42599" w:rsidRPr="005F161D" w:rsidRDefault="00A42599" w:rsidP="00855B92">
            <w:pPr>
              <w:rPr>
                <w:rFonts w:cs="Arial"/>
              </w:rPr>
            </w:pPr>
            <w:r w:rsidRPr="005F161D">
              <w:rPr>
                <w:rFonts w:cs="Arial"/>
              </w:rPr>
              <w:t>-21.12</w:t>
            </w:r>
          </w:p>
        </w:tc>
        <w:tc>
          <w:tcPr>
            <w:tcW w:w="1224" w:type="dxa"/>
            <w:shd w:val="clear" w:color="auto" w:fill="auto"/>
            <w:tcMar>
              <w:top w:w="80" w:type="dxa"/>
              <w:left w:w="80" w:type="dxa"/>
              <w:bottom w:w="80" w:type="dxa"/>
              <w:right w:w="80" w:type="dxa"/>
            </w:tcMar>
            <w:hideMark/>
          </w:tcPr>
          <w:p w14:paraId="3DD3A671" w14:textId="77777777" w:rsidR="00A42599" w:rsidRPr="005F161D" w:rsidRDefault="00A42599" w:rsidP="00855B92">
            <w:pPr>
              <w:rPr>
                <w:rFonts w:cs="Arial"/>
              </w:rPr>
            </w:pPr>
            <w:r w:rsidRPr="005F161D">
              <w:rPr>
                <w:rFonts w:cs="Arial"/>
              </w:rPr>
              <w:t>149.22</w:t>
            </w:r>
          </w:p>
        </w:tc>
        <w:tc>
          <w:tcPr>
            <w:tcW w:w="1224" w:type="dxa"/>
            <w:shd w:val="clear" w:color="auto" w:fill="auto"/>
            <w:tcMar>
              <w:top w:w="80" w:type="dxa"/>
              <w:left w:w="80" w:type="dxa"/>
              <w:bottom w:w="80" w:type="dxa"/>
              <w:right w:w="80" w:type="dxa"/>
            </w:tcMar>
            <w:hideMark/>
          </w:tcPr>
          <w:p w14:paraId="7BA51B76" w14:textId="77777777" w:rsidR="00A42599" w:rsidRPr="005F161D" w:rsidRDefault="00A42599" w:rsidP="00855B92">
            <w:pPr>
              <w:rPr>
                <w:rFonts w:cs="Arial"/>
              </w:rPr>
            </w:pPr>
            <w:r w:rsidRPr="005F161D">
              <w:rPr>
                <w:rFonts w:cs="Arial"/>
              </w:rPr>
              <w:t>30</w:t>
            </w:r>
          </w:p>
        </w:tc>
        <w:tc>
          <w:tcPr>
            <w:tcW w:w="2605" w:type="dxa"/>
            <w:shd w:val="clear" w:color="auto" w:fill="auto"/>
            <w:tcMar>
              <w:top w:w="80" w:type="dxa"/>
              <w:left w:w="80" w:type="dxa"/>
              <w:bottom w:w="80" w:type="dxa"/>
              <w:right w:w="80" w:type="dxa"/>
            </w:tcMar>
            <w:hideMark/>
          </w:tcPr>
          <w:p w14:paraId="081B699E" w14:textId="77777777" w:rsidR="00A42599" w:rsidRPr="005F161D" w:rsidRDefault="00A42599" w:rsidP="00855B92">
            <w:pPr>
              <w:rPr>
                <w:rFonts w:cs="Arial"/>
              </w:rPr>
            </w:pPr>
            <w:r w:rsidRPr="005F161D">
              <w:rPr>
                <w:rFonts w:cs="Arial"/>
              </w:rPr>
              <w:t>1970-1991</w:t>
            </w:r>
          </w:p>
        </w:tc>
        <w:tc>
          <w:tcPr>
            <w:tcW w:w="2904" w:type="dxa"/>
            <w:shd w:val="clear" w:color="auto" w:fill="auto"/>
            <w:tcMar>
              <w:top w:w="80" w:type="dxa"/>
              <w:left w:w="80" w:type="dxa"/>
              <w:bottom w:w="80" w:type="dxa"/>
              <w:right w:w="80" w:type="dxa"/>
            </w:tcMar>
            <w:hideMark/>
          </w:tcPr>
          <w:p w14:paraId="1EAF8DAB" w14:textId="77777777" w:rsidR="00A42599" w:rsidRPr="005F161D" w:rsidRDefault="00A42599" w:rsidP="00855B92">
            <w:pPr>
              <w:rPr>
                <w:rFonts w:cs="Arial"/>
              </w:rPr>
            </w:pPr>
            <w:r w:rsidRPr="005F161D">
              <w:rPr>
                <w:rFonts w:cs="Arial"/>
              </w:rPr>
              <w:t> </w:t>
            </w:r>
          </w:p>
        </w:tc>
      </w:tr>
      <w:tr w:rsidR="00A42599" w:rsidRPr="005F161D" w14:paraId="1BDD4C8E" w14:textId="77777777" w:rsidTr="00A42599">
        <w:tc>
          <w:tcPr>
            <w:tcW w:w="1857" w:type="dxa"/>
            <w:vMerge w:val="restart"/>
            <w:shd w:val="clear" w:color="auto" w:fill="auto"/>
            <w:tcMar>
              <w:top w:w="80" w:type="dxa"/>
              <w:left w:w="80" w:type="dxa"/>
              <w:bottom w:w="80" w:type="dxa"/>
              <w:right w:w="80" w:type="dxa"/>
            </w:tcMar>
            <w:hideMark/>
          </w:tcPr>
          <w:p w14:paraId="12360E62" w14:textId="77777777" w:rsidR="00A42599" w:rsidRPr="005F161D" w:rsidRDefault="00A42599" w:rsidP="00855B92">
            <w:pPr>
              <w:rPr>
                <w:rFonts w:cs="Arial"/>
              </w:rPr>
            </w:pPr>
            <w:r w:rsidRPr="005F161D">
              <w:rPr>
                <w:rFonts w:cs="Arial"/>
              </w:rPr>
              <w:t>Melbourne (Vic)*</w:t>
            </w:r>
          </w:p>
          <w:p w14:paraId="3ED26E10" w14:textId="77777777" w:rsidR="00A42599" w:rsidRPr="005F161D" w:rsidRDefault="00A42599" w:rsidP="00855B92">
            <w:pPr>
              <w:rPr>
                <w:rFonts w:cs="Arial"/>
              </w:rPr>
            </w:pPr>
            <w:r w:rsidRPr="005F161D">
              <w:rPr>
                <w:rFonts w:cs="Arial"/>
              </w:rPr>
              <w:t> </w:t>
            </w:r>
          </w:p>
        </w:tc>
        <w:tc>
          <w:tcPr>
            <w:tcW w:w="3062" w:type="dxa"/>
            <w:shd w:val="clear" w:color="auto" w:fill="auto"/>
            <w:tcMar>
              <w:top w:w="80" w:type="dxa"/>
              <w:left w:w="80" w:type="dxa"/>
              <w:bottom w:w="80" w:type="dxa"/>
              <w:right w:w="80" w:type="dxa"/>
            </w:tcMar>
            <w:hideMark/>
          </w:tcPr>
          <w:p w14:paraId="29D538F3" w14:textId="77777777" w:rsidR="00A42599" w:rsidRPr="005F161D" w:rsidRDefault="00A42599" w:rsidP="00855B92">
            <w:pPr>
              <w:rPr>
                <w:rFonts w:cs="Arial"/>
              </w:rPr>
            </w:pPr>
            <w:r w:rsidRPr="005F161D">
              <w:rPr>
                <w:rFonts w:cs="Arial"/>
              </w:rPr>
              <w:t>Melbourne Regional Office (086071)</w:t>
            </w:r>
          </w:p>
        </w:tc>
        <w:tc>
          <w:tcPr>
            <w:tcW w:w="1016" w:type="dxa"/>
            <w:shd w:val="clear" w:color="auto" w:fill="auto"/>
            <w:tcMar>
              <w:top w:w="80" w:type="dxa"/>
              <w:left w:w="80" w:type="dxa"/>
              <w:bottom w:w="80" w:type="dxa"/>
              <w:right w:w="80" w:type="dxa"/>
            </w:tcMar>
            <w:hideMark/>
          </w:tcPr>
          <w:p w14:paraId="73F693A6" w14:textId="77777777" w:rsidR="00A42599" w:rsidRPr="005F161D" w:rsidRDefault="00A42599" w:rsidP="00855B92">
            <w:pPr>
              <w:rPr>
                <w:rFonts w:cs="Arial"/>
              </w:rPr>
            </w:pPr>
            <w:r w:rsidRPr="005F161D">
              <w:rPr>
                <w:rFonts w:cs="Arial"/>
              </w:rPr>
              <w:t>-37.81</w:t>
            </w:r>
          </w:p>
        </w:tc>
        <w:tc>
          <w:tcPr>
            <w:tcW w:w="1224" w:type="dxa"/>
            <w:shd w:val="clear" w:color="auto" w:fill="auto"/>
            <w:tcMar>
              <w:top w:w="80" w:type="dxa"/>
              <w:left w:w="80" w:type="dxa"/>
              <w:bottom w:w="80" w:type="dxa"/>
              <w:right w:w="80" w:type="dxa"/>
            </w:tcMar>
            <w:hideMark/>
          </w:tcPr>
          <w:p w14:paraId="558B2B2F" w14:textId="77777777" w:rsidR="00A42599" w:rsidRPr="005F161D" w:rsidRDefault="00A42599" w:rsidP="00855B92">
            <w:pPr>
              <w:rPr>
                <w:rFonts w:cs="Arial"/>
              </w:rPr>
            </w:pPr>
            <w:r w:rsidRPr="005F161D">
              <w:rPr>
                <w:rFonts w:cs="Arial"/>
              </w:rPr>
              <w:t>144.97</w:t>
            </w:r>
          </w:p>
        </w:tc>
        <w:tc>
          <w:tcPr>
            <w:tcW w:w="1224" w:type="dxa"/>
            <w:shd w:val="clear" w:color="auto" w:fill="auto"/>
            <w:tcMar>
              <w:top w:w="80" w:type="dxa"/>
              <w:left w:w="80" w:type="dxa"/>
              <w:bottom w:w="80" w:type="dxa"/>
              <w:right w:w="80" w:type="dxa"/>
            </w:tcMar>
            <w:hideMark/>
          </w:tcPr>
          <w:p w14:paraId="570488DC" w14:textId="77777777" w:rsidR="00A42599" w:rsidRPr="005F161D" w:rsidRDefault="00A42599" w:rsidP="00855B92">
            <w:pPr>
              <w:rPr>
                <w:rFonts w:cs="Arial"/>
              </w:rPr>
            </w:pPr>
            <w:r w:rsidRPr="005F161D">
              <w:rPr>
                <w:rFonts w:cs="Arial"/>
              </w:rPr>
              <w:t>31</w:t>
            </w:r>
          </w:p>
        </w:tc>
        <w:tc>
          <w:tcPr>
            <w:tcW w:w="2605" w:type="dxa"/>
            <w:shd w:val="clear" w:color="auto" w:fill="auto"/>
            <w:tcMar>
              <w:top w:w="80" w:type="dxa"/>
              <w:left w:w="80" w:type="dxa"/>
              <w:bottom w:w="80" w:type="dxa"/>
              <w:right w:w="80" w:type="dxa"/>
            </w:tcMar>
            <w:hideMark/>
          </w:tcPr>
          <w:p w14:paraId="64033124" w14:textId="77777777" w:rsidR="00A42599" w:rsidRPr="005F161D" w:rsidRDefault="00A42599" w:rsidP="00855B92">
            <w:pPr>
              <w:rPr>
                <w:rFonts w:cs="Arial"/>
              </w:rPr>
            </w:pPr>
            <w:r w:rsidRPr="005F161D">
              <w:rPr>
                <w:rFonts w:cs="Arial"/>
              </w:rPr>
              <w:t>1960-1999*</w:t>
            </w:r>
          </w:p>
        </w:tc>
        <w:tc>
          <w:tcPr>
            <w:tcW w:w="2904" w:type="dxa"/>
            <w:shd w:val="clear" w:color="auto" w:fill="auto"/>
            <w:tcMar>
              <w:top w:w="80" w:type="dxa"/>
              <w:left w:w="80" w:type="dxa"/>
              <w:bottom w:w="80" w:type="dxa"/>
              <w:right w:w="80" w:type="dxa"/>
            </w:tcMar>
            <w:hideMark/>
          </w:tcPr>
          <w:p w14:paraId="69812E62" w14:textId="77777777" w:rsidR="00A42599" w:rsidRPr="005F161D" w:rsidRDefault="00A42599" w:rsidP="00855B92">
            <w:pPr>
              <w:rPr>
                <w:rFonts w:cs="Arial"/>
              </w:rPr>
            </w:pPr>
            <w:r w:rsidRPr="005F161D">
              <w:rPr>
                <w:rFonts w:cs="Arial"/>
              </w:rPr>
              <w:t>*Data continuity maintained by Melbourne Airport (086282)</w:t>
            </w:r>
          </w:p>
        </w:tc>
      </w:tr>
      <w:tr w:rsidR="00A42599" w:rsidRPr="005F161D" w14:paraId="0D24D05B" w14:textId="77777777" w:rsidTr="00A42599">
        <w:tc>
          <w:tcPr>
            <w:tcW w:w="1857" w:type="dxa"/>
            <w:vMerge/>
            <w:shd w:val="clear" w:color="auto" w:fill="auto"/>
            <w:tcMar>
              <w:top w:w="80" w:type="dxa"/>
              <w:left w:w="80" w:type="dxa"/>
              <w:bottom w:w="80" w:type="dxa"/>
              <w:right w:w="80" w:type="dxa"/>
            </w:tcMar>
            <w:hideMark/>
          </w:tcPr>
          <w:p w14:paraId="13CEAD18" w14:textId="77777777" w:rsidR="00A42599" w:rsidRPr="005F161D" w:rsidRDefault="00A42599" w:rsidP="00855B92">
            <w:pPr>
              <w:rPr>
                <w:rFonts w:cs="Arial"/>
              </w:rPr>
            </w:pPr>
          </w:p>
        </w:tc>
        <w:tc>
          <w:tcPr>
            <w:tcW w:w="3062" w:type="dxa"/>
            <w:shd w:val="clear" w:color="auto" w:fill="auto"/>
            <w:tcMar>
              <w:top w:w="80" w:type="dxa"/>
              <w:left w:w="80" w:type="dxa"/>
              <w:bottom w:w="80" w:type="dxa"/>
              <w:right w:w="80" w:type="dxa"/>
            </w:tcMar>
            <w:hideMark/>
          </w:tcPr>
          <w:p w14:paraId="7AD32C76" w14:textId="77777777" w:rsidR="00A42599" w:rsidRPr="005F161D" w:rsidRDefault="00A42599" w:rsidP="00855B92">
            <w:pPr>
              <w:rPr>
                <w:rFonts w:cs="Arial"/>
              </w:rPr>
            </w:pPr>
            <w:r w:rsidRPr="005F161D">
              <w:rPr>
                <w:rFonts w:cs="Arial"/>
              </w:rPr>
              <w:t>Melbourne Airport (086282)</w:t>
            </w:r>
          </w:p>
        </w:tc>
        <w:tc>
          <w:tcPr>
            <w:tcW w:w="1016" w:type="dxa"/>
            <w:shd w:val="clear" w:color="auto" w:fill="auto"/>
            <w:tcMar>
              <w:top w:w="80" w:type="dxa"/>
              <w:left w:w="80" w:type="dxa"/>
              <w:bottom w:w="80" w:type="dxa"/>
              <w:right w:w="80" w:type="dxa"/>
            </w:tcMar>
            <w:hideMark/>
          </w:tcPr>
          <w:p w14:paraId="125D944B" w14:textId="77777777" w:rsidR="00A42599" w:rsidRPr="005F161D" w:rsidRDefault="00A42599" w:rsidP="00855B92">
            <w:pPr>
              <w:rPr>
                <w:rFonts w:cs="Arial"/>
              </w:rPr>
            </w:pPr>
            <w:r w:rsidRPr="005F161D">
              <w:rPr>
                <w:rFonts w:cs="Arial"/>
              </w:rPr>
              <w:t>-37.67</w:t>
            </w:r>
          </w:p>
        </w:tc>
        <w:tc>
          <w:tcPr>
            <w:tcW w:w="1224" w:type="dxa"/>
            <w:shd w:val="clear" w:color="auto" w:fill="auto"/>
            <w:tcMar>
              <w:top w:w="80" w:type="dxa"/>
              <w:left w:w="80" w:type="dxa"/>
              <w:bottom w:w="80" w:type="dxa"/>
              <w:right w:w="80" w:type="dxa"/>
            </w:tcMar>
            <w:hideMark/>
          </w:tcPr>
          <w:p w14:paraId="2B0ECA9A" w14:textId="77777777" w:rsidR="00A42599" w:rsidRPr="005F161D" w:rsidRDefault="00A42599" w:rsidP="00855B92">
            <w:pPr>
              <w:rPr>
                <w:rFonts w:cs="Arial"/>
              </w:rPr>
            </w:pPr>
            <w:r w:rsidRPr="005F161D">
              <w:rPr>
                <w:rFonts w:cs="Arial"/>
              </w:rPr>
              <w:t>144.83</w:t>
            </w:r>
          </w:p>
        </w:tc>
        <w:tc>
          <w:tcPr>
            <w:tcW w:w="1224" w:type="dxa"/>
            <w:shd w:val="clear" w:color="auto" w:fill="auto"/>
            <w:tcMar>
              <w:top w:w="80" w:type="dxa"/>
              <w:left w:w="80" w:type="dxa"/>
              <w:bottom w:w="80" w:type="dxa"/>
              <w:right w:w="80" w:type="dxa"/>
            </w:tcMar>
            <w:hideMark/>
          </w:tcPr>
          <w:p w14:paraId="717F491D" w14:textId="77777777" w:rsidR="00A42599" w:rsidRPr="005F161D" w:rsidRDefault="00A42599" w:rsidP="00855B92">
            <w:pPr>
              <w:rPr>
                <w:rFonts w:cs="Arial"/>
              </w:rPr>
            </w:pPr>
            <w:r w:rsidRPr="005F161D">
              <w:rPr>
                <w:rFonts w:cs="Arial"/>
              </w:rPr>
              <w:t>113</w:t>
            </w:r>
          </w:p>
        </w:tc>
        <w:tc>
          <w:tcPr>
            <w:tcW w:w="2605" w:type="dxa"/>
            <w:shd w:val="clear" w:color="auto" w:fill="auto"/>
            <w:tcMar>
              <w:top w:w="80" w:type="dxa"/>
              <w:left w:w="80" w:type="dxa"/>
              <w:bottom w:w="80" w:type="dxa"/>
              <w:right w:w="80" w:type="dxa"/>
            </w:tcMar>
            <w:hideMark/>
          </w:tcPr>
          <w:p w14:paraId="3B24CF34" w14:textId="77777777" w:rsidR="00A42599" w:rsidRPr="005F161D" w:rsidRDefault="00A42599" w:rsidP="00855B92">
            <w:pPr>
              <w:rPr>
                <w:rFonts w:cs="Arial"/>
              </w:rPr>
            </w:pPr>
            <w:r w:rsidRPr="005F161D">
              <w:rPr>
                <w:rFonts w:cs="Arial"/>
              </w:rPr>
              <w:t>2005-2012</w:t>
            </w:r>
          </w:p>
        </w:tc>
        <w:tc>
          <w:tcPr>
            <w:tcW w:w="2904" w:type="dxa"/>
            <w:shd w:val="clear" w:color="auto" w:fill="auto"/>
            <w:tcMar>
              <w:top w:w="80" w:type="dxa"/>
              <w:left w:w="80" w:type="dxa"/>
              <w:bottom w:w="80" w:type="dxa"/>
              <w:right w:w="80" w:type="dxa"/>
            </w:tcMar>
            <w:hideMark/>
          </w:tcPr>
          <w:p w14:paraId="0E2DC680" w14:textId="77777777" w:rsidR="00A42599" w:rsidRPr="005F161D" w:rsidRDefault="00A42599" w:rsidP="00855B92">
            <w:pPr>
              <w:rPr>
                <w:rFonts w:cs="Arial"/>
              </w:rPr>
            </w:pPr>
            <w:r w:rsidRPr="005F161D">
              <w:rPr>
                <w:rFonts w:cs="Arial"/>
              </w:rPr>
              <w:t> </w:t>
            </w:r>
          </w:p>
        </w:tc>
      </w:tr>
      <w:tr w:rsidR="00A42599" w:rsidRPr="005F161D" w14:paraId="4F66FDA4" w14:textId="77777777" w:rsidTr="00A42599">
        <w:tc>
          <w:tcPr>
            <w:tcW w:w="1857" w:type="dxa"/>
            <w:shd w:val="clear" w:color="auto" w:fill="auto"/>
            <w:tcMar>
              <w:top w:w="80" w:type="dxa"/>
              <w:left w:w="80" w:type="dxa"/>
              <w:bottom w:w="80" w:type="dxa"/>
              <w:right w:w="80" w:type="dxa"/>
            </w:tcMar>
            <w:hideMark/>
          </w:tcPr>
          <w:p w14:paraId="5859DAD8" w14:textId="77777777" w:rsidR="00A42599" w:rsidRPr="005F161D" w:rsidRDefault="00A42599" w:rsidP="00855B92">
            <w:pPr>
              <w:rPr>
                <w:rFonts w:cs="Arial"/>
              </w:rPr>
            </w:pPr>
            <w:r w:rsidRPr="005F161D">
              <w:rPr>
                <w:rFonts w:cs="Arial"/>
              </w:rPr>
              <w:t>Narrabri (NSW)</w:t>
            </w:r>
          </w:p>
        </w:tc>
        <w:tc>
          <w:tcPr>
            <w:tcW w:w="3062" w:type="dxa"/>
            <w:shd w:val="clear" w:color="auto" w:fill="auto"/>
            <w:tcMar>
              <w:top w:w="80" w:type="dxa"/>
              <w:left w:w="80" w:type="dxa"/>
              <w:bottom w:w="80" w:type="dxa"/>
              <w:right w:w="80" w:type="dxa"/>
            </w:tcMar>
            <w:hideMark/>
          </w:tcPr>
          <w:p w14:paraId="0A2D7B9F" w14:textId="77777777" w:rsidR="00A42599" w:rsidRPr="005F161D" w:rsidRDefault="00A42599" w:rsidP="00855B92">
            <w:pPr>
              <w:rPr>
                <w:rFonts w:cs="Arial"/>
              </w:rPr>
            </w:pPr>
            <w:r w:rsidRPr="005F161D">
              <w:rPr>
                <w:rFonts w:cs="Arial"/>
              </w:rPr>
              <w:t>Narrabri West Post Office (053030)</w:t>
            </w:r>
          </w:p>
        </w:tc>
        <w:tc>
          <w:tcPr>
            <w:tcW w:w="1016" w:type="dxa"/>
            <w:shd w:val="clear" w:color="auto" w:fill="auto"/>
            <w:tcMar>
              <w:top w:w="80" w:type="dxa"/>
              <w:left w:w="80" w:type="dxa"/>
              <w:bottom w:w="80" w:type="dxa"/>
              <w:right w:w="80" w:type="dxa"/>
            </w:tcMar>
            <w:hideMark/>
          </w:tcPr>
          <w:p w14:paraId="0DEC2C80" w14:textId="77777777" w:rsidR="00A42599" w:rsidRPr="005F161D" w:rsidRDefault="00A42599" w:rsidP="00855B92">
            <w:pPr>
              <w:rPr>
                <w:rFonts w:cs="Arial"/>
              </w:rPr>
            </w:pPr>
            <w:r w:rsidRPr="005F161D">
              <w:rPr>
                <w:rFonts w:cs="Arial"/>
              </w:rPr>
              <w:t>-30.34</w:t>
            </w:r>
          </w:p>
        </w:tc>
        <w:tc>
          <w:tcPr>
            <w:tcW w:w="1224" w:type="dxa"/>
            <w:shd w:val="clear" w:color="auto" w:fill="auto"/>
            <w:tcMar>
              <w:top w:w="80" w:type="dxa"/>
              <w:left w:w="80" w:type="dxa"/>
              <w:bottom w:w="80" w:type="dxa"/>
              <w:right w:w="80" w:type="dxa"/>
            </w:tcMar>
            <w:hideMark/>
          </w:tcPr>
          <w:p w14:paraId="3873E4A5" w14:textId="77777777" w:rsidR="00A42599" w:rsidRPr="005F161D" w:rsidRDefault="00A42599" w:rsidP="00855B92">
            <w:pPr>
              <w:rPr>
                <w:rFonts w:cs="Arial"/>
              </w:rPr>
            </w:pPr>
            <w:r w:rsidRPr="005F161D">
              <w:rPr>
                <w:rFonts w:cs="Arial"/>
              </w:rPr>
              <w:t>149.76</w:t>
            </w:r>
          </w:p>
        </w:tc>
        <w:tc>
          <w:tcPr>
            <w:tcW w:w="1224" w:type="dxa"/>
            <w:shd w:val="clear" w:color="auto" w:fill="auto"/>
            <w:tcMar>
              <w:top w:w="80" w:type="dxa"/>
              <w:left w:w="80" w:type="dxa"/>
              <w:bottom w:w="80" w:type="dxa"/>
              <w:right w:w="80" w:type="dxa"/>
            </w:tcMar>
            <w:hideMark/>
          </w:tcPr>
          <w:p w14:paraId="511765FB" w14:textId="77777777" w:rsidR="00A42599" w:rsidRPr="005F161D" w:rsidRDefault="00A42599" w:rsidP="00855B92">
            <w:pPr>
              <w:rPr>
                <w:rFonts w:cs="Arial"/>
              </w:rPr>
            </w:pPr>
            <w:r w:rsidRPr="005F161D">
              <w:rPr>
                <w:rFonts w:cs="Arial"/>
              </w:rPr>
              <w:t>212</w:t>
            </w:r>
          </w:p>
        </w:tc>
        <w:tc>
          <w:tcPr>
            <w:tcW w:w="2605" w:type="dxa"/>
            <w:shd w:val="clear" w:color="auto" w:fill="auto"/>
            <w:tcMar>
              <w:top w:w="80" w:type="dxa"/>
              <w:left w:w="80" w:type="dxa"/>
              <w:bottom w:w="80" w:type="dxa"/>
              <w:right w:w="80" w:type="dxa"/>
            </w:tcMar>
            <w:hideMark/>
          </w:tcPr>
          <w:p w14:paraId="09B03870" w14:textId="77777777" w:rsidR="00A42599" w:rsidRPr="005F161D" w:rsidRDefault="00A42599" w:rsidP="00855B92">
            <w:pPr>
              <w:rPr>
                <w:rFonts w:cs="Arial"/>
              </w:rPr>
            </w:pPr>
            <w:r w:rsidRPr="005F161D">
              <w:rPr>
                <w:rFonts w:cs="Arial"/>
              </w:rPr>
              <w:t>1970–1987</w:t>
            </w:r>
          </w:p>
        </w:tc>
        <w:tc>
          <w:tcPr>
            <w:tcW w:w="2904" w:type="dxa"/>
            <w:shd w:val="clear" w:color="auto" w:fill="auto"/>
            <w:tcMar>
              <w:top w:w="80" w:type="dxa"/>
              <w:left w:w="80" w:type="dxa"/>
              <w:bottom w:w="80" w:type="dxa"/>
              <w:right w:w="80" w:type="dxa"/>
            </w:tcMar>
            <w:hideMark/>
          </w:tcPr>
          <w:p w14:paraId="4871C387" w14:textId="77777777" w:rsidR="00A42599" w:rsidRPr="005F161D" w:rsidRDefault="00A42599" w:rsidP="00855B92">
            <w:pPr>
              <w:rPr>
                <w:rFonts w:cs="Arial"/>
              </w:rPr>
            </w:pPr>
            <w:r w:rsidRPr="005F161D">
              <w:rPr>
                <w:rFonts w:cs="Arial"/>
              </w:rPr>
              <w:t> </w:t>
            </w:r>
          </w:p>
        </w:tc>
      </w:tr>
      <w:tr w:rsidR="00A42599" w:rsidRPr="005F161D" w14:paraId="225E8BA5" w14:textId="77777777" w:rsidTr="00A42599">
        <w:tc>
          <w:tcPr>
            <w:tcW w:w="1857" w:type="dxa"/>
            <w:shd w:val="clear" w:color="auto" w:fill="auto"/>
            <w:tcMar>
              <w:top w:w="80" w:type="dxa"/>
              <w:left w:w="80" w:type="dxa"/>
              <w:bottom w:w="80" w:type="dxa"/>
              <w:right w:w="80" w:type="dxa"/>
            </w:tcMar>
            <w:hideMark/>
          </w:tcPr>
          <w:p w14:paraId="3D1D5020" w14:textId="77777777" w:rsidR="00A42599" w:rsidRPr="005F161D" w:rsidRDefault="00A42599" w:rsidP="00855B92">
            <w:pPr>
              <w:rPr>
                <w:rFonts w:cs="Arial"/>
              </w:rPr>
            </w:pPr>
            <w:r w:rsidRPr="005F161D">
              <w:rPr>
                <w:rFonts w:cs="Arial"/>
              </w:rPr>
              <w:t>Perth (WA)</w:t>
            </w:r>
          </w:p>
        </w:tc>
        <w:tc>
          <w:tcPr>
            <w:tcW w:w="3062" w:type="dxa"/>
            <w:shd w:val="clear" w:color="auto" w:fill="auto"/>
            <w:tcMar>
              <w:top w:w="80" w:type="dxa"/>
              <w:left w:w="80" w:type="dxa"/>
              <w:bottom w:w="80" w:type="dxa"/>
              <w:right w:w="80" w:type="dxa"/>
            </w:tcMar>
            <w:hideMark/>
          </w:tcPr>
          <w:p w14:paraId="2897A368" w14:textId="77777777" w:rsidR="00A42599" w:rsidRPr="005F161D" w:rsidRDefault="00A42599" w:rsidP="00855B92">
            <w:pPr>
              <w:rPr>
                <w:rFonts w:cs="Arial"/>
              </w:rPr>
            </w:pPr>
            <w:r w:rsidRPr="005F161D">
              <w:rPr>
                <w:rFonts w:cs="Arial"/>
              </w:rPr>
              <w:t>Perth Airport (009021)</w:t>
            </w:r>
          </w:p>
        </w:tc>
        <w:tc>
          <w:tcPr>
            <w:tcW w:w="1016" w:type="dxa"/>
            <w:shd w:val="clear" w:color="auto" w:fill="auto"/>
            <w:tcMar>
              <w:top w:w="80" w:type="dxa"/>
              <w:left w:w="80" w:type="dxa"/>
              <w:bottom w:w="80" w:type="dxa"/>
              <w:right w:w="80" w:type="dxa"/>
            </w:tcMar>
            <w:hideMark/>
          </w:tcPr>
          <w:p w14:paraId="5C64A712" w14:textId="77777777" w:rsidR="00A42599" w:rsidRPr="005F161D" w:rsidRDefault="00A42599" w:rsidP="00855B92">
            <w:pPr>
              <w:rPr>
                <w:rFonts w:cs="Arial"/>
              </w:rPr>
            </w:pPr>
            <w:r w:rsidRPr="005F161D">
              <w:rPr>
                <w:rFonts w:cs="Arial"/>
              </w:rPr>
              <w:t>-31.93</w:t>
            </w:r>
          </w:p>
        </w:tc>
        <w:tc>
          <w:tcPr>
            <w:tcW w:w="1224" w:type="dxa"/>
            <w:shd w:val="clear" w:color="auto" w:fill="auto"/>
            <w:tcMar>
              <w:top w:w="80" w:type="dxa"/>
              <w:left w:w="80" w:type="dxa"/>
              <w:bottom w:w="80" w:type="dxa"/>
              <w:right w:w="80" w:type="dxa"/>
            </w:tcMar>
            <w:hideMark/>
          </w:tcPr>
          <w:p w14:paraId="1C6A32A9" w14:textId="77777777" w:rsidR="00A42599" w:rsidRPr="005F161D" w:rsidRDefault="00A42599" w:rsidP="00855B92">
            <w:pPr>
              <w:rPr>
                <w:rFonts w:cs="Arial"/>
              </w:rPr>
            </w:pPr>
            <w:r w:rsidRPr="005F161D">
              <w:rPr>
                <w:rFonts w:cs="Arial"/>
              </w:rPr>
              <w:t>115.98</w:t>
            </w:r>
          </w:p>
        </w:tc>
        <w:tc>
          <w:tcPr>
            <w:tcW w:w="1224" w:type="dxa"/>
            <w:shd w:val="clear" w:color="auto" w:fill="auto"/>
            <w:tcMar>
              <w:top w:w="80" w:type="dxa"/>
              <w:left w:w="80" w:type="dxa"/>
              <w:bottom w:w="80" w:type="dxa"/>
              <w:right w:w="80" w:type="dxa"/>
            </w:tcMar>
            <w:hideMark/>
          </w:tcPr>
          <w:p w14:paraId="31263E0F" w14:textId="77777777" w:rsidR="00A42599" w:rsidRPr="005F161D" w:rsidRDefault="00A42599" w:rsidP="00855B92">
            <w:pPr>
              <w:rPr>
                <w:rFonts w:cs="Arial"/>
              </w:rPr>
            </w:pPr>
            <w:r w:rsidRPr="005F161D">
              <w:rPr>
                <w:rFonts w:cs="Arial"/>
              </w:rPr>
              <w:t>15</w:t>
            </w:r>
          </w:p>
        </w:tc>
        <w:tc>
          <w:tcPr>
            <w:tcW w:w="2605" w:type="dxa"/>
            <w:shd w:val="clear" w:color="auto" w:fill="auto"/>
            <w:tcMar>
              <w:top w:w="80" w:type="dxa"/>
              <w:left w:w="80" w:type="dxa"/>
              <w:bottom w:w="80" w:type="dxa"/>
              <w:right w:w="80" w:type="dxa"/>
            </w:tcMar>
            <w:hideMark/>
          </w:tcPr>
          <w:p w14:paraId="232795ED" w14:textId="77777777" w:rsidR="00A42599" w:rsidRPr="005F161D" w:rsidRDefault="00A42599" w:rsidP="00855B92">
            <w:pPr>
              <w:rPr>
                <w:rFonts w:cs="Arial"/>
              </w:rPr>
            </w:pPr>
            <w:r w:rsidRPr="005F161D">
              <w:rPr>
                <w:rFonts w:cs="Arial"/>
              </w:rPr>
              <w:t>1963–1991, 2006–2012</w:t>
            </w:r>
          </w:p>
        </w:tc>
        <w:tc>
          <w:tcPr>
            <w:tcW w:w="2904" w:type="dxa"/>
            <w:shd w:val="clear" w:color="auto" w:fill="auto"/>
            <w:tcMar>
              <w:top w:w="80" w:type="dxa"/>
              <w:left w:w="80" w:type="dxa"/>
              <w:bottom w:w="80" w:type="dxa"/>
              <w:right w:w="80" w:type="dxa"/>
            </w:tcMar>
            <w:hideMark/>
          </w:tcPr>
          <w:p w14:paraId="40AF5BB8" w14:textId="77777777" w:rsidR="00A42599" w:rsidRPr="005F161D" w:rsidRDefault="00A42599" w:rsidP="00855B92">
            <w:pPr>
              <w:rPr>
                <w:rFonts w:cs="Arial"/>
              </w:rPr>
            </w:pPr>
            <w:r w:rsidRPr="005F161D">
              <w:rPr>
                <w:rFonts w:cs="Arial"/>
              </w:rPr>
              <w:t> </w:t>
            </w:r>
          </w:p>
        </w:tc>
      </w:tr>
      <w:tr w:rsidR="00A42599" w:rsidRPr="005F161D" w14:paraId="283AD250" w14:textId="77777777" w:rsidTr="00A42599">
        <w:tc>
          <w:tcPr>
            <w:tcW w:w="1857" w:type="dxa"/>
            <w:shd w:val="clear" w:color="auto" w:fill="auto"/>
            <w:tcMar>
              <w:top w:w="80" w:type="dxa"/>
              <w:left w:w="80" w:type="dxa"/>
              <w:bottom w:w="80" w:type="dxa"/>
              <w:right w:w="80" w:type="dxa"/>
            </w:tcMar>
            <w:hideMark/>
          </w:tcPr>
          <w:p w14:paraId="201FFEB4" w14:textId="77777777" w:rsidR="00A42599" w:rsidRPr="005F161D" w:rsidRDefault="00A42599" w:rsidP="00855B92">
            <w:pPr>
              <w:rPr>
                <w:rFonts w:cs="Arial"/>
              </w:rPr>
            </w:pPr>
            <w:r w:rsidRPr="005F161D">
              <w:rPr>
                <w:rFonts w:cs="Arial"/>
              </w:rPr>
              <w:t>Ryde (NSW)</w:t>
            </w:r>
          </w:p>
        </w:tc>
        <w:tc>
          <w:tcPr>
            <w:tcW w:w="3062" w:type="dxa"/>
            <w:shd w:val="clear" w:color="auto" w:fill="auto"/>
            <w:tcMar>
              <w:top w:w="80" w:type="dxa"/>
              <w:left w:w="80" w:type="dxa"/>
              <w:bottom w:w="80" w:type="dxa"/>
              <w:right w:w="80" w:type="dxa"/>
            </w:tcMar>
            <w:hideMark/>
          </w:tcPr>
          <w:p w14:paraId="067AF6FE" w14:textId="77777777" w:rsidR="00A42599" w:rsidRPr="005F161D" w:rsidRDefault="00A42599" w:rsidP="00855B92">
            <w:pPr>
              <w:rPr>
                <w:rFonts w:cs="Arial"/>
              </w:rPr>
            </w:pPr>
            <w:r w:rsidRPr="005F161D">
              <w:rPr>
                <w:rFonts w:cs="Arial"/>
              </w:rPr>
              <w:t>Concord Golf Club (066013)</w:t>
            </w:r>
          </w:p>
        </w:tc>
        <w:tc>
          <w:tcPr>
            <w:tcW w:w="1016" w:type="dxa"/>
            <w:shd w:val="clear" w:color="auto" w:fill="auto"/>
            <w:tcMar>
              <w:top w:w="80" w:type="dxa"/>
              <w:left w:w="80" w:type="dxa"/>
              <w:bottom w:w="80" w:type="dxa"/>
              <w:right w:w="80" w:type="dxa"/>
            </w:tcMar>
            <w:hideMark/>
          </w:tcPr>
          <w:p w14:paraId="36621935" w14:textId="77777777" w:rsidR="00A42599" w:rsidRPr="005F161D" w:rsidRDefault="00A42599" w:rsidP="00855B92">
            <w:pPr>
              <w:rPr>
                <w:rFonts w:cs="Arial"/>
              </w:rPr>
            </w:pPr>
            <w:r w:rsidRPr="005F161D">
              <w:rPr>
                <w:rFonts w:cs="Arial"/>
              </w:rPr>
              <w:t>-33.85</w:t>
            </w:r>
          </w:p>
        </w:tc>
        <w:tc>
          <w:tcPr>
            <w:tcW w:w="1224" w:type="dxa"/>
            <w:shd w:val="clear" w:color="auto" w:fill="auto"/>
            <w:tcMar>
              <w:top w:w="80" w:type="dxa"/>
              <w:left w:w="80" w:type="dxa"/>
              <w:bottom w:w="80" w:type="dxa"/>
              <w:right w:w="80" w:type="dxa"/>
            </w:tcMar>
            <w:hideMark/>
          </w:tcPr>
          <w:p w14:paraId="6C6DE32A" w14:textId="77777777" w:rsidR="00A42599" w:rsidRPr="005F161D" w:rsidRDefault="00A42599" w:rsidP="00855B92">
            <w:pPr>
              <w:rPr>
                <w:rFonts w:cs="Arial"/>
              </w:rPr>
            </w:pPr>
            <w:r w:rsidRPr="005F161D">
              <w:rPr>
                <w:rFonts w:cs="Arial"/>
              </w:rPr>
              <w:t>151.10</w:t>
            </w:r>
          </w:p>
        </w:tc>
        <w:tc>
          <w:tcPr>
            <w:tcW w:w="1224" w:type="dxa"/>
            <w:shd w:val="clear" w:color="auto" w:fill="auto"/>
            <w:tcMar>
              <w:top w:w="80" w:type="dxa"/>
              <w:left w:w="80" w:type="dxa"/>
              <w:bottom w:w="80" w:type="dxa"/>
              <w:right w:w="80" w:type="dxa"/>
            </w:tcMar>
            <w:hideMark/>
          </w:tcPr>
          <w:p w14:paraId="4EB0A516" w14:textId="77777777" w:rsidR="00A42599" w:rsidRPr="005F161D" w:rsidRDefault="00A42599" w:rsidP="00855B92">
            <w:pPr>
              <w:rPr>
                <w:rFonts w:cs="Arial"/>
              </w:rPr>
            </w:pPr>
            <w:r w:rsidRPr="005F161D">
              <w:rPr>
                <w:rFonts w:cs="Arial"/>
              </w:rPr>
              <w:t>15</w:t>
            </w:r>
          </w:p>
        </w:tc>
        <w:tc>
          <w:tcPr>
            <w:tcW w:w="2605" w:type="dxa"/>
            <w:shd w:val="clear" w:color="auto" w:fill="auto"/>
            <w:tcMar>
              <w:top w:w="80" w:type="dxa"/>
              <w:left w:w="80" w:type="dxa"/>
              <w:bottom w:w="80" w:type="dxa"/>
              <w:right w:w="80" w:type="dxa"/>
            </w:tcMar>
            <w:hideMark/>
          </w:tcPr>
          <w:p w14:paraId="69BA2D4F" w14:textId="77777777" w:rsidR="00A42599" w:rsidRPr="005F161D" w:rsidRDefault="00A42599" w:rsidP="00855B92">
            <w:pPr>
              <w:rPr>
                <w:rFonts w:cs="Arial"/>
              </w:rPr>
            </w:pPr>
            <w:r w:rsidRPr="005F161D">
              <w:rPr>
                <w:rFonts w:cs="Arial"/>
              </w:rPr>
              <w:t>1970–1982</w:t>
            </w:r>
          </w:p>
        </w:tc>
        <w:tc>
          <w:tcPr>
            <w:tcW w:w="2904" w:type="dxa"/>
            <w:shd w:val="clear" w:color="auto" w:fill="auto"/>
            <w:tcMar>
              <w:top w:w="80" w:type="dxa"/>
              <w:left w:w="80" w:type="dxa"/>
              <w:bottom w:w="80" w:type="dxa"/>
              <w:right w:w="80" w:type="dxa"/>
            </w:tcMar>
            <w:hideMark/>
          </w:tcPr>
          <w:p w14:paraId="26691441" w14:textId="77777777" w:rsidR="00A42599" w:rsidRPr="005F161D" w:rsidRDefault="00A42599" w:rsidP="00855B92">
            <w:pPr>
              <w:rPr>
                <w:rFonts w:cs="Arial"/>
              </w:rPr>
            </w:pPr>
            <w:r w:rsidRPr="005F161D">
              <w:rPr>
                <w:rFonts w:cs="Arial"/>
              </w:rPr>
              <w:t> </w:t>
            </w:r>
          </w:p>
        </w:tc>
      </w:tr>
      <w:tr w:rsidR="00A42599" w:rsidRPr="005F161D" w14:paraId="67AD67F2" w14:textId="77777777" w:rsidTr="00A42599">
        <w:tc>
          <w:tcPr>
            <w:tcW w:w="1857" w:type="dxa"/>
            <w:shd w:val="clear" w:color="auto" w:fill="auto"/>
            <w:tcMar>
              <w:top w:w="80" w:type="dxa"/>
              <w:left w:w="80" w:type="dxa"/>
              <w:bottom w:w="80" w:type="dxa"/>
              <w:right w:w="80" w:type="dxa"/>
            </w:tcMar>
            <w:hideMark/>
          </w:tcPr>
          <w:p w14:paraId="73A31296" w14:textId="77777777" w:rsidR="00A42599" w:rsidRPr="005F161D" w:rsidRDefault="00A42599" w:rsidP="00855B92">
            <w:pPr>
              <w:rPr>
                <w:rFonts w:cs="Arial"/>
              </w:rPr>
            </w:pPr>
            <w:r w:rsidRPr="005F161D">
              <w:rPr>
                <w:rFonts w:cs="Arial"/>
              </w:rPr>
              <w:t>Toowoomba (Qld)</w:t>
            </w:r>
          </w:p>
        </w:tc>
        <w:tc>
          <w:tcPr>
            <w:tcW w:w="3062" w:type="dxa"/>
            <w:shd w:val="clear" w:color="auto" w:fill="auto"/>
            <w:tcMar>
              <w:top w:w="80" w:type="dxa"/>
              <w:left w:w="80" w:type="dxa"/>
              <w:bottom w:w="80" w:type="dxa"/>
              <w:right w:w="80" w:type="dxa"/>
            </w:tcMar>
            <w:hideMark/>
          </w:tcPr>
          <w:p w14:paraId="520D084A" w14:textId="77777777" w:rsidR="00A42599" w:rsidRPr="005F161D" w:rsidRDefault="00A42599" w:rsidP="00855B92">
            <w:pPr>
              <w:rPr>
                <w:rFonts w:cs="Arial"/>
              </w:rPr>
            </w:pPr>
            <w:r w:rsidRPr="005F161D">
              <w:rPr>
                <w:rFonts w:cs="Arial"/>
              </w:rPr>
              <w:t>Toowoomba (041103)</w:t>
            </w:r>
          </w:p>
        </w:tc>
        <w:tc>
          <w:tcPr>
            <w:tcW w:w="1016" w:type="dxa"/>
            <w:shd w:val="clear" w:color="auto" w:fill="auto"/>
            <w:tcMar>
              <w:top w:w="80" w:type="dxa"/>
              <w:left w:w="80" w:type="dxa"/>
              <w:bottom w:w="80" w:type="dxa"/>
              <w:right w:w="80" w:type="dxa"/>
            </w:tcMar>
            <w:hideMark/>
          </w:tcPr>
          <w:p w14:paraId="5903EC34" w14:textId="77777777" w:rsidR="00A42599" w:rsidRPr="005F161D" w:rsidRDefault="00A42599" w:rsidP="00855B92">
            <w:pPr>
              <w:rPr>
                <w:rFonts w:cs="Arial"/>
              </w:rPr>
            </w:pPr>
            <w:r w:rsidRPr="005F161D">
              <w:rPr>
                <w:rFonts w:cs="Arial"/>
              </w:rPr>
              <w:t>-27.58</w:t>
            </w:r>
          </w:p>
        </w:tc>
        <w:tc>
          <w:tcPr>
            <w:tcW w:w="1224" w:type="dxa"/>
            <w:shd w:val="clear" w:color="auto" w:fill="auto"/>
            <w:tcMar>
              <w:top w:w="80" w:type="dxa"/>
              <w:left w:w="80" w:type="dxa"/>
              <w:bottom w:w="80" w:type="dxa"/>
              <w:right w:w="80" w:type="dxa"/>
            </w:tcMar>
            <w:hideMark/>
          </w:tcPr>
          <w:p w14:paraId="06896142" w14:textId="77777777" w:rsidR="00A42599" w:rsidRPr="005F161D" w:rsidRDefault="00A42599" w:rsidP="00855B92">
            <w:pPr>
              <w:rPr>
                <w:rFonts w:cs="Arial"/>
              </w:rPr>
            </w:pPr>
            <w:r w:rsidRPr="005F161D">
              <w:rPr>
                <w:rFonts w:cs="Arial"/>
              </w:rPr>
              <w:t>151.93</w:t>
            </w:r>
          </w:p>
        </w:tc>
        <w:tc>
          <w:tcPr>
            <w:tcW w:w="1224" w:type="dxa"/>
            <w:shd w:val="clear" w:color="auto" w:fill="auto"/>
            <w:tcMar>
              <w:top w:w="80" w:type="dxa"/>
              <w:left w:w="80" w:type="dxa"/>
              <w:bottom w:w="80" w:type="dxa"/>
              <w:right w:w="80" w:type="dxa"/>
            </w:tcMar>
            <w:hideMark/>
          </w:tcPr>
          <w:p w14:paraId="5F64D6B3" w14:textId="77777777" w:rsidR="00A42599" w:rsidRPr="005F161D" w:rsidRDefault="00A42599" w:rsidP="00855B92">
            <w:pPr>
              <w:rPr>
                <w:rFonts w:cs="Arial"/>
              </w:rPr>
            </w:pPr>
            <w:r w:rsidRPr="005F161D">
              <w:rPr>
                <w:rFonts w:cs="Arial"/>
              </w:rPr>
              <w:t>691</w:t>
            </w:r>
          </w:p>
        </w:tc>
        <w:tc>
          <w:tcPr>
            <w:tcW w:w="2605" w:type="dxa"/>
            <w:shd w:val="clear" w:color="auto" w:fill="auto"/>
            <w:tcMar>
              <w:top w:w="80" w:type="dxa"/>
              <w:left w:w="80" w:type="dxa"/>
              <w:bottom w:w="80" w:type="dxa"/>
              <w:right w:w="80" w:type="dxa"/>
            </w:tcMar>
            <w:hideMark/>
          </w:tcPr>
          <w:p w14:paraId="3A8D73EF" w14:textId="77777777" w:rsidR="00A42599" w:rsidRPr="005F161D" w:rsidRDefault="00A42599" w:rsidP="00855B92">
            <w:pPr>
              <w:rPr>
                <w:rFonts w:cs="Arial"/>
              </w:rPr>
            </w:pPr>
            <w:r w:rsidRPr="005F161D">
              <w:rPr>
                <w:rFonts w:cs="Arial"/>
              </w:rPr>
              <w:t>1970–1982</w:t>
            </w:r>
          </w:p>
        </w:tc>
        <w:tc>
          <w:tcPr>
            <w:tcW w:w="2904" w:type="dxa"/>
            <w:shd w:val="clear" w:color="auto" w:fill="auto"/>
            <w:tcMar>
              <w:top w:w="80" w:type="dxa"/>
              <w:left w:w="80" w:type="dxa"/>
              <w:bottom w:w="80" w:type="dxa"/>
              <w:right w:w="80" w:type="dxa"/>
            </w:tcMar>
            <w:hideMark/>
          </w:tcPr>
          <w:p w14:paraId="5FA568AC" w14:textId="77777777" w:rsidR="00A42599" w:rsidRPr="005F161D" w:rsidRDefault="00A42599" w:rsidP="00855B92">
            <w:pPr>
              <w:rPr>
                <w:rFonts w:cs="Arial"/>
              </w:rPr>
            </w:pPr>
            <w:r w:rsidRPr="005F161D">
              <w:rPr>
                <w:rFonts w:cs="Arial"/>
              </w:rPr>
              <w:t> </w:t>
            </w:r>
          </w:p>
        </w:tc>
      </w:tr>
      <w:tr w:rsidR="00A42599" w:rsidRPr="005F161D" w14:paraId="745CD3E8" w14:textId="77777777" w:rsidTr="00E2209E">
        <w:tc>
          <w:tcPr>
            <w:tcW w:w="13892" w:type="dxa"/>
            <w:gridSpan w:val="7"/>
            <w:shd w:val="clear" w:color="auto" w:fill="auto"/>
            <w:tcMar>
              <w:top w:w="80" w:type="dxa"/>
              <w:left w:w="80" w:type="dxa"/>
              <w:bottom w:w="80" w:type="dxa"/>
              <w:right w:w="80" w:type="dxa"/>
            </w:tcMar>
            <w:vAlign w:val="center"/>
          </w:tcPr>
          <w:p w14:paraId="67DBBFE0" w14:textId="13AA6383" w:rsidR="00A42599" w:rsidRPr="005F161D" w:rsidRDefault="00A42599" w:rsidP="00A42599">
            <w:pPr>
              <w:rPr>
                <w:rFonts w:cs="Arial"/>
              </w:rPr>
            </w:pPr>
            <w:r w:rsidRPr="005F161D">
              <w:rPr>
                <w:rFonts w:cs="Arial"/>
              </w:rPr>
              <w:t>South Australia (SA), Western Australia (WA), Northern Territory (NT), Queensland (Qld), New South Wales (NSW), Victoria (Vic), Tasmania (Tas).</w:t>
            </w:r>
          </w:p>
        </w:tc>
      </w:tr>
    </w:tbl>
    <w:p w14:paraId="00A983CE" w14:textId="77777777" w:rsidR="003A233B" w:rsidRPr="003A233B" w:rsidRDefault="003A233B" w:rsidP="003A233B">
      <w:pPr>
        <w:sectPr w:rsidR="003A233B" w:rsidRPr="003A233B" w:rsidSect="00C11B60">
          <w:pgSz w:w="16838" w:h="11906" w:orient="landscape"/>
          <w:pgMar w:top="1440" w:right="1440" w:bottom="1440" w:left="1440" w:header="709" w:footer="709" w:gutter="0"/>
          <w:lnNumType w:countBy="1" w:restart="continuous"/>
          <w:pgNumType w:start="1"/>
          <w:cols w:space="708"/>
          <w:docGrid w:linePitch="360"/>
        </w:sectPr>
      </w:pPr>
    </w:p>
    <w:p w14:paraId="3ECEEA1D" w14:textId="77777777" w:rsidR="003A233B" w:rsidRPr="005F161D" w:rsidRDefault="003A233B" w:rsidP="003A233B">
      <w:pPr>
        <w:pStyle w:val="Caption"/>
        <w:rPr>
          <w:rFonts w:ascii="Arial" w:hAnsi="Arial" w:cs="Arial"/>
        </w:rPr>
      </w:pPr>
      <w:r>
        <w:rPr>
          <w:rFonts w:ascii="Arial" w:hAnsi="Arial" w:cs="Arial"/>
        </w:rPr>
        <w:lastRenderedPageBreak/>
        <w:t>Table S3</w:t>
      </w:r>
      <w:r w:rsidRPr="005F161D">
        <w:rPr>
          <w:rFonts w:ascii="Arial" w:hAnsi="Arial" w:cs="Arial"/>
        </w:rPr>
        <w:t>. Interpolated tritium rainfall station names, the state or territory in which they are located, and the latitude and longitude of stations</w:t>
      </w:r>
    </w:p>
    <w:tbl>
      <w:tblPr>
        <w:tblStyle w:val="TableGrid"/>
        <w:tblW w:w="0" w:type="auto"/>
        <w:tblLook w:val="04A0" w:firstRow="1" w:lastRow="0" w:firstColumn="1" w:lastColumn="0" w:noHBand="0" w:noVBand="1"/>
      </w:tblPr>
      <w:tblGrid>
        <w:gridCol w:w="2283"/>
        <w:gridCol w:w="1794"/>
        <w:gridCol w:w="1759"/>
        <w:gridCol w:w="1669"/>
      </w:tblGrid>
      <w:tr w:rsidR="003A233B" w:rsidRPr="005F161D" w14:paraId="1DF236A8" w14:textId="77777777" w:rsidTr="009A02EB">
        <w:trPr>
          <w:trHeight w:val="397"/>
        </w:trPr>
        <w:tc>
          <w:tcPr>
            <w:tcW w:w="0" w:type="auto"/>
            <w:shd w:val="clear" w:color="auto" w:fill="A6A6A6" w:themeFill="background1" w:themeFillShade="A6"/>
          </w:tcPr>
          <w:p w14:paraId="22F83859" w14:textId="77777777" w:rsidR="003A233B" w:rsidRPr="005F161D" w:rsidRDefault="003A233B" w:rsidP="009A02EB">
            <w:pPr>
              <w:rPr>
                <w:rFonts w:cs="Arial"/>
                <w:b/>
                <w:bCs/>
              </w:rPr>
            </w:pPr>
            <w:r w:rsidRPr="005F161D">
              <w:rPr>
                <w:rFonts w:cs="Arial"/>
                <w:b/>
                <w:bCs/>
              </w:rPr>
              <w:t>Station Name</w:t>
            </w:r>
          </w:p>
        </w:tc>
        <w:tc>
          <w:tcPr>
            <w:tcW w:w="1794" w:type="dxa"/>
            <w:shd w:val="clear" w:color="auto" w:fill="A6A6A6" w:themeFill="background1" w:themeFillShade="A6"/>
          </w:tcPr>
          <w:p w14:paraId="27967D29" w14:textId="77777777" w:rsidR="003A233B" w:rsidRPr="005F161D" w:rsidRDefault="003A233B" w:rsidP="009A02EB">
            <w:pPr>
              <w:rPr>
                <w:rFonts w:cs="Arial"/>
                <w:b/>
                <w:bCs/>
              </w:rPr>
            </w:pPr>
            <w:r w:rsidRPr="005F161D">
              <w:rPr>
                <w:rFonts w:cs="Arial"/>
                <w:b/>
                <w:bCs/>
              </w:rPr>
              <w:t>State/Territory</w:t>
            </w:r>
          </w:p>
        </w:tc>
        <w:tc>
          <w:tcPr>
            <w:tcW w:w="1759" w:type="dxa"/>
            <w:shd w:val="clear" w:color="auto" w:fill="A6A6A6" w:themeFill="background1" w:themeFillShade="A6"/>
          </w:tcPr>
          <w:p w14:paraId="534C44AB" w14:textId="77777777" w:rsidR="003A233B" w:rsidRPr="005F161D" w:rsidRDefault="003A233B" w:rsidP="009A02EB">
            <w:pPr>
              <w:rPr>
                <w:rFonts w:cs="Arial"/>
                <w:b/>
                <w:bCs/>
              </w:rPr>
            </w:pPr>
            <w:r w:rsidRPr="005F161D">
              <w:rPr>
                <w:rFonts w:cs="Arial"/>
                <w:b/>
                <w:bCs/>
              </w:rPr>
              <w:t>Latitude</w:t>
            </w:r>
          </w:p>
        </w:tc>
        <w:tc>
          <w:tcPr>
            <w:tcW w:w="1669" w:type="dxa"/>
            <w:shd w:val="clear" w:color="auto" w:fill="A6A6A6" w:themeFill="background1" w:themeFillShade="A6"/>
          </w:tcPr>
          <w:p w14:paraId="2FF3257F" w14:textId="77777777" w:rsidR="003A233B" w:rsidRPr="005F161D" w:rsidRDefault="003A233B" w:rsidP="009A02EB">
            <w:pPr>
              <w:rPr>
                <w:rFonts w:cs="Arial"/>
                <w:b/>
                <w:bCs/>
              </w:rPr>
            </w:pPr>
            <w:r w:rsidRPr="005F161D">
              <w:rPr>
                <w:rFonts w:cs="Arial"/>
                <w:b/>
                <w:bCs/>
              </w:rPr>
              <w:t>Longitude</w:t>
            </w:r>
          </w:p>
        </w:tc>
      </w:tr>
      <w:tr w:rsidR="003A233B" w:rsidRPr="005F161D" w14:paraId="72D5FDDA" w14:textId="77777777" w:rsidTr="009A02EB">
        <w:trPr>
          <w:trHeight w:val="397"/>
        </w:trPr>
        <w:tc>
          <w:tcPr>
            <w:tcW w:w="0" w:type="auto"/>
          </w:tcPr>
          <w:p w14:paraId="70278360" w14:textId="77777777" w:rsidR="003A233B" w:rsidRPr="005F161D" w:rsidRDefault="003A233B" w:rsidP="009A02EB">
            <w:pPr>
              <w:rPr>
                <w:rFonts w:cs="Arial"/>
              </w:rPr>
            </w:pPr>
            <w:r w:rsidRPr="005F161D">
              <w:rPr>
                <w:rFonts w:cs="Arial"/>
              </w:rPr>
              <w:t>Cape York Peninsula</w:t>
            </w:r>
          </w:p>
        </w:tc>
        <w:tc>
          <w:tcPr>
            <w:tcW w:w="1794" w:type="dxa"/>
          </w:tcPr>
          <w:p w14:paraId="36E7EA7E" w14:textId="77777777" w:rsidR="003A233B" w:rsidRPr="005F161D" w:rsidRDefault="003A233B" w:rsidP="009A02EB">
            <w:pPr>
              <w:rPr>
                <w:rFonts w:cs="Arial"/>
              </w:rPr>
            </w:pPr>
            <w:r w:rsidRPr="005F161D">
              <w:rPr>
                <w:rFonts w:cs="Arial"/>
              </w:rPr>
              <w:t>Qld</w:t>
            </w:r>
          </w:p>
        </w:tc>
        <w:tc>
          <w:tcPr>
            <w:tcW w:w="1759" w:type="dxa"/>
          </w:tcPr>
          <w:p w14:paraId="7A1BBDE9" w14:textId="77777777" w:rsidR="003A233B" w:rsidRPr="005F161D" w:rsidRDefault="003A233B" w:rsidP="009A02EB">
            <w:pPr>
              <w:rPr>
                <w:rFonts w:cs="Arial"/>
              </w:rPr>
            </w:pPr>
            <w:r w:rsidRPr="005F161D">
              <w:rPr>
                <w:rFonts w:cs="Arial"/>
              </w:rPr>
              <w:t>-15.4774</w:t>
            </w:r>
          </w:p>
        </w:tc>
        <w:tc>
          <w:tcPr>
            <w:tcW w:w="1669" w:type="dxa"/>
          </w:tcPr>
          <w:p w14:paraId="15518131" w14:textId="77777777" w:rsidR="003A233B" w:rsidRPr="005F161D" w:rsidRDefault="003A233B" w:rsidP="009A02EB">
            <w:pPr>
              <w:rPr>
                <w:rFonts w:cs="Arial"/>
              </w:rPr>
            </w:pPr>
            <w:r w:rsidRPr="005F161D">
              <w:rPr>
                <w:rFonts w:cs="Arial"/>
              </w:rPr>
              <w:t>143.4495</w:t>
            </w:r>
          </w:p>
        </w:tc>
      </w:tr>
      <w:tr w:rsidR="003A233B" w:rsidRPr="005F161D" w14:paraId="24DE0833" w14:textId="77777777" w:rsidTr="009A02EB">
        <w:trPr>
          <w:trHeight w:val="397"/>
        </w:trPr>
        <w:tc>
          <w:tcPr>
            <w:tcW w:w="0" w:type="auto"/>
          </w:tcPr>
          <w:p w14:paraId="16789839" w14:textId="77777777" w:rsidR="003A233B" w:rsidRPr="005F161D" w:rsidRDefault="003A233B" w:rsidP="009A02EB">
            <w:pPr>
              <w:rPr>
                <w:rFonts w:cs="Arial"/>
              </w:rPr>
            </w:pPr>
            <w:r w:rsidRPr="005F161D">
              <w:rPr>
                <w:rFonts w:cs="Arial"/>
              </w:rPr>
              <w:t>Cameron Corner</w:t>
            </w:r>
          </w:p>
        </w:tc>
        <w:tc>
          <w:tcPr>
            <w:tcW w:w="1794" w:type="dxa"/>
          </w:tcPr>
          <w:p w14:paraId="2B747848" w14:textId="77777777" w:rsidR="003A233B" w:rsidRPr="005F161D" w:rsidRDefault="003A233B" w:rsidP="009A02EB">
            <w:pPr>
              <w:rPr>
                <w:rFonts w:cs="Arial"/>
              </w:rPr>
            </w:pPr>
            <w:r w:rsidRPr="005F161D">
              <w:rPr>
                <w:rFonts w:cs="Arial"/>
              </w:rPr>
              <w:t>Qld</w:t>
            </w:r>
          </w:p>
        </w:tc>
        <w:tc>
          <w:tcPr>
            <w:tcW w:w="1759" w:type="dxa"/>
          </w:tcPr>
          <w:p w14:paraId="2E373720" w14:textId="77777777" w:rsidR="003A233B" w:rsidRPr="005F161D" w:rsidRDefault="003A233B" w:rsidP="009A02EB">
            <w:pPr>
              <w:rPr>
                <w:rFonts w:cs="Arial"/>
              </w:rPr>
            </w:pPr>
            <w:r w:rsidRPr="005F161D">
              <w:rPr>
                <w:rFonts w:cs="Arial"/>
              </w:rPr>
              <w:t>-28.9990</w:t>
            </w:r>
          </w:p>
        </w:tc>
        <w:tc>
          <w:tcPr>
            <w:tcW w:w="1669" w:type="dxa"/>
          </w:tcPr>
          <w:p w14:paraId="174A9FB8" w14:textId="77777777" w:rsidR="003A233B" w:rsidRPr="005F161D" w:rsidRDefault="003A233B" w:rsidP="009A02EB">
            <w:pPr>
              <w:rPr>
                <w:rFonts w:cs="Arial"/>
              </w:rPr>
            </w:pPr>
            <w:r w:rsidRPr="005F161D">
              <w:rPr>
                <w:rFonts w:cs="Arial"/>
              </w:rPr>
              <w:t>141.0002</w:t>
            </w:r>
          </w:p>
        </w:tc>
      </w:tr>
      <w:tr w:rsidR="003A233B" w:rsidRPr="005F161D" w14:paraId="540DB61A" w14:textId="77777777" w:rsidTr="009A02EB">
        <w:trPr>
          <w:trHeight w:val="397"/>
        </w:trPr>
        <w:tc>
          <w:tcPr>
            <w:tcW w:w="0" w:type="auto"/>
          </w:tcPr>
          <w:p w14:paraId="74ED4266" w14:textId="77777777" w:rsidR="003A233B" w:rsidRPr="005F161D" w:rsidRDefault="003A233B" w:rsidP="009A02EB">
            <w:pPr>
              <w:rPr>
                <w:rFonts w:cs="Arial"/>
              </w:rPr>
            </w:pPr>
            <w:r w:rsidRPr="005F161D">
              <w:rPr>
                <w:rFonts w:cs="Arial"/>
              </w:rPr>
              <w:t>Coober Pedy</w:t>
            </w:r>
          </w:p>
        </w:tc>
        <w:tc>
          <w:tcPr>
            <w:tcW w:w="1794" w:type="dxa"/>
          </w:tcPr>
          <w:p w14:paraId="4D1933E5" w14:textId="77777777" w:rsidR="003A233B" w:rsidRPr="005F161D" w:rsidRDefault="003A233B" w:rsidP="009A02EB">
            <w:pPr>
              <w:rPr>
                <w:rFonts w:cs="Arial"/>
              </w:rPr>
            </w:pPr>
            <w:r w:rsidRPr="005F161D">
              <w:rPr>
                <w:rFonts w:cs="Arial"/>
              </w:rPr>
              <w:t>SA</w:t>
            </w:r>
          </w:p>
        </w:tc>
        <w:tc>
          <w:tcPr>
            <w:tcW w:w="1759" w:type="dxa"/>
          </w:tcPr>
          <w:p w14:paraId="5AE8C74F" w14:textId="77777777" w:rsidR="003A233B" w:rsidRPr="005F161D" w:rsidRDefault="003A233B" w:rsidP="009A02EB">
            <w:pPr>
              <w:rPr>
                <w:rFonts w:cs="Arial"/>
              </w:rPr>
            </w:pPr>
            <w:r w:rsidRPr="005F161D">
              <w:rPr>
                <w:rFonts w:cs="Arial"/>
              </w:rPr>
              <w:t>-29.0137</w:t>
            </w:r>
          </w:p>
        </w:tc>
        <w:tc>
          <w:tcPr>
            <w:tcW w:w="1669" w:type="dxa"/>
          </w:tcPr>
          <w:p w14:paraId="2F3309DA" w14:textId="77777777" w:rsidR="003A233B" w:rsidRPr="005F161D" w:rsidRDefault="003A233B" w:rsidP="009A02EB">
            <w:pPr>
              <w:rPr>
                <w:rFonts w:cs="Arial"/>
              </w:rPr>
            </w:pPr>
            <w:r w:rsidRPr="005F161D">
              <w:rPr>
                <w:rFonts w:cs="Arial"/>
              </w:rPr>
              <w:t>134.7543</w:t>
            </w:r>
          </w:p>
        </w:tc>
      </w:tr>
      <w:tr w:rsidR="003A233B" w:rsidRPr="005F161D" w14:paraId="2F5B163A" w14:textId="77777777" w:rsidTr="009A02EB">
        <w:trPr>
          <w:trHeight w:val="397"/>
        </w:trPr>
        <w:tc>
          <w:tcPr>
            <w:tcW w:w="0" w:type="auto"/>
          </w:tcPr>
          <w:p w14:paraId="2D0FEF58" w14:textId="77777777" w:rsidR="003A233B" w:rsidRPr="005F161D" w:rsidRDefault="003A233B" w:rsidP="009A02EB">
            <w:pPr>
              <w:rPr>
                <w:rFonts w:cs="Arial"/>
              </w:rPr>
            </w:pPr>
            <w:r w:rsidRPr="005F161D">
              <w:rPr>
                <w:rFonts w:cs="Arial"/>
              </w:rPr>
              <w:t>Juna Downs</w:t>
            </w:r>
          </w:p>
        </w:tc>
        <w:tc>
          <w:tcPr>
            <w:tcW w:w="1794" w:type="dxa"/>
          </w:tcPr>
          <w:p w14:paraId="575DCC06" w14:textId="77777777" w:rsidR="003A233B" w:rsidRPr="005F161D" w:rsidRDefault="003A233B" w:rsidP="009A02EB">
            <w:pPr>
              <w:rPr>
                <w:rFonts w:cs="Arial"/>
              </w:rPr>
            </w:pPr>
            <w:r w:rsidRPr="005F161D">
              <w:rPr>
                <w:rFonts w:cs="Arial"/>
              </w:rPr>
              <w:t>WA</w:t>
            </w:r>
          </w:p>
        </w:tc>
        <w:tc>
          <w:tcPr>
            <w:tcW w:w="1759" w:type="dxa"/>
          </w:tcPr>
          <w:p w14:paraId="4468DFD7" w14:textId="77777777" w:rsidR="003A233B" w:rsidRPr="005F161D" w:rsidRDefault="003A233B" w:rsidP="009A02EB">
            <w:pPr>
              <w:rPr>
                <w:rFonts w:cs="Arial"/>
              </w:rPr>
            </w:pPr>
            <w:r w:rsidRPr="005F161D">
              <w:rPr>
                <w:rFonts w:cs="Arial"/>
              </w:rPr>
              <w:t>-22.6688</w:t>
            </w:r>
          </w:p>
        </w:tc>
        <w:tc>
          <w:tcPr>
            <w:tcW w:w="1669" w:type="dxa"/>
          </w:tcPr>
          <w:p w14:paraId="066016E5" w14:textId="77777777" w:rsidR="003A233B" w:rsidRPr="005F161D" w:rsidRDefault="003A233B" w:rsidP="009A02EB">
            <w:pPr>
              <w:rPr>
                <w:rFonts w:cs="Arial"/>
              </w:rPr>
            </w:pPr>
            <w:r w:rsidRPr="005F161D">
              <w:rPr>
                <w:rFonts w:cs="Arial"/>
              </w:rPr>
              <w:t>118.7012</w:t>
            </w:r>
          </w:p>
        </w:tc>
      </w:tr>
      <w:tr w:rsidR="003A233B" w:rsidRPr="005F161D" w14:paraId="161217D8" w14:textId="77777777" w:rsidTr="009A02EB">
        <w:trPr>
          <w:trHeight w:val="397"/>
        </w:trPr>
        <w:tc>
          <w:tcPr>
            <w:tcW w:w="0" w:type="auto"/>
          </w:tcPr>
          <w:p w14:paraId="54706A0A" w14:textId="77777777" w:rsidR="003A233B" w:rsidRPr="005F161D" w:rsidRDefault="003A233B" w:rsidP="009A02EB">
            <w:pPr>
              <w:rPr>
                <w:rFonts w:cs="Arial"/>
              </w:rPr>
            </w:pPr>
            <w:r w:rsidRPr="005F161D">
              <w:rPr>
                <w:rFonts w:cs="Arial"/>
              </w:rPr>
              <w:t>Mount Hardman</w:t>
            </w:r>
          </w:p>
        </w:tc>
        <w:tc>
          <w:tcPr>
            <w:tcW w:w="1794" w:type="dxa"/>
          </w:tcPr>
          <w:p w14:paraId="77A0D998" w14:textId="77777777" w:rsidR="003A233B" w:rsidRPr="005F161D" w:rsidRDefault="003A233B" w:rsidP="009A02EB">
            <w:pPr>
              <w:rPr>
                <w:rFonts w:cs="Arial"/>
              </w:rPr>
            </w:pPr>
            <w:r w:rsidRPr="005F161D">
              <w:rPr>
                <w:rFonts w:cs="Arial"/>
              </w:rPr>
              <w:t>WA</w:t>
            </w:r>
          </w:p>
        </w:tc>
        <w:tc>
          <w:tcPr>
            <w:tcW w:w="1759" w:type="dxa"/>
          </w:tcPr>
          <w:p w14:paraId="70C8A5DC" w14:textId="77777777" w:rsidR="003A233B" w:rsidRPr="005F161D" w:rsidRDefault="003A233B" w:rsidP="009A02EB">
            <w:pPr>
              <w:rPr>
                <w:rFonts w:cs="Arial"/>
              </w:rPr>
            </w:pPr>
            <w:r w:rsidRPr="005F161D">
              <w:rPr>
                <w:rFonts w:cs="Arial"/>
              </w:rPr>
              <w:t>-17.9405</w:t>
            </w:r>
          </w:p>
        </w:tc>
        <w:tc>
          <w:tcPr>
            <w:tcW w:w="1669" w:type="dxa"/>
          </w:tcPr>
          <w:p w14:paraId="5C8FDCAF" w14:textId="77777777" w:rsidR="003A233B" w:rsidRPr="005F161D" w:rsidRDefault="003A233B" w:rsidP="009A02EB">
            <w:pPr>
              <w:rPr>
                <w:rFonts w:cs="Arial"/>
              </w:rPr>
            </w:pPr>
            <w:r w:rsidRPr="005F161D">
              <w:rPr>
                <w:rFonts w:cs="Arial"/>
              </w:rPr>
              <w:t>124.7994</w:t>
            </w:r>
          </w:p>
        </w:tc>
      </w:tr>
      <w:tr w:rsidR="003A233B" w:rsidRPr="005F161D" w14:paraId="39DC8CA2" w14:textId="77777777" w:rsidTr="009A02EB">
        <w:trPr>
          <w:trHeight w:val="397"/>
        </w:trPr>
        <w:tc>
          <w:tcPr>
            <w:tcW w:w="0" w:type="auto"/>
          </w:tcPr>
          <w:p w14:paraId="4F296D05" w14:textId="77777777" w:rsidR="003A233B" w:rsidRPr="005F161D" w:rsidRDefault="003A233B" w:rsidP="009A02EB">
            <w:pPr>
              <w:rPr>
                <w:rFonts w:cs="Arial"/>
              </w:rPr>
            </w:pPr>
            <w:r w:rsidRPr="005F161D">
              <w:rPr>
                <w:rFonts w:cs="Arial"/>
              </w:rPr>
              <w:t>Sturt Plateau</w:t>
            </w:r>
          </w:p>
        </w:tc>
        <w:tc>
          <w:tcPr>
            <w:tcW w:w="1794" w:type="dxa"/>
          </w:tcPr>
          <w:p w14:paraId="03483176" w14:textId="77777777" w:rsidR="003A233B" w:rsidRPr="005F161D" w:rsidRDefault="003A233B" w:rsidP="009A02EB">
            <w:pPr>
              <w:rPr>
                <w:rFonts w:cs="Arial"/>
              </w:rPr>
            </w:pPr>
            <w:r w:rsidRPr="005F161D">
              <w:rPr>
                <w:rFonts w:cs="Arial"/>
              </w:rPr>
              <w:t>NT</w:t>
            </w:r>
          </w:p>
        </w:tc>
        <w:tc>
          <w:tcPr>
            <w:tcW w:w="1759" w:type="dxa"/>
          </w:tcPr>
          <w:p w14:paraId="039E2AC7" w14:textId="77777777" w:rsidR="003A233B" w:rsidRPr="005F161D" w:rsidRDefault="003A233B" w:rsidP="009A02EB">
            <w:pPr>
              <w:rPr>
                <w:rFonts w:cs="Arial"/>
              </w:rPr>
            </w:pPr>
            <w:r w:rsidRPr="005F161D">
              <w:rPr>
                <w:rFonts w:cs="Arial"/>
              </w:rPr>
              <w:t>-15.6524</w:t>
            </w:r>
          </w:p>
        </w:tc>
        <w:tc>
          <w:tcPr>
            <w:tcW w:w="1669" w:type="dxa"/>
          </w:tcPr>
          <w:p w14:paraId="65DBBC88" w14:textId="77777777" w:rsidR="003A233B" w:rsidRPr="005F161D" w:rsidRDefault="003A233B" w:rsidP="009A02EB">
            <w:pPr>
              <w:rPr>
                <w:rFonts w:cs="Arial"/>
              </w:rPr>
            </w:pPr>
            <w:r w:rsidRPr="005F161D">
              <w:rPr>
                <w:rFonts w:cs="Arial"/>
              </w:rPr>
              <w:t>132.6229</w:t>
            </w:r>
          </w:p>
        </w:tc>
      </w:tr>
      <w:tr w:rsidR="003A233B" w:rsidRPr="005F161D" w14:paraId="2CD92748" w14:textId="77777777" w:rsidTr="009A02EB">
        <w:trPr>
          <w:trHeight w:val="907"/>
        </w:trPr>
        <w:tc>
          <w:tcPr>
            <w:tcW w:w="7505" w:type="dxa"/>
            <w:gridSpan w:val="4"/>
          </w:tcPr>
          <w:p w14:paraId="5D0BE83C" w14:textId="77777777" w:rsidR="003A233B" w:rsidRPr="005F161D" w:rsidRDefault="003A233B" w:rsidP="009A02EB">
            <w:pPr>
              <w:rPr>
                <w:rFonts w:cs="Arial"/>
              </w:rPr>
            </w:pPr>
            <w:r w:rsidRPr="005F161D">
              <w:rPr>
                <w:rFonts w:cs="Arial"/>
              </w:rPr>
              <w:t>South Australia (SA), Western Australia (WA), Northern Territory (NT), Queensland (Qld), New South Wales (NSW), Victoria (Vic), Tasmania (Tas).</w:t>
            </w:r>
          </w:p>
        </w:tc>
      </w:tr>
    </w:tbl>
    <w:p w14:paraId="431DE005" w14:textId="60BB9C39" w:rsidR="00BA168B" w:rsidRDefault="00BA168B" w:rsidP="003A233B">
      <w:pPr>
        <w:rPr>
          <w:rFonts w:cs="Arial"/>
        </w:rPr>
      </w:pPr>
    </w:p>
    <w:p w14:paraId="2C1EDAED" w14:textId="1A0BE446" w:rsidR="005509E6" w:rsidRDefault="005509E6" w:rsidP="003A233B">
      <w:pPr>
        <w:rPr>
          <w:rFonts w:cs="Arial"/>
          <w:sz w:val="32"/>
          <w:szCs w:val="32"/>
        </w:rPr>
      </w:pPr>
      <w:r>
        <w:rPr>
          <w:rFonts w:cs="Arial"/>
          <w:sz w:val="32"/>
          <w:szCs w:val="32"/>
        </w:rPr>
        <w:t>References</w:t>
      </w:r>
    </w:p>
    <w:p w14:paraId="51714B15" w14:textId="1310BAB8" w:rsidR="00B927B6" w:rsidRDefault="00B927B6" w:rsidP="00B927B6">
      <w:pPr>
        <w:pStyle w:val="Bibliography"/>
      </w:pPr>
      <w:r>
        <w:t>1.</w:t>
      </w:r>
      <w:r>
        <w:tab/>
        <w:t xml:space="preserve">Allison, G. B. &amp; Hughes, M. W. The use of environmental tritium to estimate recharge to a South-Australian aquifer. </w:t>
      </w:r>
      <w:r>
        <w:rPr>
          <w:i/>
          <w:iCs/>
        </w:rPr>
        <w:t xml:space="preserve">J. </w:t>
      </w:r>
      <w:proofErr w:type="spellStart"/>
      <w:r>
        <w:rPr>
          <w:i/>
          <w:iCs/>
        </w:rPr>
        <w:t>Hydrol</w:t>
      </w:r>
      <w:proofErr w:type="spellEnd"/>
      <w:r>
        <w:rPr>
          <w:i/>
          <w:iCs/>
        </w:rPr>
        <w:t>.</w:t>
      </w:r>
      <w:r>
        <w:t xml:space="preserve"> </w:t>
      </w:r>
      <w:r>
        <w:rPr>
          <w:b/>
          <w:bCs/>
        </w:rPr>
        <w:t>26</w:t>
      </w:r>
      <w:r>
        <w:t>, 245–254 (1975).</w:t>
      </w:r>
    </w:p>
    <w:p w14:paraId="025A3CD3" w14:textId="77777777" w:rsidR="00B927B6" w:rsidRDefault="00B927B6" w:rsidP="00B927B6">
      <w:pPr>
        <w:pStyle w:val="Bibliography"/>
      </w:pPr>
      <w:r>
        <w:t>2.</w:t>
      </w:r>
      <w:r>
        <w:tab/>
        <w:t xml:space="preserve">Allison, G. &amp; Hughes, M. The use of environmental chloride and tritium to estimate total recharge to an unconfined aquifer. </w:t>
      </w:r>
      <w:r>
        <w:rPr>
          <w:i/>
          <w:iCs/>
        </w:rPr>
        <w:t>Soil Res.</w:t>
      </w:r>
      <w:r>
        <w:t xml:space="preserve"> </w:t>
      </w:r>
      <w:r>
        <w:rPr>
          <w:b/>
          <w:bCs/>
        </w:rPr>
        <w:t>16</w:t>
      </w:r>
      <w:r>
        <w:t>, 181 (1978).</w:t>
      </w:r>
    </w:p>
    <w:p w14:paraId="5ADC161C" w14:textId="77777777" w:rsidR="00B927B6" w:rsidRDefault="00B927B6" w:rsidP="00B927B6">
      <w:pPr>
        <w:pStyle w:val="Bibliography"/>
      </w:pPr>
      <w:r>
        <w:t>3.</w:t>
      </w:r>
      <w:r>
        <w:tab/>
        <w:t xml:space="preserve">Allison, G. B. Estimation of groundwater accession to and evaporation from a south </w:t>
      </w:r>
      <w:proofErr w:type="spellStart"/>
      <w:r>
        <w:t>australian</w:t>
      </w:r>
      <w:proofErr w:type="spellEnd"/>
      <w:r>
        <w:t xml:space="preserve"> lake using environmental tritium. </w:t>
      </w:r>
      <w:r>
        <w:rPr>
          <w:i/>
          <w:iCs/>
        </w:rPr>
        <w:t>Aust. J. Soil Res.</w:t>
      </w:r>
      <w:r>
        <w:t xml:space="preserve"> </w:t>
      </w:r>
      <w:r>
        <w:rPr>
          <w:b/>
          <w:bCs/>
        </w:rPr>
        <w:t>12</w:t>
      </w:r>
      <w:r>
        <w:t>, 119–131 (1974).</w:t>
      </w:r>
    </w:p>
    <w:p w14:paraId="48491780" w14:textId="77777777" w:rsidR="00B927B6" w:rsidRDefault="00B927B6" w:rsidP="00B927B6">
      <w:pPr>
        <w:pStyle w:val="Bibliography"/>
      </w:pPr>
      <w:r>
        <w:t>4.</w:t>
      </w:r>
      <w:r>
        <w:tab/>
        <w:t xml:space="preserve">Appleyard, S. The Impact </w:t>
      </w:r>
      <w:proofErr w:type="gramStart"/>
      <w:r>
        <w:t>Of</w:t>
      </w:r>
      <w:proofErr w:type="gramEnd"/>
      <w:r>
        <w:t xml:space="preserve"> Urban Development </w:t>
      </w:r>
      <w:proofErr w:type="gramStart"/>
      <w:r>
        <w:t>On</w:t>
      </w:r>
      <w:proofErr w:type="gramEnd"/>
      <w:r>
        <w:t xml:space="preserve"> Recharge </w:t>
      </w:r>
      <w:proofErr w:type="gramStart"/>
      <w:r>
        <w:t>And</w:t>
      </w:r>
      <w:proofErr w:type="gramEnd"/>
      <w:r>
        <w:t xml:space="preserve"> Groundwater Quality </w:t>
      </w:r>
      <w:proofErr w:type="gramStart"/>
      <w:r>
        <w:t>In</w:t>
      </w:r>
      <w:proofErr w:type="gramEnd"/>
      <w:r>
        <w:t xml:space="preserve"> </w:t>
      </w:r>
      <w:proofErr w:type="gramStart"/>
      <w:r>
        <w:t>A</w:t>
      </w:r>
      <w:proofErr w:type="gramEnd"/>
      <w:r>
        <w:t xml:space="preserve"> Coastal Aquifer Near Perth, Western Australia. </w:t>
      </w:r>
      <w:r>
        <w:rPr>
          <w:i/>
          <w:iCs/>
        </w:rPr>
        <w:t>HYJO</w:t>
      </w:r>
      <w:r>
        <w:t xml:space="preserve"> </w:t>
      </w:r>
      <w:r>
        <w:rPr>
          <w:b/>
          <w:bCs/>
        </w:rPr>
        <w:t>3</w:t>
      </w:r>
      <w:r>
        <w:t>, 65–75 (1995).</w:t>
      </w:r>
    </w:p>
    <w:p w14:paraId="3717667D" w14:textId="77777777" w:rsidR="00B927B6" w:rsidRDefault="00B927B6" w:rsidP="00B927B6">
      <w:pPr>
        <w:pStyle w:val="Bibliography"/>
      </w:pPr>
      <w:r>
        <w:t>5.</w:t>
      </w:r>
      <w:r>
        <w:tab/>
        <w:t xml:space="preserve">Atkinson, A. P. </w:t>
      </w:r>
      <w:r>
        <w:rPr>
          <w:i/>
          <w:iCs/>
        </w:rPr>
        <w:t>et al.</w:t>
      </w:r>
      <w:r>
        <w:t xml:space="preserve"> Using 14 C and 3 H to understand groundwater flow and recharge in an aquifer window. </w:t>
      </w:r>
      <w:r>
        <w:rPr>
          <w:i/>
          <w:iCs/>
        </w:rPr>
        <w:t>Hydrology and Earth System Sciences</w:t>
      </w:r>
      <w:r>
        <w:t xml:space="preserve"> </w:t>
      </w:r>
      <w:r>
        <w:rPr>
          <w:b/>
          <w:bCs/>
        </w:rPr>
        <w:t>18</w:t>
      </w:r>
      <w:r>
        <w:t>, 4951–4964 (2014).</w:t>
      </w:r>
    </w:p>
    <w:p w14:paraId="17C38CD9" w14:textId="77777777" w:rsidR="00B927B6" w:rsidRDefault="00B927B6" w:rsidP="00B927B6">
      <w:pPr>
        <w:pStyle w:val="Bibliography"/>
      </w:pPr>
      <w:r>
        <w:t>6.</w:t>
      </w:r>
      <w:r>
        <w:tab/>
        <w:t xml:space="preserve">Banks, E. W. </w:t>
      </w:r>
      <w:r>
        <w:rPr>
          <w:i/>
          <w:iCs/>
        </w:rPr>
        <w:t>et al.</w:t>
      </w:r>
      <w:r>
        <w:t xml:space="preserve"> </w:t>
      </w:r>
      <w:proofErr w:type="gramStart"/>
      <w:r>
        <w:t>Multi-tracer</w:t>
      </w:r>
      <w:proofErr w:type="gramEnd"/>
      <w:r>
        <w:t xml:space="preserve"> and </w:t>
      </w:r>
      <w:proofErr w:type="spellStart"/>
      <w:r>
        <w:t>hydrogeophysical</w:t>
      </w:r>
      <w:proofErr w:type="spellEnd"/>
      <w:r>
        <w:t xml:space="preserve"> investigation of the hydraulic connectivity between coal seam gas formations, shallow groundwater and stream network in a faulted sedimentary basin. </w:t>
      </w:r>
      <w:r>
        <w:rPr>
          <w:i/>
          <w:iCs/>
        </w:rPr>
        <w:t>Journal of Hydrology</w:t>
      </w:r>
      <w:r>
        <w:t xml:space="preserve"> </w:t>
      </w:r>
      <w:r>
        <w:rPr>
          <w:b/>
          <w:bCs/>
        </w:rPr>
        <w:t>578</w:t>
      </w:r>
      <w:r>
        <w:t>, 124132 (2019).</w:t>
      </w:r>
    </w:p>
    <w:p w14:paraId="43FF2697" w14:textId="77777777" w:rsidR="00B927B6" w:rsidRDefault="00B927B6" w:rsidP="00B927B6">
      <w:pPr>
        <w:pStyle w:val="Bibliography"/>
      </w:pPr>
      <w:r>
        <w:t>7.</w:t>
      </w:r>
      <w:r>
        <w:tab/>
        <w:t xml:space="preserve">Banks, E. W. </w:t>
      </w:r>
      <w:r>
        <w:rPr>
          <w:i/>
          <w:iCs/>
        </w:rPr>
        <w:t>et al.</w:t>
      </w:r>
      <w:r>
        <w:t xml:space="preserve"> Fresh groundwater lens dynamics of a small bedrock island in the tropics, Northern Australia. </w:t>
      </w:r>
      <w:r>
        <w:rPr>
          <w:i/>
          <w:iCs/>
        </w:rPr>
        <w:t>Journal of Hydrology</w:t>
      </w:r>
      <w:r>
        <w:t xml:space="preserve"> </w:t>
      </w:r>
      <w:r>
        <w:rPr>
          <w:b/>
          <w:bCs/>
        </w:rPr>
        <w:t>595</w:t>
      </w:r>
      <w:r>
        <w:t>, 125942 (2021).</w:t>
      </w:r>
    </w:p>
    <w:p w14:paraId="2E784CD1" w14:textId="77777777" w:rsidR="00B927B6" w:rsidRDefault="00B927B6" w:rsidP="00B927B6">
      <w:pPr>
        <w:pStyle w:val="Bibliography"/>
      </w:pPr>
      <w:r>
        <w:lastRenderedPageBreak/>
        <w:t>8.</w:t>
      </w:r>
      <w:r>
        <w:tab/>
        <w:t xml:space="preserve">Barua, S., Cartwright, I., Evan Dresel, P. &amp; Daly, E. Using multiple methods to investigate the effects of land-use changes on groundwater recharge in a semi-arid area. </w:t>
      </w:r>
      <w:proofErr w:type="spellStart"/>
      <w:r>
        <w:rPr>
          <w:i/>
          <w:iCs/>
        </w:rPr>
        <w:t>Hydrol</w:t>
      </w:r>
      <w:proofErr w:type="spellEnd"/>
      <w:r>
        <w:rPr>
          <w:i/>
          <w:iCs/>
        </w:rPr>
        <w:t>. Earth Syst. Sci.</w:t>
      </w:r>
      <w:r>
        <w:t xml:space="preserve"> </w:t>
      </w:r>
      <w:r>
        <w:rPr>
          <w:b/>
          <w:bCs/>
        </w:rPr>
        <w:t>25</w:t>
      </w:r>
      <w:r>
        <w:t>, 89–104 (2021).</w:t>
      </w:r>
    </w:p>
    <w:p w14:paraId="5827BF39" w14:textId="77777777" w:rsidR="00B927B6" w:rsidRDefault="00B927B6" w:rsidP="00B927B6">
      <w:pPr>
        <w:pStyle w:val="Bibliography"/>
      </w:pPr>
      <w:r>
        <w:t>9.</w:t>
      </w:r>
      <w:r>
        <w:tab/>
        <w:t xml:space="preserve">Barua, S. </w:t>
      </w:r>
      <w:r>
        <w:rPr>
          <w:i/>
          <w:iCs/>
        </w:rPr>
        <w:t>et al.</w:t>
      </w:r>
      <w:r>
        <w:t xml:space="preserve"> Sources and mean transit times of intermittent streamflow in semi-arid headwater catchments. </w:t>
      </w:r>
      <w:r>
        <w:rPr>
          <w:i/>
          <w:iCs/>
        </w:rPr>
        <w:t xml:space="preserve">J. </w:t>
      </w:r>
      <w:proofErr w:type="spellStart"/>
      <w:r>
        <w:rPr>
          <w:i/>
          <w:iCs/>
        </w:rPr>
        <w:t>Hydrol</w:t>
      </w:r>
      <w:proofErr w:type="spellEnd"/>
      <w:r>
        <w:rPr>
          <w:i/>
          <w:iCs/>
        </w:rPr>
        <w:t>.</w:t>
      </w:r>
      <w:r>
        <w:t xml:space="preserve"> </w:t>
      </w:r>
      <w:r>
        <w:rPr>
          <w:b/>
          <w:bCs/>
        </w:rPr>
        <w:t>604</w:t>
      </w:r>
      <w:r>
        <w:t>, (2022).</w:t>
      </w:r>
    </w:p>
    <w:p w14:paraId="07DFCA9F" w14:textId="77777777" w:rsidR="00B927B6" w:rsidRDefault="00B927B6" w:rsidP="00B927B6">
      <w:pPr>
        <w:pStyle w:val="Bibliography"/>
      </w:pPr>
      <w:r>
        <w:t>10.</w:t>
      </w:r>
      <w:r>
        <w:tab/>
        <w:t xml:space="preserve">Bennetts, D. A., Webb, J. A., Stone, D. J. M. &amp; Hill, D. M. Understanding the salinisation process for groundwater in an area of south-eastern Australia, using </w:t>
      </w:r>
      <w:proofErr w:type="spellStart"/>
      <w:r>
        <w:t>hydrochemical</w:t>
      </w:r>
      <w:proofErr w:type="spellEnd"/>
      <w:r>
        <w:t xml:space="preserve"> and isotopic evidence. </w:t>
      </w:r>
      <w:r>
        <w:rPr>
          <w:i/>
          <w:iCs/>
        </w:rPr>
        <w:t>Journal of Hydrology</w:t>
      </w:r>
      <w:r>
        <w:t xml:space="preserve"> </w:t>
      </w:r>
      <w:r>
        <w:rPr>
          <w:b/>
          <w:bCs/>
        </w:rPr>
        <w:t>323</w:t>
      </w:r>
      <w:r>
        <w:t>, 178–192 (2006).</w:t>
      </w:r>
    </w:p>
    <w:p w14:paraId="2F6CF23B" w14:textId="77777777" w:rsidR="00B927B6" w:rsidRDefault="00B927B6" w:rsidP="00B927B6">
      <w:pPr>
        <w:pStyle w:val="Bibliography"/>
      </w:pPr>
      <w:r>
        <w:t>11.</w:t>
      </w:r>
      <w:r>
        <w:tab/>
        <w:t xml:space="preserve">Bryan, E., Meredith, K. T., Baker, A., Post, V. E. A. &amp; Andersen, M. S. Island groundwater resources, impacts of abstraction and a drying climate: Rottnest Island, Western Australia. </w:t>
      </w:r>
      <w:r>
        <w:rPr>
          <w:i/>
          <w:iCs/>
        </w:rPr>
        <w:t xml:space="preserve">J. </w:t>
      </w:r>
      <w:proofErr w:type="spellStart"/>
      <w:r>
        <w:rPr>
          <w:i/>
          <w:iCs/>
        </w:rPr>
        <w:t>Hydrol</w:t>
      </w:r>
      <w:proofErr w:type="spellEnd"/>
      <w:r>
        <w:rPr>
          <w:i/>
          <w:iCs/>
        </w:rPr>
        <w:t>.</w:t>
      </w:r>
      <w:r>
        <w:t xml:space="preserve"> </w:t>
      </w:r>
      <w:r>
        <w:rPr>
          <w:b/>
          <w:bCs/>
        </w:rPr>
        <w:t>542</w:t>
      </w:r>
      <w:r>
        <w:t>, 704–718 (2016).</w:t>
      </w:r>
    </w:p>
    <w:p w14:paraId="01958B51" w14:textId="77777777" w:rsidR="00B927B6" w:rsidRDefault="00B927B6" w:rsidP="00B927B6">
      <w:pPr>
        <w:pStyle w:val="Bibliography"/>
      </w:pPr>
      <w:r>
        <w:t>12.</w:t>
      </w:r>
      <w:r>
        <w:tab/>
        <w:t>Broad, M. Using Groundwater Age to Inform Aquifer Sustainability. (Flinders University, Adelaide, 2020).</w:t>
      </w:r>
    </w:p>
    <w:p w14:paraId="610E59A5" w14:textId="77777777" w:rsidR="00B927B6" w:rsidRDefault="00B927B6" w:rsidP="00B927B6">
      <w:pPr>
        <w:pStyle w:val="Bibliography"/>
      </w:pPr>
      <w:r>
        <w:t>13.</w:t>
      </w:r>
      <w:r>
        <w:tab/>
        <w:t xml:space="preserve">Cartwright, I. &amp; Morgenstern, U. Constraining groundwater recharge and the rate of geochemical processes using tritium and major ion geochemistry: </w:t>
      </w:r>
      <w:proofErr w:type="gramStart"/>
      <w:r>
        <w:t>Ovens</w:t>
      </w:r>
      <w:proofErr w:type="gramEnd"/>
      <w:r>
        <w:t xml:space="preserve"> catchment, southeast Australia. </w:t>
      </w:r>
      <w:r>
        <w:rPr>
          <w:i/>
          <w:iCs/>
        </w:rPr>
        <w:t xml:space="preserve">J. </w:t>
      </w:r>
      <w:proofErr w:type="spellStart"/>
      <w:r>
        <w:rPr>
          <w:i/>
          <w:iCs/>
        </w:rPr>
        <w:t>Hydrol</w:t>
      </w:r>
      <w:proofErr w:type="spellEnd"/>
      <w:r>
        <w:rPr>
          <w:i/>
          <w:iCs/>
        </w:rPr>
        <w:t>.</w:t>
      </w:r>
      <w:r>
        <w:t xml:space="preserve"> </w:t>
      </w:r>
      <w:r>
        <w:rPr>
          <w:b/>
          <w:bCs/>
        </w:rPr>
        <w:t>475</w:t>
      </w:r>
      <w:r>
        <w:t>, 137–149 (2012).</w:t>
      </w:r>
    </w:p>
    <w:p w14:paraId="7E920A1F" w14:textId="77777777" w:rsidR="00B927B6" w:rsidRDefault="00B927B6" w:rsidP="00B927B6">
      <w:pPr>
        <w:pStyle w:val="Bibliography"/>
      </w:pPr>
      <w:r>
        <w:t>14.</w:t>
      </w:r>
      <w:r>
        <w:tab/>
        <w:t xml:space="preserve">Cartwright, I. &amp; Morgenstern, U. Using tritium to document the mean transit time and sources of water contributing to a chain-of-ponds river system: Implications for resource protection. </w:t>
      </w:r>
      <w:r>
        <w:rPr>
          <w:i/>
          <w:iCs/>
        </w:rPr>
        <w:t>Appl. Geochem.</w:t>
      </w:r>
      <w:r>
        <w:t xml:space="preserve"> </w:t>
      </w:r>
      <w:r>
        <w:rPr>
          <w:b/>
          <w:bCs/>
        </w:rPr>
        <w:t>75</w:t>
      </w:r>
      <w:r>
        <w:t>, 9–19 (2016).</w:t>
      </w:r>
    </w:p>
    <w:p w14:paraId="439B443E" w14:textId="77777777" w:rsidR="00B927B6" w:rsidRDefault="00B927B6" w:rsidP="00B927B6">
      <w:pPr>
        <w:pStyle w:val="Bibliography"/>
      </w:pPr>
      <w:r>
        <w:t>15.</w:t>
      </w:r>
      <w:r>
        <w:tab/>
        <w:t xml:space="preserve">Cook, P. G. &amp; Robinson, N. I. Estimating groundwater recharge in fractured rock from environmental 3H and 36Cl, Clare Valley, South Australia. </w:t>
      </w:r>
      <w:r>
        <w:rPr>
          <w:i/>
          <w:iCs/>
        </w:rPr>
        <w:t xml:space="preserve">Water </w:t>
      </w:r>
      <w:proofErr w:type="spellStart"/>
      <w:r>
        <w:rPr>
          <w:i/>
          <w:iCs/>
        </w:rPr>
        <w:t>Resour</w:t>
      </w:r>
      <w:proofErr w:type="spellEnd"/>
      <w:r>
        <w:rPr>
          <w:i/>
          <w:iCs/>
        </w:rPr>
        <w:t>. Res.</w:t>
      </w:r>
      <w:r>
        <w:t xml:space="preserve"> </w:t>
      </w:r>
      <w:r>
        <w:rPr>
          <w:b/>
          <w:bCs/>
        </w:rPr>
        <w:t>38</w:t>
      </w:r>
      <w:r>
        <w:t>, 111–1113 (2002).</w:t>
      </w:r>
    </w:p>
    <w:p w14:paraId="3695D777" w14:textId="77777777" w:rsidR="00B927B6" w:rsidRDefault="00B927B6" w:rsidP="00B927B6">
      <w:pPr>
        <w:pStyle w:val="Bibliography"/>
      </w:pPr>
      <w:r>
        <w:t>16.</w:t>
      </w:r>
      <w:r>
        <w:tab/>
        <w:t xml:space="preserve">Calf, G. E. An investigation of recharge to the Namoi Valley aquifers using environmental isotopes. </w:t>
      </w:r>
      <w:r>
        <w:rPr>
          <w:i/>
          <w:iCs/>
        </w:rPr>
        <w:t>Soil Res.</w:t>
      </w:r>
      <w:r>
        <w:t xml:space="preserve"> </w:t>
      </w:r>
      <w:r>
        <w:rPr>
          <w:b/>
          <w:bCs/>
        </w:rPr>
        <w:t>16</w:t>
      </w:r>
      <w:r>
        <w:t>, 197–207 (1978).</w:t>
      </w:r>
    </w:p>
    <w:p w14:paraId="2D77BB03" w14:textId="77777777" w:rsidR="00B927B6" w:rsidRDefault="00B927B6" w:rsidP="00B927B6">
      <w:pPr>
        <w:pStyle w:val="Bibliography"/>
      </w:pPr>
      <w:r>
        <w:t>17.</w:t>
      </w:r>
      <w:r>
        <w:tab/>
        <w:t>Calf, G. E., McDonald, P. S. &amp; Jacobson, G. Recharge mechanism and groundwater age in the Ti</w:t>
      </w:r>
      <w:r>
        <w:rPr>
          <w:rFonts w:ascii="Cambria Math" w:hAnsi="Cambria Math" w:cs="Cambria Math"/>
        </w:rPr>
        <w:t>‐</w:t>
      </w:r>
      <w:r>
        <w:t xml:space="preserve">Tree Basin, Northern Territory. </w:t>
      </w:r>
      <w:r>
        <w:rPr>
          <w:i/>
          <w:iCs/>
        </w:rPr>
        <w:t>Australian Journal of Earth Sciences</w:t>
      </w:r>
      <w:r>
        <w:t xml:space="preserve"> </w:t>
      </w:r>
      <w:r>
        <w:rPr>
          <w:b/>
          <w:bCs/>
        </w:rPr>
        <w:t>38</w:t>
      </w:r>
      <w:r>
        <w:t>, 299–306 (1991).</w:t>
      </w:r>
    </w:p>
    <w:p w14:paraId="654E2034" w14:textId="77777777" w:rsidR="00B927B6" w:rsidRDefault="00B927B6" w:rsidP="00B927B6">
      <w:pPr>
        <w:pStyle w:val="Bibliography"/>
      </w:pPr>
      <w:r>
        <w:lastRenderedPageBreak/>
        <w:t>18.</w:t>
      </w:r>
      <w:r>
        <w:tab/>
        <w:t xml:space="preserve">Cartwright, I., Weaver, T. R., Stone, D. &amp; Reid, M. Constraining modern and historical recharge from bore hydrographs, 3H, 14C, and chloride concentrations: Applications to dual-porosity aquifers in dryland salinity areas, Murray Basin, Australia. </w:t>
      </w:r>
      <w:r>
        <w:rPr>
          <w:i/>
          <w:iCs/>
        </w:rPr>
        <w:t xml:space="preserve">J. </w:t>
      </w:r>
      <w:proofErr w:type="spellStart"/>
      <w:r>
        <w:rPr>
          <w:i/>
          <w:iCs/>
        </w:rPr>
        <w:t>Hydrol</w:t>
      </w:r>
      <w:proofErr w:type="spellEnd"/>
      <w:r>
        <w:rPr>
          <w:i/>
          <w:iCs/>
        </w:rPr>
        <w:t>.</w:t>
      </w:r>
      <w:r>
        <w:t xml:space="preserve"> </w:t>
      </w:r>
      <w:r>
        <w:rPr>
          <w:b/>
          <w:bCs/>
        </w:rPr>
        <w:t>332</w:t>
      </w:r>
      <w:r>
        <w:t>, 69–92 (2007).</w:t>
      </w:r>
    </w:p>
    <w:p w14:paraId="01365AFD" w14:textId="77777777" w:rsidR="00B927B6" w:rsidRDefault="00B927B6" w:rsidP="00B927B6">
      <w:pPr>
        <w:pStyle w:val="Bibliography"/>
      </w:pPr>
      <w:r>
        <w:t>19.</w:t>
      </w:r>
      <w:r>
        <w:tab/>
        <w:t xml:space="preserve">Cartwright, I. </w:t>
      </w:r>
      <w:r>
        <w:rPr>
          <w:i/>
          <w:iCs/>
        </w:rPr>
        <w:t>et al.</w:t>
      </w:r>
      <w:r>
        <w:t xml:space="preserve"> Physical hydrogeology and environmental isotopes to constrain the age, origins, and stability of a low-salinity groundwater lens formed by periodic river recharge: Murray Basin, Australia. </w:t>
      </w:r>
      <w:r>
        <w:rPr>
          <w:i/>
          <w:iCs/>
        </w:rPr>
        <w:t>Journal of Hydrology</w:t>
      </w:r>
      <w:r>
        <w:t xml:space="preserve"> </w:t>
      </w:r>
      <w:r>
        <w:rPr>
          <w:b/>
          <w:bCs/>
        </w:rPr>
        <w:t>380</w:t>
      </w:r>
      <w:r>
        <w:t>, 203–221 (2010).</w:t>
      </w:r>
    </w:p>
    <w:p w14:paraId="1D4D4533" w14:textId="77777777" w:rsidR="00B927B6" w:rsidRDefault="00B927B6" w:rsidP="00B927B6">
      <w:pPr>
        <w:pStyle w:val="Bibliography"/>
      </w:pPr>
      <w:r>
        <w:t>20.</w:t>
      </w:r>
      <w:r>
        <w:tab/>
        <w:t xml:space="preserve">Cartwright, I., Fifield, L. K. &amp; Morgenstern, U. Using 3H and 14C to constrain the degree of closed-system dissolution of calcite in groundwater. </w:t>
      </w:r>
      <w:r>
        <w:rPr>
          <w:i/>
          <w:iCs/>
        </w:rPr>
        <w:t>Applied Geochemistry</w:t>
      </w:r>
      <w:r>
        <w:t xml:space="preserve"> </w:t>
      </w:r>
      <w:r>
        <w:rPr>
          <w:b/>
          <w:bCs/>
        </w:rPr>
        <w:t>32</w:t>
      </w:r>
      <w:r>
        <w:t>, 118–128 (2013).</w:t>
      </w:r>
    </w:p>
    <w:p w14:paraId="38646C3A" w14:textId="77777777" w:rsidR="00B927B6" w:rsidRDefault="00B927B6" w:rsidP="00B927B6">
      <w:pPr>
        <w:pStyle w:val="Bibliography"/>
      </w:pPr>
      <w:r>
        <w:t>21.</w:t>
      </w:r>
      <w:r>
        <w:tab/>
        <w:t xml:space="preserve">Cartwright, I., Werner, A. D. &amp; Woods, J. A. Using geochemistry to discern the patterns and timescales of groundwater recharge and mixing on floodplains in semi-arid regions. </w:t>
      </w:r>
      <w:r>
        <w:rPr>
          <w:i/>
          <w:iCs/>
        </w:rPr>
        <w:t>Journal of Hydrology</w:t>
      </w:r>
      <w:r>
        <w:t xml:space="preserve"> </w:t>
      </w:r>
      <w:r>
        <w:rPr>
          <w:b/>
          <w:bCs/>
        </w:rPr>
        <w:t>570</w:t>
      </w:r>
      <w:r>
        <w:t>, 612–622 (2019).</w:t>
      </w:r>
    </w:p>
    <w:p w14:paraId="7F98C2F9" w14:textId="77777777" w:rsidR="00B927B6" w:rsidRDefault="00B927B6" w:rsidP="00B927B6">
      <w:pPr>
        <w:pStyle w:val="Bibliography"/>
      </w:pPr>
      <w:r>
        <w:t>22.</w:t>
      </w:r>
      <w:r>
        <w:tab/>
        <w:t xml:space="preserve">Campbell, A. G., Cartwright, I., </w:t>
      </w:r>
      <w:proofErr w:type="spellStart"/>
      <w:r>
        <w:t>Cendón</w:t>
      </w:r>
      <w:proofErr w:type="spellEnd"/>
      <w:r>
        <w:t xml:space="preserve">, D. I. &amp; Currell, M. J. Multiple isotope tracers reveal the sources of water sustaining ecologically and culturally significant springs, and their vulnerability to mining development. </w:t>
      </w:r>
      <w:r>
        <w:rPr>
          <w:i/>
          <w:iCs/>
        </w:rPr>
        <w:t>Journal of Hydrology</w:t>
      </w:r>
      <w:r>
        <w:t xml:space="preserve"> </w:t>
      </w:r>
      <w:r>
        <w:rPr>
          <w:b/>
          <w:bCs/>
        </w:rPr>
        <w:t>645</w:t>
      </w:r>
      <w:r>
        <w:t>, 132078 (2024).</w:t>
      </w:r>
    </w:p>
    <w:p w14:paraId="227CC125" w14:textId="77777777" w:rsidR="00B927B6" w:rsidRDefault="00B927B6" w:rsidP="00B927B6">
      <w:pPr>
        <w:pStyle w:val="Bibliography"/>
      </w:pPr>
      <w:r>
        <w:t>23.</w:t>
      </w:r>
      <w:r>
        <w:tab/>
        <w:t xml:space="preserve">Campbell, A. G., Cartwright, I., Webb, J. A., </w:t>
      </w:r>
      <w:proofErr w:type="spellStart"/>
      <w:r>
        <w:t>Cendón</w:t>
      </w:r>
      <w:proofErr w:type="spellEnd"/>
      <w:r>
        <w:t xml:space="preserve">, D. I. &amp; Currell, M. J. Using geochemical and geophysical data to characterise inter-aquifer connectivity and impacts on shallow aquifers and groundwater dependent ecosystems. </w:t>
      </w:r>
      <w:r>
        <w:rPr>
          <w:i/>
          <w:iCs/>
        </w:rPr>
        <w:t>Applied Geochemistry</w:t>
      </w:r>
      <w:r>
        <w:t xml:space="preserve"> </w:t>
      </w:r>
      <w:r>
        <w:rPr>
          <w:b/>
          <w:bCs/>
        </w:rPr>
        <w:t>178</w:t>
      </w:r>
      <w:r>
        <w:t>, 106217 (2025).</w:t>
      </w:r>
    </w:p>
    <w:p w14:paraId="270A777E" w14:textId="77777777" w:rsidR="00B927B6" w:rsidRDefault="00B927B6" w:rsidP="00B927B6">
      <w:pPr>
        <w:pStyle w:val="Bibliography"/>
      </w:pPr>
      <w:r>
        <w:t>24.</w:t>
      </w:r>
      <w:r>
        <w:tab/>
      </w:r>
      <w:proofErr w:type="spellStart"/>
      <w:r>
        <w:t>Cendón</w:t>
      </w:r>
      <w:proofErr w:type="spellEnd"/>
      <w:r>
        <w:t xml:space="preserve">, D. I. </w:t>
      </w:r>
      <w:r>
        <w:rPr>
          <w:i/>
          <w:iCs/>
        </w:rPr>
        <w:t>et al.</w:t>
      </w:r>
      <w:r>
        <w:t xml:space="preserve"> Groundwater residence time in a dissected and weathered sandstone plateau: Kulnura–Mangrove Mountain aquifer, NSW, Australia. </w:t>
      </w:r>
      <w:r>
        <w:rPr>
          <w:i/>
          <w:iCs/>
        </w:rPr>
        <w:t>Australian Journal of Earth Sciences</w:t>
      </w:r>
      <w:r>
        <w:t xml:space="preserve"> </w:t>
      </w:r>
      <w:r>
        <w:rPr>
          <w:b/>
          <w:bCs/>
        </w:rPr>
        <w:t>61</w:t>
      </w:r>
      <w:r>
        <w:t>, 475–499 (2014).</w:t>
      </w:r>
    </w:p>
    <w:p w14:paraId="5796E873" w14:textId="77777777" w:rsidR="00B927B6" w:rsidRDefault="00B927B6" w:rsidP="00B927B6">
      <w:pPr>
        <w:pStyle w:val="Bibliography"/>
      </w:pPr>
      <w:r>
        <w:t>25.</w:t>
      </w:r>
      <w:r>
        <w:tab/>
      </w:r>
      <w:proofErr w:type="spellStart"/>
      <w:r>
        <w:t>Chmielarski</w:t>
      </w:r>
      <w:proofErr w:type="spellEnd"/>
      <w:r>
        <w:t xml:space="preserve">, M. </w:t>
      </w:r>
      <w:r>
        <w:rPr>
          <w:i/>
          <w:iCs/>
        </w:rPr>
        <w:t>et al.</w:t>
      </w:r>
      <w:r>
        <w:t xml:space="preserve"> Identifying the influence of episodic events on groundwater recharge in semi-arid environments using environmental tracers. </w:t>
      </w:r>
      <w:r>
        <w:rPr>
          <w:i/>
          <w:iCs/>
        </w:rPr>
        <w:t>Journal of Hydrology</w:t>
      </w:r>
      <w:r>
        <w:t xml:space="preserve"> </w:t>
      </w:r>
      <w:r>
        <w:rPr>
          <w:b/>
          <w:bCs/>
        </w:rPr>
        <w:t>633</w:t>
      </w:r>
      <w:r>
        <w:t>, 130848 (2024).</w:t>
      </w:r>
    </w:p>
    <w:p w14:paraId="53606F26" w14:textId="77777777" w:rsidR="00B927B6" w:rsidRDefault="00B927B6" w:rsidP="00B927B6">
      <w:pPr>
        <w:pStyle w:val="Bibliography"/>
      </w:pPr>
      <w:r>
        <w:lastRenderedPageBreak/>
        <w:t>26.</w:t>
      </w:r>
      <w:r>
        <w:tab/>
        <w:t xml:space="preserve">Cook, P., </w:t>
      </w:r>
      <w:proofErr w:type="spellStart"/>
      <w:r>
        <w:t>Dogramaci</w:t>
      </w:r>
      <w:proofErr w:type="spellEnd"/>
      <w:r>
        <w:t xml:space="preserve">, S., McCallum, J. &amp; Hedley, J. Groundwater age, mixing and flow rates in the vicinity of large open pit mines, Pilbara region, northwestern Australia. </w:t>
      </w:r>
      <w:proofErr w:type="spellStart"/>
      <w:r>
        <w:rPr>
          <w:i/>
          <w:iCs/>
        </w:rPr>
        <w:t>Hydrogeol</w:t>
      </w:r>
      <w:proofErr w:type="spellEnd"/>
      <w:r>
        <w:rPr>
          <w:i/>
          <w:iCs/>
        </w:rPr>
        <w:t xml:space="preserve"> J</w:t>
      </w:r>
      <w:r>
        <w:t xml:space="preserve"> </w:t>
      </w:r>
      <w:r>
        <w:rPr>
          <w:b/>
          <w:bCs/>
        </w:rPr>
        <w:t>25</w:t>
      </w:r>
      <w:r>
        <w:t>, 39–53 (2017).</w:t>
      </w:r>
    </w:p>
    <w:p w14:paraId="3594E9CF" w14:textId="77777777" w:rsidR="00B927B6" w:rsidRDefault="00B927B6" w:rsidP="00B927B6">
      <w:pPr>
        <w:pStyle w:val="Bibliography"/>
      </w:pPr>
      <w:r>
        <w:t>27.</w:t>
      </w:r>
      <w:r>
        <w:tab/>
        <w:t xml:space="preserve">Currell, M., </w:t>
      </w:r>
      <w:proofErr w:type="spellStart"/>
      <w:r>
        <w:t>Cendón</w:t>
      </w:r>
      <w:proofErr w:type="spellEnd"/>
      <w:r>
        <w:t xml:space="preserve">, D. I. &amp; Cheng, X. Analysis of environmental isotopes in groundwater to understand the response of a vulnerable coastal aquifer to pumping. </w:t>
      </w:r>
      <w:r>
        <w:rPr>
          <w:i/>
          <w:iCs/>
        </w:rPr>
        <w:t>Hydrogeology Journal</w:t>
      </w:r>
      <w:r>
        <w:t xml:space="preserve"> </w:t>
      </w:r>
      <w:r>
        <w:rPr>
          <w:b/>
          <w:bCs/>
        </w:rPr>
        <w:t>21</w:t>
      </w:r>
      <w:r>
        <w:t>, 1413–1427 (2013).</w:t>
      </w:r>
    </w:p>
    <w:p w14:paraId="2CDA7E58" w14:textId="77777777" w:rsidR="00B927B6" w:rsidRDefault="00B927B6" w:rsidP="00B927B6">
      <w:pPr>
        <w:pStyle w:val="Bibliography"/>
      </w:pPr>
      <w:r>
        <w:t>28.</w:t>
      </w:r>
      <w:r>
        <w:tab/>
        <w:t xml:space="preserve">Dixon, W. &amp; Chiswell, B. Isotopic study of alluvial groundwaters, south-west </w:t>
      </w:r>
      <w:proofErr w:type="spellStart"/>
      <w:r>
        <w:t>lockyer</w:t>
      </w:r>
      <w:proofErr w:type="spellEnd"/>
      <w:r>
        <w:t xml:space="preserve"> valley, </w:t>
      </w:r>
      <w:proofErr w:type="spellStart"/>
      <w:r>
        <w:t>queensland</w:t>
      </w:r>
      <w:proofErr w:type="spellEnd"/>
      <w:r>
        <w:t xml:space="preserve">, </w:t>
      </w:r>
      <w:proofErr w:type="spellStart"/>
      <w:r>
        <w:t>australia</w:t>
      </w:r>
      <w:proofErr w:type="spellEnd"/>
      <w:r>
        <w:t xml:space="preserve">. </w:t>
      </w:r>
      <w:r>
        <w:rPr>
          <w:i/>
          <w:iCs/>
        </w:rPr>
        <w:t>Hydrological Processes</w:t>
      </w:r>
      <w:r>
        <w:t xml:space="preserve"> </w:t>
      </w:r>
      <w:r>
        <w:rPr>
          <w:b/>
          <w:bCs/>
        </w:rPr>
        <w:t>8</w:t>
      </w:r>
      <w:r>
        <w:t>, 359–367 (1994).</w:t>
      </w:r>
    </w:p>
    <w:p w14:paraId="552DCF22" w14:textId="77777777" w:rsidR="00B927B6" w:rsidRDefault="00B927B6" w:rsidP="00B927B6">
      <w:pPr>
        <w:pStyle w:val="Bibliography"/>
      </w:pPr>
      <w:r>
        <w:t>29.</w:t>
      </w:r>
      <w:r>
        <w:tab/>
        <w:t xml:space="preserve">Dean, J. F., Webb, J. A., Jacobsen, G. E., Chisari, R. &amp; Dresel, P. E. Biomass uptake and fire as controls on groundwater solute evolution on a southeast Australian granite: aboriginal land management hypothesis. </w:t>
      </w:r>
      <w:proofErr w:type="spellStart"/>
      <w:r>
        <w:rPr>
          <w:i/>
          <w:iCs/>
        </w:rPr>
        <w:t>Biogeosciences</w:t>
      </w:r>
      <w:proofErr w:type="spellEnd"/>
      <w:r>
        <w:t xml:space="preserve"> </w:t>
      </w:r>
      <w:r>
        <w:rPr>
          <w:b/>
          <w:bCs/>
        </w:rPr>
        <w:t>11</w:t>
      </w:r>
      <w:r>
        <w:t>, 4099–4114 (2014).</w:t>
      </w:r>
    </w:p>
    <w:p w14:paraId="59702B09" w14:textId="77777777" w:rsidR="00B927B6" w:rsidRDefault="00B927B6" w:rsidP="00B927B6">
      <w:pPr>
        <w:pStyle w:val="Bibliography"/>
      </w:pPr>
      <w:r>
        <w:t>30.</w:t>
      </w:r>
      <w:r>
        <w:tab/>
        <w:t xml:space="preserve">Dyring, M. </w:t>
      </w:r>
      <w:r>
        <w:rPr>
          <w:i/>
          <w:iCs/>
        </w:rPr>
        <w:t>et al.</w:t>
      </w:r>
      <w:r>
        <w:t xml:space="preserve"> A hydrogeochemical approach to coastal groundwater-dependent ecosystem conservation: The case of </w:t>
      </w:r>
      <w:proofErr w:type="spellStart"/>
      <w:r>
        <w:t>Cooloola</w:t>
      </w:r>
      <w:proofErr w:type="spellEnd"/>
      <w:r>
        <w:t xml:space="preserve"> Sand Mass, Australia. </w:t>
      </w:r>
      <w:r>
        <w:rPr>
          <w:i/>
          <w:iCs/>
        </w:rPr>
        <w:t>Science of The Total Environment</w:t>
      </w:r>
      <w:r>
        <w:t xml:space="preserve"> </w:t>
      </w:r>
      <w:r>
        <w:rPr>
          <w:b/>
          <w:bCs/>
        </w:rPr>
        <w:t>958</w:t>
      </w:r>
      <w:r>
        <w:t>, 177892 (2025).</w:t>
      </w:r>
    </w:p>
    <w:p w14:paraId="3F2FD063" w14:textId="77777777" w:rsidR="00B927B6" w:rsidRDefault="00B927B6" w:rsidP="00B927B6">
      <w:pPr>
        <w:pStyle w:val="Bibliography"/>
      </w:pPr>
      <w:r>
        <w:t>31.</w:t>
      </w:r>
      <w:r>
        <w:tab/>
        <w:t xml:space="preserve">Duvert, C. </w:t>
      </w:r>
      <w:r>
        <w:rPr>
          <w:i/>
          <w:iCs/>
        </w:rPr>
        <w:t>et al.</w:t>
      </w:r>
      <w:r>
        <w:t xml:space="preserve"> </w:t>
      </w:r>
      <w:proofErr w:type="spellStart"/>
      <w:r>
        <w:t>Hydrochemical</w:t>
      </w:r>
      <w:proofErr w:type="spellEnd"/>
      <w:r>
        <w:t xml:space="preserve"> processes in a shallow coal seam gas aquifer and its overlying stream–alluvial system: implications for recharge and inter-aquifer connectivity. </w:t>
      </w:r>
      <w:r>
        <w:rPr>
          <w:i/>
          <w:iCs/>
        </w:rPr>
        <w:t>Applied Geochemistry</w:t>
      </w:r>
      <w:r>
        <w:t xml:space="preserve"> </w:t>
      </w:r>
      <w:r>
        <w:rPr>
          <w:b/>
          <w:bCs/>
        </w:rPr>
        <w:t>61</w:t>
      </w:r>
      <w:r>
        <w:t>, 146–159 (2015).</w:t>
      </w:r>
    </w:p>
    <w:p w14:paraId="285A30D2" w14:textId="77777777" w:rsidR="00B927B6" w:rsidRDefault="00B927B6" w:rsidP="00B927B6">
      <w:pPr>
        <w:pStyle w:val="Bibliography"/>
      </w:pPr>
      <w:r>
        <w:t>32.</w:t>
      </w:r>
      <w:r>
        <w:tab/>
        <w:t xml:space="preserve">Duvert, C. </w:t>
      </w:r>
      <w:r>
        <w:rPr>
          <w:i/>
          <w:iCs/>
        </w:rPr>
        <w:t>et al.</w:t>
      </w:r>
      <w:r>
        <w:t xml:space="preserve"> Seasonal Shift </w:t>
      </w:r>
      <w:proofErr w:type="gramStart"/>
      <w:r>
        <w:t>From</w:t>
      </w:r>
      <w:proofErr w:type="gramEnd"/>
      <w:r>
        <w:t xml:space="preserve"> Biogenic to Geogenic Fluvial Carbon Caused by Changing Water Sources in the Wet</w:t>
      </w:r>
      <w:r>
        <w:rPr>
          <w:rFonts w:ascii="Cambria Math" w:hAnsi="Cambria Math" w:cs="Cambria Math"/>
        </w:rPr>
        <w:t>‐</w:t>
      </w:r>
      <w:r>
        <w:t xml:space="preserve">Dry Tropics. </w:t>
      </w:r>
      <w:r>
        <w:rPr>
          <w:i/>
          <w:iCs/>
        </w:rPr>
        <w:t xml:space="preserve">JGR </w:t>
      </w:r>
      <w:proofErr w:type="spellStart"/>
      <w:r>
        <w:rPr>
          <w:i/>
          <w:iCs/>
        </w:rPr>
        <w:t>Biogeosciences</w:t>
      </w:r>
      <w:proofErr w:type="spellEnd"/>
      <w:r>
        <w:t xml:space="preserve"> </w:t>
      </w:r>
      <w:r>
        <w:rPr>
          <w:b/>
          <w:bCs/>
        </w:rPr>
        <w:t>125</w:t>
      </w:r>
      <w:r>
        <w:t>, e2019JG005384 (2020).</w:t>
      </w:r>
    </w:p>
    <w:p w14:paraId="270FAD60" w14:textId="77777777" w:rsidR="00B927B6" w:rsidRDefault="00B927B6" w:rsidP="00B927B6">
      <w:pPr>
        <w:pStyle w:val="Bibliography"/>
      </w:pPr>
      <w:r>
        <w:t>33.</w:t>
      </w:r>
      <w:r>
        <w:tab/>
        <w:t xml:space="preserve">Department of Water and Environmental Regulation. </w:t>
      </w:r>
      <w:r>
        <w:rPr>
          <w:i/>
          <w:iCs/>
        </w:rPr>
        <w:t>Fitzroy Valley Groundwater Investigations 2015–2018, Kimberley, Western Australia</w:t>
      </w:r>
      <w:r>
        <w:t>. 236 https://www.wa.gov.au/system/files/2023-10/fitzroy-valley-groundwater-investigations-2015-2018.pdf (2023).</w:t>
      </w:r>
    </w:p>
    <w:p w14:paraId="1F7B017C" w14:textId="77777777" w:rsidR="00B927B6" w:rsidRDefault="00B927B6" w:rsidP="00B927B6">
      <w:pPr>
        <w:pStyle w:val="Bibliography"/>
      </w:pPr>
      <w:r>
        <w:t>34.</w:t>
      </w:r>
      <w:r>
        <w:tab/>
        <w:t xml:space="preserve">Geoscience Australia. Geoscience Australia. </w:t>
      </w:r>
      <w:r>
        <w:rPr>
          <w:i/>
          <w:iCs/>
        </w:rPr>
        <w:t>Geoscience Australia Portal</w:t>
      </w:r>
      <w:r>
        <w:t xml:space="preserve"> https://portal.ga.gov.au/ (2022).</w:t>
      </w:r>
    </w:p>
    <w:p w14:paraId="4CF4C212" w14:textId="77777777" w:rsidR="00B927B6" w:rsidRDefault="00B927B6" w:rsidP="00B927B6">
      <w:pPr>
        <w:pStyle w:val="Bibliography"/>
      </w:pPr>
      <w:r>
        <w:t>35.</w:t>
      </w:r>
      <w:r>
        <w:tab/>
        <w:t>Geological and Bioregional Assessment Program. Environmental tracer data 2019. (2021).</w:t>
      </w:r>
    </w:p>
    <w:p w14:paraId="64C60614" w14:textId="77777777" w:rsidR="00B927B6" w:rsidRDefault="00B927B6" w:rsidP="00B927B6">
      <w:pPr>
        <w:pStyle w:val="Bibliography"/>
      </w:pPr>
      <w:r>
        <w:lastRenderedPageBreak/>
        <w:t>36.</w:t>
      </w:r>
      <w:r>
        <w:tab/>
        <w:t xml:space="preserve">Geological and Bioregional Assessment Program. </w:t>
      </w:r>
      <w:proofErr w:type="spellStart"/>
      <w:r>
        <w:t>Hydrogeochemistry</w:t>
      </w:r>
      <w:proofErr w:type="spellEnd"/>
      <w:r>
        <w:t xml:space="preserve"> and environmental tracers of Cooper Basin, GAB and shallow groundwater. (2021).</w:t>
      </w:r>
    </w:p>
    <w:p w14:paraId="1BE4096E" w14:textId="77777777" w:rsidR="00B927B6" w:rsidRDefault="00B927B6" w:rsidP="00B927B6">
      <w:pPr>
        <w:pStyle w:val="Bibliography"/>
      </w:pPr>
      <w:r>
        <w:t>37.</w:t>
      </w:r>
      <w:r>
        <w:tab/>
        <w:t xml:space="preserve">Hofmann, H. &amp; Cartwright, I. Using </w:t>
      </w:r>
      <w:proofErr w:type="spellStart"/>
      <w:r>
        <w:t>hydrogeochemistry</w:t>
      </w:r>
      <w:proofErr w:type="spellEnd"/>
      <w:r>
        <w:t xml:space="preserve"> to understand inter-aquifer mixing in the </w:t>
      </w:r>
      <w:proofErr w:type="gramStart"/>
      <w:r>
        <w:t>on-shore</w:t>
      </w:r>
      <w:proofErr w:type="gramEnd"/>
      <w:r>
        <w:t xml:space="preserve"> part of the Gippsland Basin, southeast Australia. </w:t>
      </w:r>
      <w:r>
        <w:rPr>
          <w:i/>
          <w:iCs/>
        </w:rPr>
        <w:t>Applied Geochemistry</w:t>
      </w:r>
      <w:r>
        <w:t xml:space="preserve"> </w:t>
      </w:r>
      <w:r>
        <w:rPr>
          <w:b/>
          <w:bCs/>
        </w:rPr>
        <w:t>33</w:t>
      </w:r>
      <w:r>
        <w:t>, 84–103 (2013).</w:t>
      </w:r>
    </w:p>
    <w:p w14:paraId="164A8479" w14:textId="77777777" w:rsidR="00B927B6" w:rsidRDefault="00B927B6" w:rsidP="00B927B6">
      <w:pPr>
        <w:pStyle w:val="Bibliography"/>
      </w:pPr>
      <w:r>
        <w:t>38.</w:t>
      </w:r>
      <w:r>
        <w:tab/>
        <w:t xml:space="preserve">Hall, B., Currell, M. &amp; Webb, J. Using multiple lines of evidence to map groundwater recharge in a rapidly urbanising catchment: Implications for future land and water management. </w:t>
      </w:r>
      <w:r>
        <w:rPr>
          <w:i/>
          <w:iCs/>
        </w:rPr>
        <w:t xml:space="preserve">J. </w:t>
      </w:r>
      <w:proofErr w:type="spellStart"/>
      <w:r>
        <w:rPr>
          <w:i/>
          <w:iCs/>
        </w:rPr>
        <w:t>Hydrol</w:t>
      </w:r>
      <w:proofErr w:type="spellEnd"/>
      <w:r>
        <w:rPr>
          <w:i/>
          <w:iCs/>
        </w:rPr>
        <w:t>.</w:t>
      </w:r>
      <w:r>
        <w:t xml:space="preserve"> </w:t>
      </w:r>
      <w:r>
        <w:rPr>
          <w:b/>
          <w:bCs/>
        </w:rPr>
        <w:t>580</w:t>
      </w:r>
      <w:r>
        <w:t>, (2020).</w:t>
      </w:r>
    </w:p>
    <w:p w14:paraId="43C8E2AF" w14:textId="77777777" w:rsidR="00B927B6" w:rsidRDefault="00B927B6" w:rsidP="00B927B6">
      <w:pPr>
        <w:pStyle w:val="Bibliography"/>
      </w:pPr>
      <w:r>
        <w:t>39.</w:t>
      </w:r>
      <w:r>
        <w:tab/>
        <w:t xml:space="preserve">Harris, S. J. </w:t>
      </w:r>
      <w:r>
        <w:rPr>
          <w:i/>
          <w:iCs/>
        </w:rPr>
        <w:t>et al.</w:t>
      </w:r>
      <w:r>
        <w:t xml:space="preserve"> Isotopic evidence for nitrate sources and controls on denitrification in groundwater beneath an irrigated agricultural district. </w:t>
      </w:r>
      <w:r>
        <w:rPr>
          <w:i/>
          <w:iCs/>
        </w:rPr>
        <w:t>Sci. Total Environ.</w:t>
      </w:r>
      <w:r>
        <w:t xml:space="preserve"> </w:t>
      </w:r>
      <w:r>
        <w:rPr>
          <w:b/>
          <w:bCs/>
        </w:rPr>
        <w:t>817</w:t>
      </w:r>
      <w:r>
        <w:t>, (2022).</w:t>
      </w:r>
    </w:p>
    <w:p w14:paraId="0CAD2D6B" w14:textId="77777777" w:rsidR="00B927B6" w:rsidRDefault="00B927B6" w:rsidP="00B927B6">
      <w:pPr>
        <w:pStyle w:val="Bibliography"/>
      </w:pPr>
      <w:r>
        <w:t>40.</w:t>
      </w:r>
      <w:r>
        <w:tab/>
        <w:t xml:space="preserve">Hepburn, E., </w:t>
      </w:r>
      <w:proofErr w:type="spellStart"/>
      <w:r>
        <w:t>Cendón</w:t>
      </w:r>
      <w:proofErr w:type="spellEnd"/>
      <w:r>
        <w:t xml:space="preserve">, D. I., Bekele, D. &amp; Currell, M. Environmental isotopes as indicators of groundwater recharge, residence times and salinity in a coastal urban redevelopment precinct in Australia. </w:t>
      </w:r>
      <w:proofErr w:type="spellStart"/>
      <w:r>
        <w:rPr>
          <w:i/>
          <w:iCs/>
        </w:rPr>
        <w:t>Hydrogeol</w:t>
      </w:r>
      <w:proofErr w:type="spellEnd"/>
      <w:r>
        <w:rPr>
          <w:i/>
          <w:iCs/>
        </w:rPr>
        <w:t xml:space="preserve"> J</w:t>
      </w:r>
      <w:r>
        <w:t xml:space="preserve"> </w:t>
      </w:r>
      <w:r>
        <w:rPr>
          <w:b/>
          <w:bCs/>
        </w:rPr>
        <w:t>28</w:t>
      </w:r>
      <w:r>
        <w:t>, 503–520 (2020).</w:t>
      </w:r>
    </w:p>
    <w:p w14:paraId="6AB40D2D" w14:textId="77777777" w:rsidR="00B927B6" w:rsidRDefault="00B927B6" w:rsidP="00B927B6">
      <w:pPr>
        <w:pStyle w:val="Bibliography"/>
      </w:pPr>
      <w:r>
        <w:t>41.</w:t>
      </w:r>
      <w:r>
        <w:tab/>
        <w:t xml:space="preserve">Howcroft, W., Cartwright, I., Fifield, L. K. &amp; </w:t>
      </w:r>
      <w:proofErr w:type="spellStart"/>
      <w:r>
        <w:t>Cendón</w:t>
      </w:r>
      <w:proofErr w:type="spellEnd"/>
      <w:r>
        <w:t xml:space="preserve">, D. I. Differences in groundwater and chloride residence times in saline groundwater: The Barwon River Catchment of Southeast Australia. </w:t>
      </w:r>
      <w:r>
        <w:rPr>
          <w:i/>
          <w:iCs/>
        </w:rPr>
        <w:t>Chemical Geology</w:t>
      </w:r>
      <w:r>
        <w:t xml:space="preserve"> </w:t>
      </w:r>
      <w:r>
        <w:rPr>
          <w:b/>
          <w:bCs/>
        </w:rPr>
        <w:t>451</w:t>
      </w:r>
      <w:r>
        <w:t>, 154–168 (2017).</w:t>
      </w:r>
    </w:p>
    <w:p w14:paraId="186A771A" w14:textId="77777777" w:rsidR="00B927B6" w:rsidRDefault="00B927B6" w:rsidP="00B927B6">
      <w:pPr>
        <w:pStyle w:val="Bibliography"/>
      </w:pPr>
      <w:r>
        <w:t>42.</w:t>
      </w:r>
      <w:r>
        <w:tab/>
        <w:t xml:space="preserve">Hofmann, H., Newborn, D., Cartwright, I., </w:t>
      </w:r>
      <w:proofErr w:type="spellStart"/>
      <w:r>
        <w:t>Cendón</w:t>
      </w:r>
      <w:proofErr w:type="spellEnd"/>
      <w:r>
        <w:t xml:space="preserve">, D. I. &amp; Raiber, M. Groundwater mean residence times of a subtropical barrier sand island. </w:t>
      </w:r>
      <w:proofErr w:type="spellStart"/>
      <w:r>
        <w:rPr>
          <w:i/>
          <w:iCs/>
        </w:rPr>
        <w:t>Hydrol</w:t>
      </w:r>
      <w:proofErr w:type="spellEnd"/>
      <w:r>
        <w:rPr>
          <w:i/>
          <w:iCs/>
        </w:rPr>
        <w:t>. Earth Syst. Sci.</w:t>
      </w:r>
      <w:r>
        <w:t xml:space="preserve"> </w:t>
      </w:r>
      <w:r>
        <w:rPr>
          <w:b/>
          <w:bCs/>
        </w:rPr>
        <w:t>24</w:t>
      </w:r>
      <w:r>
        <w:t>, 1293–1318 (2020).</w:t>
      </w:r>
    </w:p>
    <w:p w14:paraId="4767EEAC" w14:textId="77777777" w:rsidR="00B927B6" w:rsidRDefault="00B927B6" w:rsidP="00B927B6">
      <w:pPr>
        <w:pStyle w:val="Bibliography"/>
      </w:pPr>
      <w:r>
        <w:t>43.</w:t>
      </w:r>
      <w:r>
        <w:tab/>
        <w:t xml:space="preserve">Hutley, L. B. </w:t>
      </w:r>
      <w:r>
        <w:rPr>
          <w:i/>
          <w:iCs/>
        </w:rPr>
        <w:t>et al.</w:t>
      </w:r>
      <w:r>
        <w:t xml:space="preserve"> </w:t>
      </w:r>
      <w:r>
        <w:rPr>
          <w:i/>
          <w:iCs/>
        </w:rPr>
        <w:t xml:space="preserve">Ecohydrology and Sensitivity of Riparian Flora, </w:t>
      </w:r>
      <w:proofErr w:type="spellStart"/>
      <w:r>
        <w:rPr>
          <w:i/>
          <w:iCs/>
        </w:rPr>
        <w:t>Magela</w:t>
      </w:r>
      <w:proofErr w:type="spellEnd"/>
      <w:r>
        <w:rPr>
          <w:i/>
          <w:iCs/>
        </w:rPr>
        <w:t xml:space="preserve"> Creek, Ranger Uranium Mine</w:t>
      </w:r>
      <w:r>
        <w:t>. 68 https://nesplandscapes.edu.au/wp-content/uploads/2021/10/Ecohydrologyand-sensitivity-of-riparian-flora-final-report.pdf (2021).</w:t>
      </w:r>
    </w:p>
    <w:p w14:paraId="793C083C" w14:textId="77777777" w:rsidR="00B927B6" w:rsidRDefault="00B927B6" w:rsidP="00B927B6">
      <w:pPr>
        <w:pStyle w:val="Bibliography"/>
      </w:pPr>
      <w:r>
        <w:t>44.</w:t>
      </w:r>
      <w:r>
        <w:tab/>
        <w:t xml:space="preserve">Irvine, D. J. &amp; Duvert, C. </w:t>
      </w:r>
      <w:r>
        <w:rPr>
          <w:i/>
          <w:iCs/>
        </w:rPr>
        <w:t>SREBA Water Studies: Flora River Groundwater &amp; Surface Water Interactions Study</w:t>
      </w:r>
      <w:r>
        <w:t>. 31 https://territorystories.nt.gov.au/10070/900062/0/30 (2022).</w:t>
      </w:r>
    </w:p>
    <w:p w14:paraId="0F14D824" w14:textId="77777777" w:rsidR="00B927B6" w:rsidRDefault="00B927B6" w:rsidP="00B927B6">
      <w:pPr>
        <w:pStyle w:val="Bibliography"/>
      </w:pPr>
      <w:r>
        <w:t>45.</w:t>
      </w:r>
      <w:r>
        <w:tab/>
        <w:t xml:space="preserve">Iverach, C. P. </w:t>
      </w:r>
      <w:r>
        <w:rPr>
          <w:i/>
          <w:iCs/>
        </w:rPr>
        <w:t>et al.</w:t>
      </w:r>
      <w:r>
        <w:t xml:space="preserve"> Assessing Connectivity Between an Overlying Aquifer and a Coal Seam Gas Resource Using Methane Isotopes, Dissolved Organic Carbon and Tritium. </w:t>
      </w:r>
      <w:r>
        <w:rPr>
          <w:i/>
          <w:iCs/>
        </w:rPr>
        <w:t>Sci. Rep.</w:t>
      </w:r>
      <w:r>
        <w:t xml:space="preserve"> </w:t>
      </w:r>
      <w:r>
        <w:rPr>
          <w:b/>
          <w:bCs/>
        </w:rPr>
        <w:t>5</w:t>
      </w:r>
      <w:r>
        <w:t>, (2015).</w:t>
      </w:r>
    </w:p>
    <w:p w14:paraId="2DB497C0" w14:textId="77777777" w:rsidR="00B927B6" w:rsidRDefault="00B927B6" w:rsidP="00B927B6">
      <w:pPr>
        <w:pStyle w:val="Bibliography"/>
      </w:pPr>
      <w:r>
        <w:lastRenderedPageBreak/>
        <w:t>46.</w:t>
      </w:r>
      <w:r>
        <w:tab/>
        <w:t xml:space="preserve">Iverach, C. P. </w:t>
      </w:r>
      <w:r>
        <w:rPr>
          <w:i/>
          <w:iCs/>
        </w:rPr>
        <w:t>et al.</w:t>
      </w:r>
      <w:r>
        <w:t xml:space="preserve"> A multi-tracer approach to constraining artesian groundwater discharge into an alluvial aquifer. </w:t>
      </w:r>
      <w:r>
        <w:rPr>
          <w:i/>
          <w:iCs/>
        </w:rPr>
        <w:t>Hydrology and Earth System Sciences</w:t>
      </w:r>
      <w:r>
        <w:t xml:space="preserve"> </w:t>
      </w:r>
      <w:r>
        <w:rPr>
          <w:b/>
          <w:bCs/>
        </w:rPr>
        <w:t>21</w:t>
      </w:r>
      <w:r>
        <w:t>, 5953–5969 (2017).</w:t>
      </w:r>
    </w:p>
    <w:p w14:paraId="042E5CD9" w14:textId="77777777" w:rsidR="00B927B6" w:rsidRDefault="00B927B6" w:rsidP="00B927B6">
      <w:pPr>
        <w:pStyle w:val="Bibliography"/>
      </w:pPr>
      <w:r>
        <w:t>47.</w:t>
      </w:r>
      <w:r>
        <w:tab/>
        <w:t xml:space="preserve">JACOBS. </w:t>
      </w:r>
      <w:r>
        <w:rPr>
          <w:i/>
          <w:iCs/>
        </w:rPr>
        <w:t>Barwon Downs Hydrogeological Studies 2015/16 Barwon Water Recharge Rate Assessment</w:t>
      </w:r>
      <w:r>
        <w:t>. 64 https://hdp-au-prod-app-barwonwater-yoursay-files.s3.ap-southeast-2.amazonaws.com/7816/7756/1213/06_-_Barwon_Downs_hydrogeological_studies_2015-2016_recharge_rate_assessment_2016.pdf (2016).</w:t>
      </w:r>
    </w:p>
    <w:p w14:paraId="01AC97E0" w14:textId="77777777" w:rsidR="00B927B6" w:rsidRDefault="00B927B6" w:rsidP="00B927B6">
      <w:pPr>
        <w:pStyle w:val="Bibliography"/>
      </w:pPr>
      <w:r>
        <w:t>48.</w:t>
      </w:r>
      <w:r>
        <w:tab/>
        <w:t xml:space="preserve">King, A. C., Raiber, M., </w:t>
      </w:r>
      <w:proofErr w:type="spellStart"/>
      <w:r>
        <w:t>Cendón</w:t>
      </w:r>
      <w:proofErr w:type="spellEnd"/>
      <w:r>
        <w:t xml:space="preserve">, D. I., Cox, M. E. &amp; Hollins, S. E. Identifying flood recharge and inter-aquifer connectivity using multiple isotopes in subtropical Australia. </w:t>
      </w:r>
      <w:proofErr w:type="spellStart"/>
      <w:r>
        <w:rPr>
          <w:i/>
          <w:iCs/>
        </w:rPr>
        <w:t>Hydrol</w:t>
      </w:r>
      <w:proofErr w:type="spellEnd"/>
      <w:r>
        <w:rPr>
          <w:i/>
          <w:iCs/>
        </w:rPr>
        <w:t>. Earth Syst. Sci.</w:t>
      </w:r>
      <w:r>
        <w:t xml:space="preserve"> </w:t>
      </w:r>
      <w:r>
        <w:rPr>
          <w:b/>
          <w:bCs/>
        </w:rPr>
        <w:t>19</w:t>
      </w:r>
      <w:r>
        <w:t>, 2315–2335 (2015).</w:t>
      </w:r>
    </w:p>
    <w:p w14:paraId="554B11D7" w14:textId="77777777" w:rsidR="00B927B6" w:rsidRDefault="00B927B6" w:rsidP="00B927B6">
      <w:pPr>
        <w:pStyle w:val="Bibliography"/>
      </w:pPr>
      <w:r>
        <w:t>49.</w:t>
      </w:r>
      <w:r>
        <w:tab/>
        <w:t xml:space="preserve">Lamontagne, S. </w:t>
      </w:r>
      <w:r>
        <w:rPr>
          <w:i/>
          <w:iCs/>
        </w:rPr>
        <w:t>et al.</w:t>
      </w:r>
      <w:r>
        <w:t xml:space="preserve"> River infiltration to a subtropical alluvial aquifer inferred using multiple environmental tracers. </w:t>
      </w:r>
      <w:r>
        <w:rPr>
          <w:i/>
          <w:iCs/>
        </w:rPr>
        <w:t>Water Resources Research</w:t>
      </w:r>
      <w:r>
        <w:t xml:space="preserve"> </w:t>
      </w:r>
      <w:r>
        <w:rPr>
          <w:b/>
          <w:bCs/>
        </w:rPr>
        <w:t>51</w:t>
      </w:r>
      <w:r>
        <w:t>, 4532–4549 (2015).</w:t>
      </w:r>
    </w:p>
    <w:p w14:paraId="3BF8380E" w14:textId="77777777" w:rsidR="00B927B6" w:rsidRDefault="00B927B6" w:rsidP="00B927B6">
      <w:pPr>
        <w:pStyle w:val="Bibliography"/>
      </w:pPr>
      <w:r>
        <w:t>50.</w:t>
      </w:r>
      <w:r>
        <w:tab/>
        <w:t xml:space="preserve">Lamontagne, S. </w:t>
      </w:r>
      <w:r>
        <w:rPr>
          <w:i/>
          <w:iCs/>
        </w:rPr>
        <w:t>et al.</w:t>
      </w:r>
      <w:r>
        <w:t xml:space="preserve"> Groundwater sources for the Mataranka Springs (Northern Territory, Australia). </w:t>
      </w:r>
      <w:r>
        <w:rPr>
          <w:i/>
          <w:iCs/>
        </w:rPr>
        <w:t>Sci Rep</w:t>
      </w:r>
      <w:r>
        <w:t xml:space="preserve"> </w:t>
      </w:r>
      <w:r>
        <w:rPr>
          <w:b/>
          <w:bCs/>
        </w:rPr>
        <w:t>11</w:t>
      </w:r>
      <w:r>
        <w:t>, 24288 (2021).</w:t>
      </w:r>
    </w:p>
    <w:p w14:paraId="3C8B3E7D" w14:textId="77777777" w:rsidR="00B927B6" w:rsidRDefault="00B927B6" w:rsidP="00B927B6">
      <w:pPr>
        <w:pStyle w:val="Bibliography"/>
      </w:pPr>
      <w:r>
        <w:t>51.</w:t>
      </w:r>
      <w:r>
        <w:tab/>
        <w:t>Martinez, J. L. Revealing groundwater-surface water exchanges and recharge processes with multiple tracers and hydrochemistry. (Queensland University of Technology, 2017).</w:t>
      </w:r>
    </w:p>
    <w:p w14:paraId="44E90D3D" w14:textId="77777777" w:rsidR="00B927B6" w:rsidRDefault="00B927B6" w:rsidP="00B927B6">
      <w:pPr>
        <w:pStyle w:val="Bibliography"/>
      </w:pPr>
      <w:r>
        <w:t>52.</w:t>
      </w:r>
      <w:r>
        <w:tab/>
        <w:t xml:space="preserve">McCance, W. </w:t>
      </w:r>
      <w:r>
        <w:rPr>
          <w:i/>
          <w:iCs/>
        </w:rPr>
        <w:t>et al.</w:t>
      </w:r>
      <w:r>
        <w:t xml:space="preserve"> Combining environmental isotopes with Contaminants of Emerging Concern (CECs) to characterise wastewater derived impacts on groundwater quality. </w:t>
      </w:r>
      <w:r>
        <w:rPr>
          <w:i/>
          <w:iCs/>
        </w:rPr>
        <w:t>Water Research</w:t>
      </w:r>
      <w:r>
        <w:t xml:space="preserve"> </w:t>
      </w:r>
      <w:r>
        <w:rPr>
          <w:b/>
          <w:bCs/>
        </w:rPr>
        <w:t>182</w:t>
      </w:r>
      <w:r>
        <w:t>, 116036 (2020).</w:t>
      </w:r>
    </w:p>
    <w:p w14:paraId="3BADB01B" w14:textId="77777777" w:rsidR="00B927B6" w:rsidRDefault="00B927B6" w:rsidP="00B927B6">
      <w:pPr>
        <w:pStyle w:val="Bibliography"/>
      </w:pPr>
      <w:r>
        <w:t>53.</w:t>
      </w:r>
      <w:r>
        <w:tab/>
        <w:t xml:space="preserve">McDonough, L. K. </w:t>
      </w:r>
      <w:r>
        <w:rPr>
          <w:i/>
          <w:iCs/>
        </w:rPr>
        <w:t>et al.</w:t>
      </w:r>
      <w:r>
        <w:t xml:space="preserve"> Characterisation of shallow groundwater dissolved organic matter in aeolian, alluvial and fractured rock aquifers. </w:t>
      </w:r>
      <w:proofErr w:type="spellStart"/>
      <w:r>
        <w:rPr>
          <w:i/>
          <w:iCs/>
        </w:rPr>
        <w:t>Geochimica</w:t>
      </w:r>
      <w:proofErr w:type="spellEnd"/>
      <w:r>
        <w:rPr>
          <w:i/>
          <w:iCs/>
        </w:rPr>
        <w:t xml:space="preserve"> et </w:t>
      </w:r>
      <w:proofErr w:type="spellStart"/>
      <w:r>
        <w:rPr>
          <w:i/>
          <w:iCs/>
        </w:rPr>
        <w:t>Cosmochimica</w:t>
      </w:r>
      <w:proofErr w:type="spellEnd"/>
      <w:r>
        <w:rPr>
          <w:i/>
          <w:iCs/>
        </w:rPr>
        <w:t xml:space="preserve"> Acta</w:t>
      </w:r>
      <w:r>
        <w:t xml:space="preserve"> </w:t>
      </w:r>
      <w:r>
        <w:rPr>
          <w:b/>
          <w:bCs/>
        </w:rPr>
        <w:t>273</w:t>
      </w:r>
      <w:r>
        <w:t>, 163–176 (2020).</w:t>
      </w:r>
    </w:p>
    <w:p w14:paraId="1149D893" w14:textId="77777777" w:rsidR="00B927B6" w:rsidRDefault="00B927B6" w:rsidP="00B927B6">
      <w:pPr>
        <w:pStyle w:val="Bibliography"/>
      </w:pPr>
      <w:r>
        <w:t>54.</w:t>
      </w:r>
      <w:r>
        <w:tab/>
        <w:t xml:space="preserve">Meredith, K., </w:t>
      </w:r>
      <w:proofErr w:type="spellStart"/>
      <w:r>
        <w:t>Cendón</w:t>
      </w:r>
      <w:proofErr w:type="spellEnd"/>
      <w:r>
        <w:t xml:space="preserve">, D. I., </w:t>
      </w:r>
      <w:proofErr w:type="spellStart"/>
      <w:r>
        <w:t>Pigois</w:t>
      </w:r>
      <w:proofErr w:type="spellEnd"/>
      <w:r>
        <w:t xml:space="preserve">, J.-P., Hollins, S. &amp; Jacobsen, G. Using 14C and 3H to delineate a recharge ‘window’ into the Perth Basin aquifers, North Gnangara groundwater system, Western Australia. </w:t>
      </w:r>
      <w:r>
        <w:rPr>
          <w:i/>
          <w:iCs/>
        </w:rPr>
        <w:t>Science of The Total Environment</w:t>
      </w:r>
      <w:r>
        <w:t xml:space="preserve"> </w:t>
      </w:r>
      <w:r>
        <w:rPr>
          <w:b/>
          <w:bCs/>
        </w:rPr>
        <w:t>414</w:t>
      </w:r>
      <w:r>
        <w:t>, 456–469 (2012).</w:t>
      </w:r>
    </w:p>
    <w:p w14:paraId="59062DEE" w14:textId="77777777" w:rsidR="00B927B6" w:rsidRDefault="00B927B6" w:rsidP="00B927B6">
      <w:pPr>
        <w:pStyle w:val="Bibliography"/>
      </w:pPr>
      <w:r>
        <w:lastRenderedPageBreak/>
        <w:t>55.</w:t>
      </w:r>
      <w:r>
        <w:tab/>
        <w:t xml:space="preserve">Meredith, K. T. </w:t>
      </w:r>
      <w:r>
        <w:rPr>
          <w:i/>
          <w:iCs/>
        </w:rPr>
        <w:t>et al.</w:t>
      </w:r>
      <w:r>
        <w:t xml:space="preserve"> Evaporation and concentration gradients created by episodic river recharge in a semi-arid zone aquifer: Insights from Cl−, δ18O, δ2H, and 3H. </w:t>
      </w:r>
      <w:r>
        <w:rPr>
          <w:i/>
          <w:iCs/>
        </w:rPr>
        <w:t>Journal of Hydrology</w:t>
      </w:r>
      <w:r>
        <w:t xml:space="preserve"> </w:t>
      </w:r>
      <w:r>
        <w:rPr>
          <w:b/>
          <w:bCs/>
        </w:rPr>
        <w:t>529</w:t>
      </w:r>
      <w:r>
        <w:t>, 1070–1078 (2015).</w:t>
      </w:r>
    </w:p>
    <w:p w14:paraId="5D1CFBF2" w14:textId="77777777" w:rsidR="00B927B6" w:rsidRDefault="00B927B6" w:rsidP="00B927B6">
      <w:pPr>
        <w:pStyle w:val="Bibliography"/>
      </w:pPr>
      <w:r>
        <w:t>56.</w:t>
      </w:r>
      <w:r>
        <w:tab/>
        <w:t xml:space="preserve">Owen, D. D. R., </w:t>
      </w:r>
      <w:proofErr w:type="spellStart"/>
      <w:r>
        <w:t>Shouakar</w:t>
      </w:r>
      <w:proofErr w:type="spellEnd"/>
      <w:r>
        <w:t xml:space="preserve">-Stash, O., Morgenstern, U. &amp; Aravena, R. Thermodynamic and </w:t>
      </w:r>
      <w:proofErr w:type="spellStart"/>
      <w:r>
        <w:t>hydrochemical</w:t>
      </w:r>
      <w:proofErr w:type="spellEnd"/>
      <w:r>
        <w:t xml:space="preserve"> controls on CH4 in a coal seam gas and overlying alluvial aquifer: new insights into CH4 origins. </w:t>
      </w:r>
      <w:r>
        <w:rPr>
          <w:i/>
          <w:iCs/>
        </w:rPr>
        <w:t>Sci Rep</w:t>
      </w:r>
      <w:r>
        <w:t xml:space="preserve"> </w:t>
      </w:r>
      <w:r>
        <w:rPr>
          <w:b/>
          <w:bCs/>
        </w:rPr>
        <w:t>6</w:t>
      </w:r>
      <w:r>
        <w:t>, 32407 (2016).</w:t>
      </w:r>
    </w:p>
    <w:p w14:paraId="3BFA4FC0" w14:textId="77777777" w:rsidR="00B927B6" w:rsidRDefault="00B927B6" w:rsidP="00B927B6">
      <w:pPr>
        <w:pStyle w:val="Bibliography"/>
      </w:pPr>
      <w:r>
        <w:t>57.</w:t>
      </w:r>
      <w:r>
        <w:tab/>
        <w:t xml:space="preserve">Hofmann, H. </w:t>
      </w:r>
      <w:r>
        <w:rPr>
          <w:i/>
          <w:iCs/>
        </w:rPr>
        <w:t>et al.</w:t>
      </w:r>
      <w:r>
        <w:t xml:space="preserve"> </w:t>
      </w:r>
      <w:proofErr w:type="gramStart"/>
      <w:r>
        <w:t>Multi-tracer</w:t>
      </w:r>
      <w:proofErr w:type="gramEnd"/>
      <w:r>
        <w:t xml:space="preserve"> approach to constrain groundwater flow and geochemical baseline assessments for CO2 sequestration in deep sedimentary basins. </w:t>
      </w:r>
      <w:r>
        <w:rPr>
          <w:i/>
          <w:iCs/>
        </w:rPr>
        <w:t>Int. J. Coal Geol.</w:t>
      </w:r>
      <w:r>
        <w:t xml:space="preserve"> </w:t>
      </w:r>
      <w:r>
        <w:rPr>
          <w:b/>
          <w:bCs/>
        </w:rPr>
        <w:t>282</w:t>
      </w:r>
      <w:r>
        <w:t>, (2024).</w:t>
      </w:r>
    </w:p>
    <w:p w14:paraId="0CD2549E" w14:textId="77777777" w:rsidR="00B927B6" w:rsidRDefault="00B927B6" w:rsidP="00B927B6">
      <w:pPr>
        <w:pStyle w:val="Bibliography"/>
      </w:pPr>
      <w:r>
        <w:t>58.</w:t>
      </w:r>
      <w:r>
        <w:tab/>
        <w:t xml:space="preserve">Raiber, M., Webb, J. A., </w:t>
      </w:r>
      <w:proofErr w:type="spellStart"/>
      <w:r>
        <w:t>Cendón</w:t>
      </w:r>
      <w:proofErr w:type="spellEnd"/>
      <w:r>
        <w:t xml:space="preserve">, D. I., White, P. A. &amp; Jacobsen, G. E. Environmental isotopes meet 3D geological modelling: Conceptualising recharge and </w:t>
      </w:r>
      <w:proofErr w:type="gramStart"/>
      <w:r>
        <w:t>structurally-controlled</w:t>
      </w:r>
      <w:proofErr w:type="gramEnd"/>
      <w:r>
        <w:t xml:space="preserve"> aquifer connectivity in the basalt plains of south-western Victoria, Australia. </w:t>
      </w:r>
      <w:r>
        <w:rPr>
          <w:i/>
          <w:iCs/>
        </w:rPr>
        <w:t>Journal of Hydrology</w:t>
      </w:r>
      <w:r>
        <w:t xml:space="preserve"> </w:t>
      </w:r>
      <w:r>
        <w:rPr>
          <w:b/>
          <w:bCs/>
        </w:rPr>
        <w:t>527</w:t>
      </w:r>
      <w:r>
        <w:t>, 262–280 (2015).</w:t>
      </w:r>
    </w:p>
    <w:p w14:paraId="7C04D908" w14:textId="77777777" w:rsidR="00B927B6" w:rsidRDefault="00B927B6" w:rsidP="00B927B6">
      <w:pPr>
        <w:pStyle w:val="Bibliography"/>
      </w:pPr>
      <w:r>
        <w:t>59.</w:t>
      </w:r>
      <w:r>
        <w:tab/>
        <w:t xml:space="preserve">Raiber, M. </w:t>
      </w:r>
      <w:r>
        <w:rPr>
          <w:i/>
          <w:iCs/>
        </w:rPr>
        <w:t>et al.</w:t>
      </w:r>
      <w:r>
        <w:t xml:space="preserve"> </w:t>
      </w:r>
      <w:r>
        <w:rPr>
          <w:i/>
          <w:iCs/>
        </w:rPr>
        <w:t>Assessing Recharge Processes and Flow Dynamics Using Environmental Tracers in the Great Artesian Basin</w:t>
      </w:r>
      <w:r>
        <w:t>. 59 https://publications.csiro.au/publications/publication/PIcsiro:EP2022-5860 (2022).</w:t>
      </w:r>
    </w:p>
    <w:p w14:paraId="61070B7B" w14:textId="77777777" w:rsidR="00B927B6" w:rsidRDefault="00B927B6" w:rsidP="00B927B6">
      <w:pPr>
        <w:pStyle w:val="Bibliography"/>
      </w:pPr>
      <w:r>
        <w:t>60.</w:t>
      </w:r>
      <w:r>
        <w:tab/>
        <w:t xml:space="preserve">Santos, I. R. </w:t>
      </w:r>
      <w:r>
        <w:rPr>
          <w:i/>
          <w:iCs/>
        </w:rPr>
        <w:t>et al.</w:t>
      </w:r>
      <w:r>
        <w:t xml:space="preserve"> Assessing the recharge of a coastal aquifer using physical observations, tritium, groundwater chemistry and modelling. </w:t>
      </w:r>
      <w:r>
        <w:rPr>
          <w:i/>
          <w:iCs/>
        </w:rPr>
        <w:t>Sci. Total Environ.</w:t>
      </w:r>
      <w:r>
        <w:t xml:space="preserve"> </w:t>
      </w:r>
      <w:r>
        <w:rPr>
          <w:b/>
          <w:bCs/>
        </w:rPr>
        <w:t>580</w:t>
      </w:r>
      <w:r>
        <w:t>, 367–379 (2017).</w:t>
      </w:r>
    </w:p>
    <w:p w14:paraId="66504606" w14:textId="77777777" w:rsidR="00B927B6" w:rsidRDefault="00B927B6" w:rsidP="00B927B6">
      <w:pPr>
        <w:pStyle w:val="Bibliography"/>
      </w:pPr>
      <w:r>
        <w:t>61.</w:t>
      </w:r>
      <w:r>
        <w:tab/>
        <w:t xml:space="preserve">Schroder, I. </w:t>
      </w:r>
      <w:r>
        <w:rPr>
          <w:i/>
          <w:iCs/>
        </w:rPr>
        <w:t>et al.</w:t>
      </w:r>
      <w:r>
        <w:t xml:space="preserve"> </w:t>
      </w:r>
      <w:r>
        <w:rPr>
          <w:i/>
          <w:iCs/>
        </w:rPr>
        <w:t>Northern Australia Hydrogeochemical Survey: Final Data Release and Hydrogeochemical Atlas for Exploring for the Future</w:t>
      </w:r>
      <w:r>
        <w:t>. http://pid.geoscience.gov.au/dataset/ga/133388 (2020) doi:10.11636/Record.2020.015.</w:t>
      </w:r>
    </w:p>
    <w:p w14:paraId="309B33F0" w14:textId="77777777" w:rsidR="00B927B6" w:rsidRDefault="00B927B6" w:rsidP="00B927B6">
      <w:pPr>
        <w:pStyle w:val="Bibliography"/>
      </w:pPr>
      <w:r>
        <w:t>62.</w:t>
      </w:r>
      <w:r>
        <w:tab/>
      </w:r>
      <w:proofErr w:type="spellStart"/>
      <w:r>
        <w:t>Shishaye</w:t>
      </w:r>
      <w:proofErr w:type="spellEnd"/>
      <w:r>
        <w:t xml:space="preserve">, H. A. </w:t>
      </w:r>
      <w:r>
        <w:rPr>
          <w:i/>
          <w:iCs/>
        </w:rPr>
        <w:t>et al.</w:t>
      </w:r>
      <w:r>
        <w:t xml:space="preserve"> The legacy and drivers of groundwater nutrients and pesticides in an agriculturally impacted Quaternary aquifer system. </w:t>
      </w:r>
      <w:r>
        <w:rPr>
          <w:i/>
          <w:iCs/>
        </w:rPr>
        <w:t>Sci. Total Environ.</w:t>
      </w:r>
      <w:r>
        <w:t xml:space="preserve"> </w:t>
      </w:r>
      <w:r>
        <w:rPr>
          <w:b/>
          <w:bCs/>
        </w:rPr>
        <w:t>753</w:t>
      </w:r>
      <w:r>
        <w:t>, (2021).</w:t>
      </w:r>
    </w:p>
    <w:p w14:paraId="4D245D45" w14:textId="77777777" w:rsidR="00B927B6" w:rsidRDefault="00B927B6" w:rsidP="00B927B6">
      <w:pPr>
        <w:pStyle w:val="Bibliography"/>
      </w:pPr>
      <w:r>
        <w:t>63.</w:t>
      </w:r>
      <w:r>
        <w:tab/>
        <w:t xml:space="preserve">Skrzypek, G., Siller, A., McCallum, J. L. &amp; </w:t>
      </w:r>
      <w:proofErr w:type="spellStart"/>
      <w:r>
        <w:t>Dogramaci</w:t>
      </w:r>
      <w:proofErr w:type="spellEnd"/>
      <w:r>
        <w:t xml:space="preserve">, S. Groundwater recharge through internally drained basins in a semiarid climate, Western Australia. </w:t>
      </w:r>
      <w:r>
        <w:rPr>
          <w:i/>
          <w:iCs/>
        </w:rPr>
        <w:t>Journal of Hydrology: Regional Studies</w:t>
      </w:r>
      <w:r>
        <w:t xml:space="preserve"> </w:t>
      </w:r>
      <w:r>
        <w:rPr>
          <w:b/>
          <w:bCs/>
        </w:rPr>
        <w:t>47</w:t>
      </w:r>
      <w:r>
        <w:t>, 101388 (2023).</w:t>
      </w:r>
    </w:p>
    <w:p w14:paraId="071B0D2A" w14:textId="77777777" w:rsidR="00B927B6" w:rsidRDefault="00B927B6" w:rsidP="00B927B6">
      <w:pPr>
        <w:pStyle w:val="Bibliography"/>
      </w:pPr>
      <w:r>
        <w:lastRenderedPageBreak/>
        <w:t>64.</w:t>
      </w:r>
      <w:r>
        <w:tab/>
        <w:t xml:space="preserve">Taylor, A. R., Smith, S. D., Lamontagne, S. &amp; Suckow, A. Characterising alluvial aquifers in a remote ephemeral catchment (Flinders River, Queensland) using a direct push tracer approach. </w:t>
      </w:r>
      <w:r>
        <w:rPr>
          <w:i/>
          <w:iCs/>
        </w:rPr>
        <w:t>Journal of Hydrology</w:t>
      </w:r>
      <w:r>
        <w:t xml:space="preserve"> </w:t>
      </w:r>
      <w:r>
        <w:rPr>
          <w:b/>
          <w:bCs/>
        </w:rPr>
        <w:t>556</w:t>
      </w:r>
      <w:r>
        <w:t>, 600–610 (2018).</w:t>
      </w:r>
    </w:p>
    <w:p w14:paraId="33D4C9B8" w14:textId="77777777" w:rsidR="00B927B6" w:rsidRDefault="00B927B6" w:rsidP="00B927B6">
      <w:pPr>
        <w:pStyle w:val="Bibliography"/>
      </w:pPr>
      <w:r>
        <w:t>65.</w:t>
      </w:r>
      <w:r>
        <w:tab/>
        <w:t xml:space="preserve">Taylor, A. </w:t>
      </w:r>
      <w:r>
        <w:rPr>
          <w:i/>
          <w:iCs/>
        </w:rPr>
        <w:t>et al.</w:t>
      </w:r>
      <w:r>
        <w:t xml:space="preserve"> </w:t>
      </w:r>
      <w:r>
        <w:rPr>
          <w:i/>
          <w:iCs/>
        </w:rPr>
        <w:t xml:space="preserve">Hydrogeological Assessment of the Cambrian Limestone Aquifer and </w:t>
      </w:r>
      <w:proofErr w:type="spellStart"/>
      <w:r>
        <w:rPr>
          <w:i/>
          <w:iCs/>
        </w:rPr>
        <w:t>Dook</w:t>
      </w:r>
      <w:proofErr w:type="spellEnd"/>
      <w:r>
        <w:rPr>
          <w:i/>
          <w:iCs/>
        </w:rPr>
        <w:t xml:space="preserve"> Creek Aquifer in the Roper Catchment, Northern Territory</w:t>
      </w:r>
      <w:r>
        <w:t>. 338 https://publications.csiro.au/publications/publication/PIcsiro:EP2024-0699 (2023).</w:t>
      </w:r>
    </w:p>
    <w:p w14:paraId="054B59EF" w14:textId="77777777" w:rsidR="00B927B6" w:rsidRDefault="00B927B6" w:rsidP="00B927B6">
      <w:pPr>
        <w:pStyle w:val="Bibliography"/>
      </w:pPr>
      <w:r>
        <w:t>66.</w:t>
      </w:r>
      <w:r>
        <w:tab/>
        <w:t xml:space="preserve">Taylor, A. </w:t>
      </w:r>
      <w:r>
        <w:rPr>
          <w:i/>
          <w:iCs/>
        </w:rPr>
        <w:t>et al.</w:t>
      </w:r>
      <w:r>
        <w:t xml:space="preserve"> </w:t>
      </w:r>
      <w:r>
        <w:rPr>
          <w:i/>
          <w:iCs/>
        </w:rPr>
        <w:t xml:space="preserve">Characterising Groundwater Resources of the </w:t>
      </w:r>
      <w:proofErr w:type="spellStart"/>
      <w:r>
        <w:rPr>
          <w:i/>
          <w:iCs/>
        </w:rPr>
        <w:t>Montejinni</w:t>
      </w:r>
      <w:proofErr w:type="spellEnd"/>
      <w:r>
        <w:rPr>
          <w:i/>
          <w:iCs/>
        </w:rPr>
        <w:t xml:space="preserve"> Limestone and Skull Creek Formation in the Victoria Catchment, Northern Territory.</w:t>
      </w:r>
      <w:r>
        <w:t xml:space="preserve"> 274 https://publications.csiro.au/publications/publication/PIcsiro:EP2024-5264 (2024).</w:t>
      </w:r>
    </w:p>
    <w:p w14:paraId="36C5E13E" w14:textId="77777777" w:rsidR="00B927B6" w:rsidRDefault="00B927B6" w:rsidP="00B927B6">
      <w:pPr>
        <w:pStyle w:val="Bibliography"/>
      </w:pPr>
      <w:r>
        <w:t>67.</w:t>
      </w:r>
      <w:r>
        <w:tab/>
        <w:t xml:space="preserve">Taylor, A. </w:t>
      </w:r>
      <w:r>
        <w:rPr>
          <w:i/>
          <w:iCs/>
        </w:rPr>
        <w:t>et al.</w:t>
      </w:r>
      <w:r>
        <w:t xml:space="preserve"> </w:t>
      </w:r>
      <w:r>
        <w:rPr>
          <w:i/>
          <w:iCs/>
        </w:rPr>
        <w:t>Hydrogeological Characterisation of the Mary–Wildman Rivers Area, Northern Territory</w:t>
      </w:r>
      <w:r>
        <w:t>. 242 https://publications.csiro.au/publications/publication/PIcsiro:EP185984 (2018).</w:t>
      </w:r>
    </w:p>
    <w:p w14:paraId="605EE2EF" w14:textId="77777777" w:rsidR="00B927B6" w:rsidRDefault="00B927B6" w:rsidP="00B927B6">
      <w:pPr>
        <w:pStyle w:val="Bibliography"/>
      </w:pPr>
      <w:r>
        <w:t>68.</w:t>
      </w:r>
      <w:r>
        <w:tab/>
        <w:t xml:space="preserve">Tweed, S., Leblanc, M., Cartwright, I., Favreau, G. &amp; Leduc, C. Arid zone groundwater recharge and salinisation processes; an example from the Lake Eyre Basin, Australia. </w:t>
      </w:r>
      <w:r>
        <w:rPr>
          <w:i/>
          <w:iCs/>
        </w:rPr>
        <w:t>Journal of Hydrology</w:t>
      </w:r>
      <w:r>
        <w:t xml:space="preserve"> </w:t>
      </w:r>
      <w:r>
        <w:rPr>
          <w:b/>
          <w:bCs/>
        </w:rPr>
        <w:t>408</w:t>
      </w:r>
      <w:r>
        <w:t>, 257–275 (2011).</w:t>
      </w:r>
    </w:p>
    <w:p w14:paraId="3334DBBE" w14:textId="77777777" w:rsidR="00B927B6" w:rsidRDefault="00B927B6" w:rsidP="00B927B6">
      <w:pPr>
        <w:pStyle w:val="Bibliography"/>
      </w:pPr>
      <w:r>
        <w:t>69.</w:t>
      </w:r>
      <w:r>
        <w:tab/>
        <w:t xml:space="preserve">Unland, N. P., Cartwright, I., </w:t>
      </w:r>
      <w:proofErr w:type="spellStart"/>
      <w:r>
        <w:t>Cendón</w:t>
      </w:r>
      <w:proofErr w:type="spellEnd"/>
      <w:r>
        <w:t xml:space="preserve">, D. I. &amp; Chisari, R. Residence times and mixing of water in </w:t>
      </w:r>
      <w:proofErr w:type="gramStart"/>
      <w:r>
        <w:t>river banks</w:t>
      </w:r>
      <w:proofErr w:type="gramEnd"/>
      <w:r>
        <w:t xml:space="preserve">: implications for recharge and groundwater–surface water exchange. </w:t>
      </w:r>
      <w:proofErr w:type="spellStart"/>
      <w:r>
        <w:rPr>
          <w:i/>
          <w:iCs/>
        </w:rPr>
        <w:t>Hydrol</w:t>
      </w:r>
      <w:proofErr w:type="spellEnd"/>
      <w:r>
        <w:rPr>
          <w:i/>
          <w:iCs/>
        </w:rPr>
        <w:t>. Earth Syst. Sci.</w:t>
      </w:r>
      <w:r>
        <w:t xml:space="preserve"> </w:t>
      </w:r>
      <w:r>
        <w:rPr>
          <w:b/>
          <w:bCs/>
        </w:rPr>
        <w:t>18</w:t>
      </w:r>
      <w:r>
        <w:t>, 5109–5124 (2014).</w:t>
      </w:r>
    </w:p>
    <w:p w14:paraId="0DDED79A" w14:textId="77777777" w:rsidR="00B927B6" w:rsidRDefault="00B927B6" w:rsidP="00B927B6">
      <w:pPr>
        <w:pStyle w:val="Bibliography"/>
      </w:pPr>
      <w:r>
        <w:t>70.</w:t>
      </w:r>
      <w:r>
        <w:tab/>
        <w:t xml:space="preserve">Young, R. R., Broughton, A., Bradd, J. M. &amp; Holland, J. F. If long fallow cropping is leaky then shallow groundwaters on the Liverpool Plains should be of recent origin. </w:t>
      </w:r>
      <w:r>
        <w:rPr>
          <w:i/>
          <w:iCs/>
        </w:rPr>
        <w:t>Aust. J. Exp. Agric.</w:t>
      </w:r>
      <w:r>
        <w:t xml:space="preserve"> </w:t>
      </w:r>
      <w:r>
        <w:rPr>
          <w:b/>
          <w:bCs/>
        </w:rPr>
        <w:t>44</w:t>
      </w:r>
      <w:r>
        <w:t>, 1051–1056 (2004).</w:t>
      </w:r>
    </w:p>
    <w:p w14:paraId="3901DEAD" w14:textId="77777777" w:rsidR="00B927B6" w:rsidRDefault="00B927B6" w:rsidP="00B927B6">
      <w:pPr>
        <w:pStyle w:val="Bibliography"/>
      </w:pPr>
      <w:r>
        <w:t>71.</w:t>
      </w:r>
      <w:r>
        <w:tab/>
        <w:t xml:space="preserve">Zhou, Z. &amp; Cartwright, I. Using geochemistry to identify and quantify the sources, distribution, and fluxes of baseflow to an intermittent river impacted by climate change: The upper Wimmera River, southeast Australia. </w:t>
      </w:r>
      <w:r>
        <w:rPr>
          <w:i/>
          <w:iCs/>
        </w:rPr>
        <w:t>Sci. Total Environ.</w:t>
      </w:r>
      <w:r>
        <w:t xml:space="preserve"> </w:t>
      </w:r>
      <w:r>
        <w:rPr>
          <w:b/>
          <w:bCs/>
        </w:rPr>
        <w:t>801</w:t>
      </w:r>
      <w:r>
        <w:t>, (2021).</w:t>
      </w:r>
    </w:p>
    <w:p w14:paraId="17C86160" w14:textId="77777777" w:rsidR="00B927B6" w:rsidRDefault="00B927B6" w:rsidP="00B927B6">
      <w:pPr>
        <w:pStyle w:val="Bibliography"/>
      </w:pPr>
      <w:r>
        <w:t>72.</w:t>
      </w:r>
      <w:r>
        <w:tab/>
        <w:t xml:space="preserve">Zhou, Z., Cartwright, I. &amp; Morgenstern, U. Sources and mean transit times of stream water in an intermittent river system: the upper Wimmera River, southeast Australia. </w:t>
      </w:r>
      <w:proofErr w:type="spellStart"/>
      <w:r>
        <w:rPr>
          <w:i/>
          <w:iCs/>
        </w:rPr>
        <w:t>Hydrol</w:t>
      </w:r>
      <w:proofErr w:type="spellEnd"/>
      <w:r>
        <w:rPr>
          <w:i/>
          <w:iCs/>
        </w:rPr>
        <w:t>. Earth Syst. Sci.</w:t>
      </w:r>
      <w:r>
        <w:t xml:space="preserve"> </w:t>
      </w:r>
      <w:r>
        <w:rPr>
          <w:b/>
          <w:bCs/>
        </w:rPr>
        <w:t>26</w:t>
      </w:r>
      <w:r>
        <w:t>, 4497–4513 (2022).</w:t>
      </w:r>
    </w:p>
    <w:p w14:paraId="7D4C6122" w14:textId="77777777" w:rsidR="00B927B6" w:rsidRDefault="00B927B6" w:rsidP="00B927B6">
      <w:pPr>
        <w:pStyle w:val="Bibliography"/>
      </w:pPr>
      <w:r>
        <w:lastRenderedPageBreak/>
        <w:t>73.</w:t>
      </w:r>
      <w:r>
        <w:tab/>
        <w:t xml:space="preserve">Zhou, Z., Cartwright, I., Morgenstern, U. &amp; Fifield, L. K. Integrating major ion geochemistry, stable isotopes (18O, 2H) and radioactive isotopes (222Rn, 14C, 36Cl, 3H) to understand the interaction between catchment waters and an intermittent river. </w:t>
      </w:r>
      <w:r>
        <w:rPr>
          <w:i/>
          <w:iCs/>
        </w:rPr>
        <w:t>Sci. Total Environ.</w:t>
      </w:r>
      <w:r>
        <w:t xml:space="preserve"> </w:t>
      </w:r>
      <w:r>
        <w:rPr>
          <w:b/>
          <w:bCs/>
        </w:rPr>
        <w:t>908</w:t>
      </w:r>
      <w:r>
        <w:t>, (2024).</w:t>
      </w:r>
    </w:p>
    <w:p w14:paraId="76375D91" w14:textId="77777777" w:rsidR="00B927B6" w:rsidRDefault="00B927B6" w:rsidP="00B927B6">
      <w:pPr>
        <w:pStyle w:val="Bibliography"/>
      </w:pPr>
      <w:r>
        <w:t>74.</w:t>
      </w:r>
      <w:r>
        <w:tab/>
        <w:t xml:space="preserve">Tadros, C. V., Hughes, C. E., Crawford, J., Hollins, S. E. &amp; Chisari, R. Tritium in Australian precipitation: A </w:t>
      </w:r>
      <w:proofErr w:type="gramStart"/>
      <w:r>
        <w:t>50 year</w:t>
      </w:r>
      <w:proofErr w:type="gramEnd"/>
      <w:r>
        <w:t xml:space="preserve"> record. </w:t>
      </w:r>
      <w:r>
        <w:rPr>
          <w:i/>
          <w:iCs/>
        </w:rPr>
        <w:t xml:space="preserve">J. </w:t>
      </w:r>
      <w:proofErr w:type="spellStart"/>
      <w:r>
        <w:rPr>
          <w:i/>
          <w:iCs/>
        </w:rPr>
        <w:t>Hydrol</w:t>
      </w:r>
      <w:proofErr w:type="spellEnd"/>
      <w:r>
        <w:rPr>
          <w:i/>
          <w:iCs/>
        </w:rPr>
        <w:t>.</w:t>
      </w:r>
      <w:r>
        <w:t xml:space="preserve"> </w:t>
      </w:r>
      <w:r>
        <w:rPr>
          <w:b/>
          <w:bCs/>
        </w:rPr>
        <w:t>513</w:t>
      </w:r>
      <w:r>
        <w:t>, 262–273 (2014).</w:t>
      </w:r>
    </w:p>
    <w:p w14:paraId="3A6609F4" w14:textId="73EE2BBC" w:rsidR="005509E6" w:rsidRPr="005509E6" w:rsidRDefault="005509E6" w:rsidP="00A27177">
      <w:pPr>
        <w:pStyle w:val="DoubleSpace"/>
        <w:rPr>
          <w:szCs w:val="32"/>
        </w:rPr>
      </w:pPr>
    </w:p>
    <w:sectPr w:rsidR="005509E6" w:rsidRPr="005509E6" w:rsidSect="00C11B6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3385" w14:textId="77777777" w:rsidR="00055AD2" w:rsidRDefault="00055AD2">
      <w:pPr>
        <w:spacing w:after="0" w:line="240" w:lineRule="auto"/>
      </w:pPr>
      <w:r>
        <w:separator/>
      </w:r>
    </w:p>
  </w:endnote>
  <w:endnote w:type="continuationSeparator" w:id="0">
    <w:p w14:paraId="27AEAAF5" w14:textId="77777777" w:rsidR="00055AD2" w:rsidRDefault="0005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34B8" w14:textId="77777777" w:rsidR="002730F6" w:rsidRDefault="00055AD2">
    <w:pPr>
      <w:pStyle w:val="Footer"/>
      <w:jc w:val="right"/>
    </w:pPr>
    <w:r>
      <w:fldChar w:fldCharType="begin"/>
    </w:r>
    <w:r>
      <w:instrText xml:space="preserve"> PAGE   \* MERGEFORMAT </w:instrText>
    </w:r>
    <w:r>
      <w:fldChar w:fldCharType="separate"/>
    </w:r>
    <w:r>
      <w:rPr>
        <w:noProof/>
      </w:rPr>
      <w:t>1</w:t>
    </w:r>
    <w:r>
      <w:fldChar w:fldCharType="end"/>
    </w:r>
  </w:p>
  <w:p w14:paraId="0ED2467F" w14:textId="77777777" w:rsidR="002730F6" w:rsidRDefault="0027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D8A5" w14:textId="77777777" w:rsidR="00055AD2" w:rsidRDefault="00055AD2">
      <w:pPr>
        <w:spacing w:after="0" w:line="240" w:lineRule="auto"/>
      </w:pPr>
      <w:r>
        <w:separator/>
      </w:r>
    </w:p>
  </w:footnote>
  <w:footnote w:type="continuationSeparator" w:id="0">
    <w:p w14:paraId="44CFE7DA" w14:textId="77777777" w:rsidR="00055AD2" w:rsidRDefault="00055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302" w14:textId="7FCEDC2B" w:rsidR="002730F6" w:rsidRPr="005001AC" w:rsidRDefault="002730F6">
    <w:pPr>
      <w:jc w:val="right"/>
      <w:rPr>
        <w:sz w:val="20"/>
      </w:rPr>
    </w:pPr>
  </w:p>
  <w:p w14:paraId="0221F86B" w14:textId="6C43CAFA" w:rsidR="003A233B" w:rsidRDefault="003A2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72D"/>
    <w:multiLevelType w:val="hybridMultilevel"/>
    <w:tmpl w:val="880A865A"/>
    <w:lvl w:ilvl="0" w:tplc="04090001">
      <w:start w:val="1"/>
      <w:numFmt w:val="bullet"/>
      <w:lvlText w:val=""/>
      <w:lvlJc w:val="left"/>
      <w:pPr>
        <w:ind w:left="1080" w:hanging="360"/>
      </w:pPr>
      <w:rPr>
        <w:rFonts w:ascii="Symbol" w:hAnsi="Symbol" w:hint="default"/>
        <w:color w:val="26262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96D2C"/>
    <w:multiLevelType w:val="hybridMultilevel"/>
    <w:tmpl w:val="153042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60F00"/>
    <w:multiLevelType w:val="hybridMultilevel"/>
    <w:tmpl w:val="BEDA503E"/>
    <w:lvl w:ilvl="0" w:tplc="53BCD0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FF5FD9"/>
    <w:multiLevelType w:val="hybridMultilevel"/>
    <w:tmpl w:val="B81469B0"/>
    <w:lvl w:ilvl="0" w:tplc="13121FE0">
      <w:start w:val="1"/>
      <w:numFmt w:val="decimal"/>
      <w:lvlText w:val="%1."/>
      <w:lvlJc w:val="left"/>
      <w:pPr>
        <w:ind w:left="1020" w:hanging="360"/>
      </w:pPr>
    </w:lvl>
    <w:lvl w:ilvl="1" w:tplc="2A8699D2">
      <w:start w:val="1"/>
      <w:numFmt w:val="decimal"/>
      <w:lvlText w:val="%2."/>
      <w:lvlJc w:val="left"/>
      <w:pPr>
        <w:ind w:left="1020" w:hanging="360"/>
      </w:pPr>
    </w:lvl>
    <w:lvl w:ilvl="2" w:tplc="9C82A40C">
      <w:start w:val="1"/>
      <w:numFmt w:val="decimal"/>
      <w:lvlText w:val="%3."/>
      <w:lvlJc w:val="left"/>
      <w:pPr>
        <w:ind w:left="1020" w:hanging="360"/>
      </w:pPr>
    </w:lvl>
    <w:lvl w:ilvl="3" w:tplc="F3EC51CC">
      <w:start w:val="1"/>
      <w:numFmt w:val="decimal"/>
      <w:lvlText w:val="%4."/>
      <w:lvlJc w:val="left"/>
      <w:pPr>
        <w:ind w:left="1020" w:hanging="360"/>
      </w:pPr>
    </w:lvl>
    <w:lvl w:ilvl="4" w:tplc="938CF8A4">
      <w:start w:val="1"/>
      <w:numFmt w:val="decimal"/>
      <w:lvlText w:val="%5."/>
      <w:lvlJc w:val="left"/>
      <w:pPr>
        <w:ind w:left="1020" w:hanging="360"/>
      </w:pPr>
    </w:lvl>
    <w:lvl w:ilvl="5" w:tplc="31D04152">
      <w:start w:val="1"/>
      <w:numFmt w:val="decimal"/>
      <w:lvlText w:val="%6."/>
      <w:lvlJc w:val="left"/>
      <w:pPr>
        <w:ind w:left="1020" w:hanging="360"/>
      </w:pPr>
    </w:lvl>
    <w:lvl w:ilvl="6" w:tplc="3C4ED734">
      <w:start w:val="1"/>
      <w:numFmt w:val="decimal"/>
      <w:lvlText w:val="%7."/>
      <w:lvlJc w:val="left"/>
      <w:pPr>
        <w:ind w:left="1020" w:hanging="360"/>
      </w:pPr>
    </w:lvl>
    <w:lvl w:ilvl="7" w:tplc="89F8539A">
      <w:start w:val="1"/>
      <w:numFmt w:val="decimal"/>
      <w:lvlText w:val="%8."/>
      <w:lvlJc w:val="left"/>
      <w:pPr>
        <w:ind w:left="1020" w:hanging="360"/>
      </w:pPr>
    </w:lvl>
    <w:lvl w:ilvl="8" w:tplc="8C8A1342">
      <w:start w:val="1"/>
      <w:numFmt w:val="decimal"/>
      <w:lvlText w:val="%9."/>
      <w:lvlJc w:val="left"/>
      <w:pPr>
        <w:ind w:left="1020" w:hanging="360"/>
      </w:pPr>
    </w:lvl>
  </w:abstractNum>
  <w:abstractNum w:abstractNumId="5" w15:restartNumberingAfterBreak="0">
    <w:nsid w:val="125E64BC"/>
    <w:multiLevelType w:val="hybridMultilevel"/>
    <w:tmpl w:val="A4B0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3F633F"/>
    <w:multiLevelType w:val="multilevel"/>
    <w:tmpl w:val="241EE4A0"/>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EE978C4"/>
    <w:multiLevelType w:val="hybridMultilevel"/>
    <w:tmpl w:val="FE70A2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B94646"/>
    <w:multiLevelType w:val="hybridMultilevel"/>
    <w:tmpl w:val="4FF04238"/>
    <w:lvl w:ilvl="0" w:tplc="AD88A5FE">
      <w:start w:val="1"/>
      <w:numFmt w:val="decimal"/>
      <w:lvlText w:val="%1."/>
      <w:lvlJc w:val="left"/>
      <w:pPr>
        <w:ind w:left="1020" w:hanging="360"/>
      </w:pPr>
    </w:lvl>
    <w:lvl w:ilvl="1" w:tplc="79A2A84A">
      <w:start w:val="1"/>
      <w:numFmt w:val="decimal"/>
      <w:lvlText w:val="%2."/>
      <w:lvlJc w:val="left"/>
      <w:pPr>
        <w:ind w:left="1020" w:hanging="360"/>
      </w:pPr>
    </w:lvl>
    <w:lvl w:ilvl="2" w:tplc="CFAA33D8">
      <w:start w:val="1"/>
      <w:numFmt w:val="decimal"/>
      <w:lvlText w:val="%3."/>
      <w:lvlJc w:val="left"/>
      <w:pPr>
        <w:ind w:left="1020" w:hanging="360"/>
      </w:pPr>
    </w:lvl>
    <w:lvl w:ilvl="3" w:tplc="4A7C049A">
      <w:start w:val="1"/>
      <w:numFmt w:val="decimal"/>
      <w:lvlText w:val="%4."/>
      <w:lvlJc w:val="left"/>
      <w:pPr>
        <w:ind w:left="1020" w:hanging="360"/>
      </w:pPr>
    </w:lvl>
    <w:lvl w:ilvl="4" w:tplc="0486D0DE">
      <w:start w:val="1"/>
      <w:numFmt w:val="decimal"/>
      <w:lvlText w:val="%5."/>
      <w:lvlJc w:val="left"/>
      <w:pPr>
        <w:ind w:left="1020" w:hanging="360"/>
      </w:pPr>
    </w:lvl>
    <w:lvl w:ilvl="5" w:tplc="8794B8EE">
      <w:start w:val="1"/>
      <w:numFmt w:val="decimal"/>
      <w:lvlText w:val="%6."/>
      <w:lvlJc w:val="left"/>
      <w:pPr>
        <w:ind w:left="1020" w:hanging="360"/>
      </w:pPr>
    </w:lvl>
    <w:lvl w:ilvl="6" w:tplc="F6FEFC6C">
      <w:start w:val="1"/>
      <w:numFmt w:val="decimal"/>
      <w:lvlText w:val="%7."/>
      <w:lvlJc w:val="left"/>
      <w:pPr>
        <w:ind w:left="1020" w:hanging="360"/>
      </w:pPr>
    </w:lvl>
    <w:lvl w:ilvl="7" w:tplc="7406800E">
      <w:start w:val="1"/>
      <w:numFmt w:val="decimal"/>
      <w:lvlText w:val="%8."/>
      <w:lvlJc w:val="left"/>
      <w:pPr>
        <w:ind w:left="1020" w:hanging="360"/>
      </w:pPr>
    </w:lvl>
    <w:lvl w:ilvl="8" w:tplc="071AD124">
      <w:start w:val="1"/>
      <w:numFmt w:val="decimal"/>
      <w:lvlText w:val="%9."/>
      <w:lvlJc w:val="left"/>
      <w:pPr>
        <w:ind w:left="1020" w:hanging="360"/>
      </w:pPr>
    </w:lvl>
  </w:abstractNum>
  <w:abstractNum w:abstractNumId="10"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0B08A"/>
    <w:multiLevelType w:val="hybridMultilevel"/>
    <w:tmpl w:val="5C06A4EE"/>
    <w:lvl w:ilvl="0" w:tplc="F2567AEA">
      <w:start w:val="1"/>
      <w:numFmt w:val="decimal"/>
      <w:pStyle w:val="Style3"/>
      <w:lvlText w:val="(%1)"/>
      <w:lvlJc w:val="left"/>
      <w:pPr>
        <w:ind w:left="720" w:hanging="360"/>
      </w:pPr>
    </w:lvl>
    <w:lvl w:ilvl="1" w:tplc="C5A6FF84">
      <w:start w:val="1"/>
      <w:numFmt w:val="lowerLetter"/>
      <w:lvlText w:val="%2."/>
      <w:lvlJc w:val="left"/>
      <w:pPr>
        <w:ind w:left="1440" w:hanging="360"/>
      </w:pPr>
    </w:lvl>
    <w:lvl w:ilvl="2" w:tplc="F120F168">
      <w:start w:val="1"/>
      <w:numFmt w:val="lowerRoman"/>
      <w:lvlText w:val="%3."/>
      <w:lvlJc w:val="right"/>
      <w:pPr>
        <w:ind w:left="2160" w:hanging="180"/>
      </w:pPr>
    </w:lvl>
    <w:lvl w:ilvl="3" w:tplc="CF2C4688">
      <w:start w:val="1"/>
      <w:numFmt w:val="decimal"/>
      <w:lvlText w:val="%4."/>
      <w:lvlJc w:val="left"/>
      <w:pPr>
        <w:ind w:left="2880" w:hanging="360"/>
      </w:pPr>
    </w:lvl>
    <w:lvl w:ilvl="4" w:tplc="65D897E8">
      <w:start w:val="1"/>
      <w:numFmt w:val="lowerLetter"/>
      <w:lvlText w:val="%5."/>
      <w:lvlJc w:val="left"/>
      <w:pPr>
        <w:ind w:left="3600" w:hanging="360"/>
      </w:pPr>
    </w:lvl>
    <w:lvl w:ilvl="5" w:tplc="2CA2D00E">
      <w:start w:val="1"/>
      <w:numFmt w:val="lowerRoman"/>
      <w:lvlText w:val="%6."/>
      <w:lvlJc w:val="right"/>
      <w:pPr>
        <w:ind w:left="4320" w:hanging="180"/>
      </w:pPr>
    </w:lvl>
    <w:lvl w:ilvl="6" w:tplc="348C671C">
      <w:start w:val="1"/>
      <w:numFmt w:val="decimal"/>
      <w:lvlText w:val="%7."/>
      <w:lvlJc w:val="left"/>
      <w:pPr>
        <w:ind w:left="5040" w:hanging="360"/>
      </w:pPr>
    </w:lvl>
    <w:lvl w:ilvl="7" w:tplc="064ABE10">
      <w:start w:val="1"/>
      <w:numFmt w:val="lowerLetter"/>
      <w:lvlText w:val="%8."/>
      <w:lvlJc w:val="left"/>
      <w:pPr>
        <w:ind w:left="5760" w:hanging="360"/>
      </w:pPr>
    </w:lvl>
    <w:lvl w:ilvl="8" w:tplc="003C3B34">
      <w:start w:val="1"/>
      <w:numFmt w:val="lowerRoman"/>
      <w:lvlText w:val="%9."/>
      <w:lvlJc w:val="right"/>
      <w:pPr>
        <w:ind w:left="6480" w:hanging="180"/>
      </w:pPr>
    </w:lvl>
  </w:abstractNum>
  <w:abstractNum w:abstractNumId="12" w15:restartNumberingAfterBreak="0">
    <w:nsid w:val="29573618"/>
    <w:multiLevelType w:val="hybridMultilevel"/>
    <w:tmpl w:val="810404D4"/>
    <w:lvl w:ilvl="0" w:tplc="AAA05BF2">
      <w:start w:val="1"/>
      <w:numFmt w:val="bullet"/>
      <w:pStyle w:val="Bullets"/>
      <w:lvlText w:val=""/>
      <w:lvlJc w:val="left"/>
      <w:pPr>
        <w:ind w:left="720" w:hanging="360"/>
      </w:pPr>
      <w:rPr>
        <w:rFonts w:ascii="Symbol" w:hAnsi="Symbol" w:hint="default"/>
      </w:rPr>
    </w:lvl>
    <w:lvl w:ilvl="1" w:tplc="99D4F7B4">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C6B90"/>
    <w:multiLevelType w:val="hybridMultilevel"/>
    <w:tmpl w:val="7FF0B4B8"/>
    <w:lvl w:ilvl="0" w:tplc="27901922">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45551"/>
    <w:multiLevelType w:val="hybridMultilevel"/>
    <w:tmpl w:val="8132C854"/>
    <w:lvl w:ilvl="0" w:tplc="6584E4E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047978"/>
    <w:multiLevelType w:val="hybridMultilevel"/>
    <w:tmpl w:val="7E889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7467B0"/>
    <w:multiLevelType w:val="hybridMultilevel"/>
    <w:tmpl w:val="14380B40"/>
    <w:lvl w:ilvl="0" w:tplc="FFCA845A">
      <w:start w:val="1"/>
      <w:numFmt w:val="decimal"/>
      <w:pStyle w:val="Style2"/>
      <w:lvlText w:val="%1.1.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4F30490"/>
    <w:multiLevelType w:val="hybridMultilevel"/>
    <w:tmpl w:val="72FC9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D07B7B"/>
    <w:multiLevelType w:val="hybridMultilevel"/>
    <w:tmpl w:val="F1201E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444A1E"/>
    <w:multiLevelType w:val="hybridMultilevel"/>
    <w:tmpl w:val="3650244E"/>
    <w:lvl w:ilvl="0" w:tplc="6584E4E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1B037A"/>
    <w:multiLevelType w:val="hybridMultilevel"/>
    <w:tmpl w:val="185AA5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C9B5536"/>
    <w:multiLevelType w:val="hybridMultilevel"/>
    <w:tmpl w:val="CBCCF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124B8"/>
    <w:multiLevelType w:val="hybridMultilevel"/>
    <w:tmpl w:val="185AA5A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032088D"/>
    <w:multiLevelType w:val="hybridMultilevel"/>
    <w:tmpl w:val="7D66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4E3973"/>
    <w:multiLevelType w:val="hybridMultilevel"/>
    <w:tmpl w:val="8C66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564E2"/>
    <w:multiLevelType w:val="hybridMultilevel"/>
    <w:tmpl w:val="522E17DC"/>
    <w:lvl w:ilvl="0" w:tplc="039CB3D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0FD43D8"/>
    <w:multiLevelType w:val="hybridMultilevel"/>
    <w:tmpl w:val="00E46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311066C"/>
    <w:multiLevelType w:val="hybridMultilevel"/>
    <w:tmpl w:val="396A1E96"/>
    <w:lvl w:ilvl="0" w:tplc="51908382">
      <w:start w:val="1"/>
      <w:numFmt w:val="decimal"/>
      <w:lvlText w:val="1.%1"/>
      <w:lvlJc w:val="left"/>
      <w:pPr>
        <w:ind w:left="1296" w:hanging="360"/>
      </w:pPr>
      <w:rPr>
        <w:rFonts w:hint="default"/>
      </w:rPr>
    </w:lvl>
    <w:lvl w:ilvl="1" w:tplc="0C090019">
      <w:start w:val="1"/>
      <w:numFmt w:val="lowerLetter"/>
      <w:lvlText w:val="%2."/>
      <w:lvlJc w:val="left"/>
      <w:pPr>
        <w:ind w:left="2016" w:hanging="360"/>
      </w:pPr>
    </w:lvl>
    <w:lvl w:ilvl="2" w:tplc="0C09001B" w:tentative="1">
      <w:start w:val="1"/>
      <w:numFmt w:val="lowerRoman"/>
      <w:lvlText w:val="%3."/>
      <w:lvlJc w:val="right"/>
      <w:pPr>
        <w:ind w:left="2736" w:hanging="180"/>
      </w:pPr>
    </w:lvl>
    <w:lvl w:ilvl="3" w:tplc="0C09000F" w:tentative="1">
      <w:start w:val="1"/>
      <w:numFmt w:val="decimal"/>
      <w:lvlText w:val="%4."/>
      <w:lvlJc w:val="left"/>
      <w:pPr>
        <w:ind w:left="3456" w:hanging="360"/>
      </w:pPr>
    </w:lvl>
    <w:lvl w:ilvl="4" w:tplc="0C090019" w:tentative="1">
      <w:start w:val="1"/>
      <w:numFmt w:val="lowerLetter"/>
      <w:lvlText w:val="%5."/>
      <w:lvlJc w:val="left"/>
      <w:pPr>
        <w:ind w:left="4176" w:hanging="360"/>
      </w:pPr>
    </w:lvl>
    <w:lvl w:ilvl="5" w:tplc="0C09001B" w:tentative="1">
      <w:start w:val="1"/>
      <w:numFmt w:val="lowerRoman"/>
      <w:lvlText w:val="%6."/>
      <w:lvlJc w:val="right"/>
      <w:pPr>
        <w:ind w:left="4896" w:hanging="180"/>
      </w:pPr>
    </w:lvl>
    <w:lvl w:ilvl="6" w:tplc="0C09000F" w:tentative="1">
      <w:start w:val="1"/>
      <w:numFmt w:val="decimal"/>
      <w:lvlText w:val="%7."/>
      <w:lvlJc w:val="left"/>
      <w:pPr>
        <w:ind w:left="5616" w:hanging="360"/>
      </w:pPr>
    </w:lvl>
    <w:lvl w:ilvl="7" w:tplc="0C090019" w:tentative="1">
      <w:start w:val="1"/>
      <w:numFmt w:val="lowerLetter"/>
      <w:lvlText w:val="%8."/>
      <w:lvlJc w:val="left"/>
      <w:pPr>
        <w:ind w:left="6336" w:hanging="360"/>
      </w:pPr>
    </w:lvl>
    <w:lvl w:ilvl="8" w:tplc="0C09001B" w:tentative="1">
      <w:start w:val="1"/>
      <w:numFmt w:val="lowerRoman"/>
      <w:lvlText w:val="%9."/>
      <w:lvlJc w:val="right"/>
      <w:pPr>
        <w:ind w:left="7056" w:hanging="180"/>
      </w:pPr>
    </w:lvl>
  </w:abstractNum>
  <w:abstractNum w:abstractNumId="28" w15:restartNumberingAfterBreak="0">
    <w:nsid w:val="559C7BD8"/>
    <w:multiLevelType w:val="hybridMultilevel"/>
    <w:tmpl w:val="C5700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9983C4"/>
    <w:multiLevelType w:val="hybridMultilevel"/>
    <w:tmpl w:val="FFFFFFFF"/>
    <w:lvl w:ilvl="0" w:tplc="70B684DE">
      <w:start w:val="1"/>
      <w:numFmt w:val="bullet"/>
      <w:lvlText w:val=""/>
      <w:lvlJc w:val="left"/>
      <w:pPr>
        <w:ind w:left="720" w:hanging="360"/>
      </w:pPr>
      <w:rPr>
        <w:rFonts w:ascii="Symbol" w:hAnsi="Symbol" w:hint="default"/>
      </w:rPr>
    </w:lvl>
    <w:lvl w:ilvl="1" w:tplc="E11A459A">
      <w:start w:val="1"/>
      <w:numFmt w:val="bullet"/>
      <w:lvlText w:val="o"/>
      <w:lvlJc w:val="left"/>
      <w:pPr>
        <w:ind w:left="1440" w:hanging="360"/>
      </w:pPr>
      <w:rPr>
        <w:rFonts w:ascii="Courier New" w:hAnsi="Courier New" w:hint="default"/>
      </w:rPr>
    </w:lvl>
    <w:lvl w:ilvl="2" w:tplc="8C3A29D4">
      <w:start w:val="1"/>
      <w:numFmt w:val="bullet"/>
      <w:lvlText w:val=""/>
      <w:lvlJc w:val="left"/>
      <w:pPr>
        <w:ind w:left="2160" w:hanging="360"/>
      </w:pPr>
      <w:rPr>
        <w:rFonts w:ascii="Wingdings" w:hAnsi="Wingdings" w:hint="default"/>
      </w:rPr>
    </w:lvl>
    <w:lvl w:ilvl="3" w:tplc="12FA84CE">
      <w:start w:val="1"/>
      <w:numFmt w:val="bullet"/>
      <w:lvlText w:val=""/>
      <w:lvlJc w:val="left"/>
      <w:pPr>
        <w:ind w:left="2880" w:hanging="360"/>
      </w:pPr>
      <w:rPr>
        <w:rFonts w:ascii="Symbol" w:hAnsi="Symbol" w:hint="default"/>
      </w:rPr>
    </w:lvl>
    <w:lvl w:ilvl="4" w:tplc="4C8CF4D0">
      <w:start w:val="1"/>
      <w:numFmt w:val="bullet"/>
      <w:lvlText w:val="o"/>
      <w:lvlJc w:val="left"/>
      <w:pPr>
        <w:ind w:left="3600" w:hanging="360"/>
      </w:pPr>
      <w:rPr>
        <w:rFonts w:ascii="Courier New" w:hAnsi="Courier New" w:hint="default"/>
      </w:rPr>
    </w:lvl>
    <w:lvl w:ilvl="5" w:tplc="9B78F8CE">
      <w:start w:val="1"/>
      <w:numFmt w:val="bullet"/>
      <w:lvlText w:val=""/>
      <w:lvlJc w:val="left"/>
      <w:pPr>
        <w:ind w:left="4320" w:hanging="360"/>
      </w:pPr>
      <w:rPr>
        <w:rFonts w:ascii="Wingdings" w:hAnsi="Wingdings" w:hint="default"/>
      </w:rPr>
    </w:lvl>
    <w:lvl w:ilvl="6" w:tplc="AF6C6986">
      <w:start w:val="1"/>
      <w:numFmt w:val="bullet"/>
      <w:lvlText w:val=""/>
      <w:lvlJc w:val="left"/>
      <w:pPr>
        <w:ind w:left="5040" w:hanging="360"/>
      </w:pPr>
      <w:rPr>
        <w:rFonts w:ascii="Symbol" w:hAnsi="Symbol" w:hint="default"/>
      </w:rPr>
    </w:lvl>
    <w:lvl w:ilvl="7" w:tplc="D8B64368">
      <w:start w:val="1"/>
      <w:numFmt w:val="bullet"/>
      <w:lvlText w:val="o"/>
      <w:lvlJc w:val="left"/>
      <w:pPr>
        <w:ind w:left="5760" w:hanging="360"/>
      </w:pPr>
      <w:rPr>
        <w:rFonts w:ascii="Courier New" w:hAnsi="Courier New" w:hint="default"/>
      </w:rPr>
    </w:lvl>
    <w:lvl w:ilvl="8" w:tplc="51F0C98C">
      <w:start w:val="1"/>
      <w:numFmt w:val="bullet"/>
      <w:lvlText w:val=""/>
      <w:lvlJc w:val="left"/>
      <w:pPr>
        <w:ind w:left="6480" w:hanging="360"/>
      </w:pPr>
      <w:rPr>
        <w:rFonts w:ascii="Wingdings" w:hAnsi="Wingdings" w:hint="default"/>
      </w:rPr>
    </w:lvl>
  </w:abstractNum>
  <w:abstractNum w:abstractNumId="30" w15:restartNumberingAfterBreak="0">
    <w:nsid w:val="5C811597"/>
    <w:multiLevelType w:val="hybridMultilevel"/>
    <w:tmpl w:val="4E48B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FFBE89"/>
    <w:multiLevelType w:val="hybridMultilevel"/>
    <w:tmpl w:val="FFFFFFFF"/>
    <w:lvl w:ilvl="0" w:tplc="7B68C91C">
      <w:start w:val="1"/>
      <w:numFmt w:val="decimal"/>
      <w:lvlText w:val="%1."/>
      <w:lvlJc w:val="left"/>
      <w:pPr>
        <w:ind w:left="720" w:hanging="360"/>
      </w:pPr>
    </w:lvl>
    <w:lvl w:ilvl="1" w:tplc="CDA26D2C">
      <w:start w:val="1"/>
      <w:numFmt w:val="lowerLetter"/>
      <w:lvlText w:val="%2."/>
      <w:lvlJc w:val="left"/>
      <w:pPr>
        <w:ind w:left="1440" w:hanging="360"/>
      </w:pPr>
    </w:lvl>
    <w:lvl w:ilvl="2" w:tplc="976460DE">
      <w:start w:val="1"/>
      <w:numFmt w:val="lowerRoman"/>
      <w:lvlText w:val="%3."/>
      <w:lvlJc w:val="right"/>
      <w:pPr>
        <w:ind w:left="2160" w:hanging="180"/>
      </w:pPr>
    </w:lvl>
    <w:lvl w:ilvl="3" w:tplc="96BAC446">
      <w:start w:val="1"/>
      <w:numFmt w:val="decimal"/>
      <w:lvlText w:val="%4."/>
      <w:lvlJc w:val="left"/>
      <w:pPr>
        <w:ind w:left="2880" w:hanging="360"/>
      </w:pPr>
    </w:lvl>
    <w:lvl w:ilvl="4" w:tplc="684A657E">
      <w:start w:val="1"/>
      <w:numFmt w:val="lowerLetter"/>
      <w:lvlText w:val="%5."/>
      <w:lvlJc w:val="left"/>
      <w:pPr>
        <w:ind w:left="3600" w:hanging="360"/>
      </w:pPr>
    </w:lvl>
    <w:lvl w:ilvl="5" w:tplc="1944C294">
      <w:start w:val="1"/>
      <w:numFmt w:val="lowerRoman"/>
      <w:lvlText w:val="%6."/>
      <w:lvlJc w:val="right"/>
      <w:pPr>
        <w:ind w:left="4320" w:hanging="180"/>
      </w:pPr>
    </w:lvl>
    <w:lvl w:ilvl="6" w:tplc="5CBE787E">
      <w:start w:val="1"/>
      <w:numFmt w:val="decimal"/>
      <w:lvlText w:val="%7."/>
      <w:lvlJc w:val="left"/>
      <w:pPr>
        <w:ind w:left="5040" w:hanging="360"/>
      </w:pPr>
    </w:lvl>
    <w:lvl w:ilvl="7" w:tplc="0DBE7230">
      <w:start w:val="1"/>
      <w:numFmt w:val="lowerLetter"/>
      <w:lvlText w:val="%8."/>
      <w:lvlJc w:val="left"/>
      <w:pPr>
        <w:ind w:left="5760" w:hanging="360"/>
      </w:pPr>
    </w:lvl>
    <w:lvl w:ilvl="8" w:tplc="2BE412FC">
      <w:start w:val="1"/>
      <w:numFmt w:val="lowerRoman"/>
      <w:lvlText w:val="%9."/>
      <w:lvlJc w:val="right"/>
      <w:pPr>
        <w:ind w:left="6480" w:hanging="180"/>
      </w:pPr>
    </w:lvl>
  </w:abstractNum>
  <w:abstractNum w:abstractNumId="32" w15:restartNumberingAfterBreak="0">
    <w:nsid w:val="640D0A31"/>
    <w:multiLevelType w:val="multilevel"/>
    <w:tmpl w:val="65B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351C9F"/>
    <w:multiLevelType w:val="multilevel"/>
    <w:tmpl w:val="8196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5208B2"/>
    <w:multiLevelType w:val="hybridMultilevel"/>
    <w:tmpl w:val="EF94B784"/>
    <w:lvl w:ilvl="0" w:tplc="9B9AD5D6">
      <w:start w:val="1"/>
      <w:numFmt w:val="upperLetter"/>
      <w:lvlText w:val="%1t"/>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5" w15:restartNumberingAfterBreak="0">
    <w:nsid w:val="6F776DB1"/>
    <w:multiLevelType w:val="hybridMultilevel"/>
    <w:tmpl w:val="E0A843EC"/>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74A061D6"/>
    <w:multiLevelType w:val="hybridMultilevel"/>
    <w:tmpl w:val="83969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86D3D58"/>
    <w:multiLevelType w:val="hybridMultilevel"/>
    <w:tmpl w:val="E242B3D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B47206B"/>
    <w:multiLevelType w:val="hybridMultilevel"/>
    <w:tmpl w:val="058C0FC8"/>
    <w:lvl w:ilvl="0" w:tplc="EB9E9560">
      <w:numFmt w:val="bullet"/>
      <w:lvlText w:val="·"/>
      <w:lvlJc w:val="left"/>
      <w:pPr>
        <w:ind w:left="1080" w:hanging="360"/>
      </w:pPr>
      <w:rPr>
        <w:rFonts w:ascii="Times New Roman" w:eastAsia="Times New Roman" w:hAnsi="Times New Roman" w:cs="Times New Roman" w:hint="default"/>
        <w:color w:val="262626"/>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7125B0"/>
    <w:multiLevelType w:val="hybridMultilevel"/>
    <w:tmpl w:val="223EFB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8992224">
    <w:abstractNumId w:val="7"/>
  </w:num>
  <w:num w:numId="2" w16cid:durableId="1542866958">
    <w:abstractNumId w:val="7"/>
  </w:num>
  <w:num w:numId="3" w16cid:durableId="1771509281">
    <w:abstractNumId w:val="7"/>
  </w:num>
  <w:num w:numId="4" w16cid:durableId="735513810">
    <w:abstractNumId w:val="7"/>
  </w:num>
  <w:num w:numId="5" w16cid:durableId="1935166279">
    <w:abstractNumId w:val="7"/>
  </w:num>
  <w:num w:numId="6" w16cid:durableId="2021005944">
    <w:abstractNumId w:val="7"/>
  </w:num>
  <w:num w:numId="7" w16cid:durableId="506991601">
    <w:abstractNumId w:val="7"/>
  </w:num>
  <w:num w:numId="8" w16cid:durableId="268708341">
    <w:abstractNumId w:val="7"/>
  </w:num>
  <w:num w:numId="9" w16cid:durableId="1038971848">
    <w:abstractNumId w:val="12"/>
  </w:num>
  <w:num w:numId="10" w16cid:durableId="1015500622">
    <w:abstractNumId w:val="13"/>
  </w:num>
  <w:num w:numId="11" w16cid:durableId="1124614877">
    <w:abstractNumId w:val="27"/>
  </w:num>
  <w:num w:numId="12" w16cid:durableId="455029801">
    <w:abstractNumId w:val="11"/>
  </w:num>
  <w:num w:numId="13" w16cid:durableId="1574044522">
    <w:abstractNumId w:val="19"/>
  </w:num>
  <w:num w:numId="14" w16cid:durableId="175466257">
    <w:abstractNumId w:val="16"/>
  </w:num>
  <w:num w:numId="15" w16cid:durableId="1718704292">
    <w:abstractNumId w:val="11"/>
    <w:lvlOverride w:ilvl="0">
      <w:startOverride w:val="1"/>
    </w:lvlOverride>
  </w:num>
  <w:num w:numId="16" w16cid:durableId="141433976">
    <w:abstractNumId w:val="37"/>
  </w:num>
  <w:num w:numId="17" w16cid:durableId="1033503955">
    <w:abstractNumId w:val="6"/>
  </w:num>
  <w:num w:numId="18" w16cid:durableId="1213544995">
    <w:abstractNumId w:val="5"/>
  </w:num>
  <w:num w:numId="19" w16cid:durableId="68506830">
    <w:abstractNumId w:val="34"/>
  </w:num>
  <w:num w:numId="20" w16cid:durableId="831141366">
    <w:abstractNumId w:val="21"/>
  </w:num>
  <w:num w:numId="21" w16cid:durableId="1347487607">
    <w:abstractNumId w:val="24"/>
  </w:num>
  <w:num w:numId="22" w16cid:durableId="90973269">
    <w:abstractNumId w:val="30"/>
  </w:num>
  <w:num w:numId="23" w16cid:durableId="481847490">
    <w:abstractNumId w:val="32"/>
  </w:num>
  <w:num w:numId="24" w16cid:durableId="958536103">
    <w:abstractNumId w:val="33"/>
  </w:num>
  <w:num w:numId="25" w16cid:durableId="1462462482">
    <w:abstractNumId w:val="10"/>
  </w:num>
  <w:num w:numId="26" w16cid:durableId="923610654">
    <w:abstractNumId w:val="26"/>
  </w:num>
  <w:num w:numId="27" w16cid:durableId="1860504494">
    <w:abstractNumId w:val="15"/>
  </w:num>
  <w:num w:numId="28" w16cid:durableId="1347320372">
    <w:abstractNumId w:val="38"/>
  </w:num>
  <w:num w:numId="29" w16cid:durableId="1789472001">
    <w:abstractNumId w:val="0"/>
  </w:num>
  <w:num w:numId="30" w16cid:durableId="1289555558">
    <w:abstractNumId w:val="28"/>
  </w:num>
  <w:num w:numId="31" w16cid:durableId="345794861">
    <w:abstractNumId w:val="23"/>
  </w:num>
  <w:num w:numId="32" w16cid:durableId="934939038">
    <w:abstractNumId w:val="9"/>
  </w:num>
  <w:num w:numId="33" w16cid:durableId="1454669131">
    <w:abstractNumId w:val="31"/>
  </w:num>
  <w:num w:numId="34" w16cid:durableId="660307131">
    <w:abstractNumId w:val="29"/>
  </w:num>
  <w:num w:numId="35" w16cid:durableId="792481377">
    <w:abstractNumId w:val="2"/>
  </w:num>
  <w:num w:numId="36" w16cid:durableId="982927824">
    <w:abstractNumId w:val="3"/>
  </w:num>
  <w:num w:numId="37" w16cid:durableId="2019115727">
    <w:abstractNumId w:val="18"/>
  </w:num>
  <w:num w:numId="38" w16cid:durableId="1092432271">
    <w:abstractNumId w:val="1"/>
  </w:num>
  <w:num w:numId="39" w16cid:durableId="1906525264">
    <w:abstractNumId w:val="39"/>
  </w:num>
  <w:num w:numId="40" w16cid:durableId="1059934877">
    <w:abstractNumId w:val="8"/>
  </w:num>
  <w:num w:numId="41" w16cid:durableId="622200371">
    <w:abstractNumId w:val="36"/>
  </w:num>
  <w:num w:numId="42" w16cid:durableId="203371911">
    <w:abstractNumId w:val="20"/>
  </w:num>
  <w:num w:numId="43" w16cid:durableId="1778325695">
    <w:abstractNumId w:val="22"/>
  </w:num>
  <w:num w:numId="44" w16cid:durableId="1389762056">
    <w:abstractNumId w:val="35"/>
  </w:num>
  <w:num w:numId="45" w16cid:durableId="1674213610">
    <w:abstractNumId w:val="25"/>
  </w:num>
  <w:num w:numId="46" w16cid:durableId="2014800894">
    <w:abstractNumId w:val="17"/>
  </w:num>
  <w:num w:numId="47" w16cid:durableId="1214997788">
    <w:abstractNumId w:val="14"/>
  </w:num>
  <w:num w:numId="48" w16cid:durableId="68697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99"/>
    <w:rsid w:val="00003193"/>
    <w:rsid w:val="00006A0D"/>
    <w:rsid w:val="00026E4A"/>
    <w:rsid w:val="00055AD2"/>
    <w:rsid w:val="00057921"/>
    <w:rsid w:val="000B4518"/>
    <w:rsid w:val="000E1D8C"/>
    <w:rsid w:val="00103BEC"/>
    <w:rsid w:val="00114A66"/>
    <w:rsid w:val="00121031"/>
    <w:rsid w:val="0018236C"/>
    <w:rsid w:val="00192583"/>
    <w:rsid w:val="001A5668"/>
    <w:rsid w:val="001B5BE8"/>
    <w:rsid w:val="001D160C"/>
    <w:rsid w:val="001E70BD"/>
    <w:rsid w:val="002177A0"/>
    <w:rsid w:val="00222196"/>
    <w:rsid w:val="002448CA"/>
    <w:rsid w:val="00251900"/>
    <w:rsid w:val="00251A14"/>
    <w:rsid w:val="002730F6"/>
    <w:rsid w:val="002831FA"/>
    <w:rsid w:val="00284451"/>
    <w:rsid w:val="002A5A1B"/>
    <w:rsid w:val="002A6AB4"/>
    <w:rsid w:val="002C231F"/>
    <w:rsid w:val="002D3C0E"/>
    <w:rsid w:val="002E69D6"/>
    <w:rsid w:val="002F1EEC"/>
    <w:rsid w:val="003073DC"/>
    <w:rsid w:val="00320639"/>
    <w:rsid w:val="00324C9E"/>
    <w:rsid w:val="003A233B"/>
    <w:rsid w:val="00421E53"/>
    <w:rsid w:val="0043280F"/>
    <w:rsid w:val="00441D5C"/>
    <w:rsid w:val="0045171C"/>
    <w:rsid w:val="004635D6"/>
    <w:rsid w:val="0048115E"/>
    <w:rsid w:val="004C579D"/>
    <w:rsid w:val="00510227"/>
    <w:rsid w:val="0052669E"/>
    <w:rsid w:val="005509E6"/>
    <w:rsid w:val="00561821"/>
    <w:rsid w:val="00581F20"/>
    <w:rsid w:val="0059604B"/>
    <w:rsid w:val="005A7666"/>
    <w:rsid w:val="005D7DD9"/>
    <w:rsid w:val="005F161D"/>
    <w:rsid w:val="00653868"/>
    <w:rsid w:val="00662EAE"/>
    <w:rsid w:val="0066755D"/>
    <w:rsid w:val="006758DC"/>
    <w:rsid w:val="00681F6D"/>
    <w:rsid w:val="00693DEA"/>
    <w:rsid w:val="006946DC"/>
    <w:rsid w:val="006D37BA"/>
    <w:rsid w:val="007125AD"/>
    <w:rsid w:val="0076630B"/>
    <w:rsid w:val="007811B5"/>
    <w:rsid w:val="00782A15"/>
    <w:rsid w:val="007A6B2D"/>
    <w:rsid w:val="007A7A70"/>
    <w:rsid w:val="007C3BBF"/>
    <w:rsid w:val="007C42B4"/>
    <w:rsid w:val="007D1956"/>
    <w:rsid w:val="007D3551"/>
    <w:rsid w:val="007D371C"/>
    <w:rsid w:val="00817100"/>
    <w:rsid w:val="0083230F"/>
    <w:rsid w:val="008421A6"/>
    <w:rsid w:val="008422FE"/>
    <w:rsid w:val="00860E28"/>
    <w:rsid w:val="00875D82"/>
    <w:rsid w:val="00882A1B"/>
    <w:rsid w:val="00887EAB"/>
    <w:rsid w:val="0089359E"/>
    <w:rsid w:val="008D281C"/>
    <w:rsid w:val="00902547"/>
    <w:rsid w:val="00907BE7"/>
    <w:rsid w:val="0095701F"/>
    <w:rsid w:val="00977E1C"/>
    <w:rsid w:val="00996E7D"/>
    <w:rsid w:val="009973DD"/>
    <w:rsid w:val="009A7B9A"/>
    <w:rsid w:val="00A043A4"/>
    <w:rsid w:val="00A14D54"/>
    <w:rsid w:val="00A27177"/>
    <w:rsid w:val="00A42599"/>
    <w:rsid w:val="00A6339F"/>
    <w:rsid w:val="00A9340F"/>
    <w:rsid w:val="00AC47CF"/>
    <w:rsid w:val="00AC5155"/>
    <w:rsid w:val="00AE0505"/>
    <w:rsid w:val="00AF0960"/>
    <w:rsid w:val="00AF2058"/>
    <w:rsid w:val="00AF6437"/>
    <w:rsid w:val="00B14D73"/>
    <w:rsid w:val="00B22D5B"/>
    <w:rsid w:val="00B528B6"/>
    <w:rsid w:val="00B84467"/>
    <w:rsid w:val="00B85756"/>
    <w:rsid w:val="00B927B6"/>
    <w:rsid w:val="00B93F1F"/>
    <w:rsid w:val="00BA168B"/>
    <w:rsid w:val="00BA37C4"/>
    <w:rsid w:val="00BD187D"/>
    <w:rsid w:val="00BD27F1"/>
    <w:rsid w:val="00BD36E6"/>
    <w:rsid w:val="00C03AB8"/>
    <w:rsid w:val="00C11B60"/>
    <w:rsid w:val="00C53A1C"/>
    <w:rsid w:val="00C6412D"/>
    <w:rsid w:val="00CB55DA"/>
    <w:rsid w:val="00CD3EF3"/>
    <w:rsid w:val="00CF0F57"/>
    <w:rsid w:val="00CF29FD"/>
    <w:rsid w:val="00D16B32"/>
    <w:rsid w:val="00D336DB"/>
    <w:rsid w:val="00D557E1"/>
    <w:rsid w:val="00DA32C5"/>
    <w:rsid w:val="00E116B3"/>
    <w:rsid w:val="00E134C1"/>
    <w:rsid w:val="00E14319"/>
    <w:rsid w:val="00E568F4"/>
    <w:rsid w:val="00E67947"/>
    <w:rsid w:val="00E769F9"/>
    <w:rsid w:val="00E91688"/>
    <w:rsid w:val="00EA4763"/>
    <w:rsid w:val="00ED07D4"/>
    <w:rsid w:val="00F02C84"/>
    <w:rsid w:val="00F25860"/>
    <w:rsid w:val="00F63265"/>
    <w:rsid w:val="00F64C8B"/>
    <w:rsid w:val="00F73F23"/>
    <w:rsid w:val="00FA0A34"/>
    <w:rsid w:val="00FC492C"/>
    <w:rsid w:val="00FC76BE"/>
    <w:rsid w:val="00FF6C8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AFF0"/>
  <w15:chartTrackingRefBased/>
  <w15:docId w15:val="{7E9DE66B-D6D6-4B14-8E2A-627D4DE4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70"/>
    <w:rPr>
      <w:rFonts w:ascii="Arial" w:hAnsi="Arial"/>
      <w:kern w:val="0"/>
    </w:rPr>
  </w:style>
  <w:style w:type="paragraph" w:styleId="Heading1">
    <w:name w:val="heading 1"/>
    <w:basedOn w:val="Normal"/>
    <w:next w:val="Normal"/>
    <w:link w:val="Heading1Char"/>
    <w:autoRedefine/>
    <w:qFormat/>
    <w:rsid w:val="002831FA"/>
    <w:pPr>
      <w:keepNext/>
      <w:keepLines/>
      <w:numPr>
        <w:numId w:val="8"/>
      </w:numPr>
      <w:spacing w:before="240" w:after="0"/>
      <w:outlineLvl w:val="0"/>
    </w:pPr>
    <w:rPr>
      <w:rFonts w:ascii="Arial Nova" w:eastAsiaTheme="majorEastAsia" w:hAnsi="Arial Nova" w:cstheme="majorBidi"/>
      <w:b/>
      <w:sz w:val="32"/>
      <w:szCs w:val="32"/>
    </w:rPr>
  </w:style>
  <w:style w:type="paragraph" w:styleId="Heading2">
    <w:name w:val="heading 2"/>
    <w:basedOn w:val="Heading1"/>
    <w:next w:val="DoubleSpace"/>
    <w:link w:val="Heading2Char"/>
    <w:autoRedefine/>
    <w:unhideWhenUsed/>
    <w:qFormat/>
    <w:rsid w:val="002831FA"/>
    <w:pPr>
      <w:numPr>
        <w:ilvl w:val="1"/>
        <w:numId w:val="5"/>
      </w:numPr>
      <w:spacing w:before="40"/>
      <w:ind w:left="576"/>
      <w:outlineLvl w:val="1"/>
    </w:pPr>
    <w:rPr>
      <w:rFonts w:ascii="Arial" w:hAnsi="Arial"/>
      <w:sz w:val="26"/>
      <w:szCs w:val="26"/>
    </w:rPr>
  </w:style>
  <w:style w:type="paragraph" w:styleId="Heading3">
    <w:name w:val="heading 3"/>
    <w:basedOn w:val="Heading2"/>
    <w:next w:val="Normal"/>
    <w:link w:val="Heading3Char"/>
    <w:autoRedefine/>
    <w:unhideWhenUsed/>
    <w:qFormat/>
    <w:rsid w:val="002831FA"/>
    <w:pPr>
      <w:numPr>
        <w:ilvl w:val="2"/>
        <w:numId w:val="8"/>
      </w:numPr>
      <w:outlineLvl w:val="2"/>
    </w:pPr>
    <w:rPr>
      <w:sz w:val="24"/>
      <w:szCs w:val="24"/>
    </w:rPr>
  </w:style>
  <w:style w:type="paragraph" w:styleId="Heading4">
    <w:name w:val="heading 4"/>
    <w:basedOn w:val="Heading3"/>
    <w:next w:val="Normal"/>
    <w:link w:val="Heading4Char"/>
    <w:autoRedefine/>
    <w:unhideWhenUsed/>
    <w:qFormat/>
    <w:rsid w:val="009973DD"/>
    <w:pPr>
      <w:numPr>
        <w:ilvl w:val="3"/>
      </w:numPr>
      <w:outlineLvl w:val="3"/>
    </w:pPr>
    <w:rPr>
      <w:rFonts w:ascii="Arial Nova" w:hAnsi="Arial Nova"/>
      <w:i/>
      <w:iCs/>
    </w:rPr>
  </w:style>
  <w:style w:type="paragraph" w:styleId="Heading5">
    <w:name w:val="heading 5"/>
    <w:basedOn w:val="Heading4"/>
    <w:next w:val="Normal"/>
    <w:link w:val="Heading5Char"/>
    <w:uiPriority w:val="9"/>
    <w:semiHidden/>
    <w:unhideWhenUsed/>
    <w:qFormat/>
    <w:rsid w:val="009973DD"/>
    <w:pPr>
      <w:numPr>
        <w:ilvl w:val="4"/>
      </w:numPr>
      <w:outlineLvl w:val="4"/>
    </w:pPr>
  </w:style>
  <w:style w:type="paragraph" w:styleId="Heading6">
    <w:name w:val="heading 6"/>
    <w:basedOn w:val="Normal"/>
    <w:next w:val="Normal"/>
    <w:link w:val="Heading6Char"/>
    <w:uiPriority w:val="9"/>
    <w:semiHidden/>
    <w:unhideWhenUsed/>
    <w:qFormat/>
    <w:rsid w:val="00A425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25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25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25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DoubleSpace"/>
    <w:autoRedefine/>
    <w:uiPriority w:val="35"/>
    <w:unhideWhenUsed/>
    <w:qFormat/>
    <w:rsid w:val="009973DD"/>
    <w:pPr>
      <w:spacing w:after="200" w:line="240" w:lineRule="auto"/>
    </w:pPr>
    <w:rPr>
      <w:rFonts w:ascii="Arial Nova" w:hAnsi="Arial Nova"/>
      <w:b/>
      <w:iCs/>
      <w:color w:val="0E2841" w:themeColor="text2"/>
      <w:sz w:val="18"/>
      <w:szCs w:val="18"/>
    </w:rPr>
  </w:style>
  <w:style w:type="paragraph" w:customStyle="1" w:styleId="DoubleSpace">
    <w:name w:val="Double Space"/>
    <w:basedOn w:val="Normal"/>
    <w:link w:val="DoubleSpaceChar"/>
    <w:autoRedefine/>
    <w:qFormat/>
    <w:rsid w:val="009973DD"/>
    <w:pPr>
      <w:spacing w:before="160" w:line="480" w:lineRule="auto"/>
    </w:pPr>
  </w:style>
  <w:style w:type="character" w:customStyle="1" w:styleId="DoubleSpaceChar">
    <w:name w:val="Double Space Char"/>
    <w:basedOn w:val="DefaultParagraphFont"/>
    <w:link w:val="DoubleSpace"/>
    <w:rsid w:val="009973DD"/>
    <w:rPr>
      <w:rFonts w:ascii="Arial" w:hAnsi="Arial"/>
    </w:rPr>
  </w:style>
  <w:style w:type="character" w:customStyle="1" w:styleId="Heading1Char">
    <w:name w:val="Heading 1 Char"/>
    <w:basedOn w:val="DefaultParagraphFont"/>
    <w:link w:val="Heading1"/>
    <w:rsid w:val="009973DD"/>
    <w:rPr>
      <w:rFonts w:ascii="Arial Nova" w:eastAsiaTheme="majorEastAsia" w:hAnsi="Arial Nova" w:cstheme="majorBidi"/>
      <w:b/>
      <w:sz w:val="32"/>
      <w:szCs w:val="32"/>
    </w:rPr>
  </w:style>
  <w:style w:type="character" w:customStyle="1" w:styleId="Heading2Char">
    <w:name w:val="Heading 2 Char"/>
    <w:basedOn w:val="DefaultParagraphFont"/>
    <w:link w:val="Heading2"/>
    <w:rsid w:val="002831FA"/>
    <w:rPr>
      <w:rFonts w:ascii="Arial" w:eastAsiaTheme="majorEastAsia" w:hAnsi="Arial" w:cstheme="majorBidi"/>
      <w:b/>
      <w:sz w:val="26"/>
      <w:szCs w:val="26"/>
    </w:rPr>
  </w:style>
  <w:style w:type="character" w:customStyle="1" w:styleId="Heading3Char">
    <w:name w:val="Heading 3 Char"/>
    <w:basedOn w:val="DefaultParagraphFont"/>
    <w:link w:val="Heading3"/>
    <w:rsid w:val="009973DD"/>
    <w:rPr>
      <w:rFonts w:ascii="Arial" w:eastAsiaTheme="majorEastAsia" w:hAnsi="Arial" w:cstheme="majorBidi"/>
      <w:b/>
      <w:sz w:val="24"/>
      <w:szCs w:val="24"/>
    </w:rPr>
  </w:style>
  <w:style w:type="character" w:customStyle="1" w:styleId="Heading4Char">
    <w:name w:val="Heading 4 Char"/>
    <w:basedOn w:val="DefaultParagraphFont"/>
    <w:link w:val="Heading4"/>
    <w:rsid w:val="009973DD"/>
    <w:rPr>
      <w:rFonts w:ascii="Arial Nova" w:eastAsiaTheme="majorEastAsia" w:hAnsi="Arial Nova" w:cstheme="majorBidi"/>
      <w:b/>
      <w:i/>
      <w:iCs/>
      <w:sz w:val="24"/>
      <w:szCs w:val="24"/>
    </w:rPr>
  </w:style>
  <w:style w:type="character" w:customStyle="1" w:styleId="Heading5Char">
    <w:name w:val="Heading 5 Char"/>
    <w:basedOn w:val="DefaultParagraphFont"/>
    <w:link w:val="Heading5"/>
    <w:uiPriority w:val="9"/>
    <w:semiHidden/>
    <w:rsid w:val="009973DD"/>
    <w:rPr>
      <w:rFonts w:ascii="Arial Nova" w:eastAsiaTheme="majorEastAsia" w:hAnsi="Arial Nova" w:cstheme="majorBidi"/>
      <w:b/>
      <w:i/>
      <w:iCs/>
      <w:sz w:val="24"/>
      <w:szCs w:val="24"/>
    </w:rPr>
  </w:style>
  <w:style w:type="paragraph" w:styleId="Title">
    <w:name w:val="Title"/>
    <w:aliases w:val="Chapter title"/>
    <w:basedOn w:val="Normal"/>
    <w:next w:val="Normal"/>
    <w:link w:val="TitleChar"/>
    <w:autoRedefine/>
    <w:uiPriority w:val="10"/>
    <w:qFormat/>
    <w:rsid w:val="009973DD"/>
    <w:pPr>
      <w:spacing w:after="0" w:line="360" w:lineRule="auto"/>
      <w:contextualSpacing/>
      <w:jc w:val="center"/>
    </w:pPr>
    <w:rPr>
      <w:rFonts w:ascii="Arial Nova" w:eastAsiaTheme="majorEastAsia" w:hAnsi="Arial Nova" w:cstheme="majorBidi"/>
      <w:spacing w:val="-10"/>
      <w:kern w:val="28"/>
      <w:sz w:val="56"/>
      <w:szCs w:val="56"/>
    </w:rPr>
  </w:style>
  <w:style w:type="character" w:customStyle="1" w:styleId="TitleChar">
    <w:name w:val="Title Char"/>
    <w:aliases w:val="Chapter title Char"/>
    <w:basedOn w:val="DefaultParagraphFont"/>
    <w:link w:val="Title"/>
    <w:uiPriority w:val="10"/>
    <w:rsid w:val="009973DD"/>
    <w:rPr>
      <w:rFonts w:ascii="Arial Nova" w:eastAsiaTheme="majorEastAsia" w:hAnsi="Arial Nova" w:cstheme="majorBidi"/>
      <w:spacing w:val="-10"/>
      <w:kern w:val="28"/>
      <w:sz w:val="56"/>
      <w:szCs w:val="56"/>
    </w:rPr>
  </w:style>
  <w:style w:type="character" w:customStyle="1" w:styleId="Heading6Char">
    <w:name w:val="Heading 6 Char"/>
    <w:basedOn w:val="DefaultParagraphFont"/>
    <w:link w:val="Heading6"/>
    <w:uiPriority w:val="9"/>
    <w:semiHidden/>
    <w:rsid w:val="00A42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59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425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599"/>
    <w:pPr>
      <w:spacing w:before="160"/>
      <w:jc w:val="center"/>
    </w:pPr>
    <w:rPr>
      <w:i/>
      <w:iCs/>
      <w:color w:val="404040" w:themeColor="text1" w:themeTint="BF"/>
    </w:rPr>
  </w:style>
  <w:style w:type="character" w:customStyle="1" w:styleId="QuoteChar">
    <w:name w:val="Quote Char"/>
    <w:basedOn w:val="DefaultParagraphFont"/>
    <w:link w:val="Quote"/>
    <w:uiPriority w:val="29"/>
    <w:rsid w:val="00A42599"/>
    <w:rPr>
      <w:rFonts w:ascii="Arial" w:hAnsi="Arial"/>
      <w:i/>
      <w:iCs/>
      <w:color w:val="404040" w:themeColor="text1" w:themeTint="BF"/>
    </w:rPr>
  </w:style>
  <w:style w:type="paragraph" w:styleId="ListParagraph">
    <w:name w:val="List Paragraph"/>
    <w:basedOn w:val="Normal"/>
    <w:uiPriority w:val="34"/>
    <w:qFormat/>
    <w:rsid w:val="00A42599"/>
    <w:pPr>
      <w:ind w:left="720"/>
      <w:contextualSpacing/>
    </w:pPr>
  </w:style>
  <w:style w:type="character" w:styleId="IntenseEmphasis">
    <w:name w:val="Intense Emphasis"/>
    <w:basedOn w:val="DefaultParagraphFont"/>
    <w:uiPriority w:val="21"/>
    <w:qFormat/>
    <w:rsid w:val="00A42599"/>
    <w:rPr>
      <w:i/>
      <w:iCs/>
      <w:color w:val="0F4761" w:themeColor="accent1" w:themeShade="BF"/>
    </w:rPr>
  </w:style>
  <w:style w:type="paragraph" w:styleId="IntenseQuote">
    <w:name w:val="Intense Quote"/>
    <w:basedOn w:val="Normal"/>
    <w:next w:val="Normal"/>
    <w:link w:val="IntenseQuoteChar"/>
    <w:uiPriority w:val="30"/>
    <w:qFormat/>
    <w:rsid w:val="00A42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599"/>
    <w:rPr>
      <w:rFonts w:ascii="Arial" w:hAnsi="Arial"/>
      <w:i/>
      <w:iCs/>
      <w:color w:val="0F4761" w:themeColor="accent1" w:themeShade="BF"/>
    </w:rPr>
  </w:style>
  <w:style w:type="character" w:styleId="IntenseReference">
    <w:name w:val="Intense Reference"/>
    <w:basedOn w:val="DefaultParagraphFont"/>
    <w:uiPriority w:val="32"/>
    <w:qFormat/>
    <w:rsid w:val="00A42599"/>
    <w:rPr>
      <w:b/>
      <w:bCs/>
      <w:smallCaps/>
      <w:color w:val="0F4761" w:themeColor="accent1" w:themeShade="BF"/>
      <w:spacing w:val="5"/>
    </w:rPr>
  </w:style>
  <w:style w:type="paragraph" w:styleId="NoSpacing">
    <w:name w:val="No Spacing"/>
    <w:uiPriority w:val="1"/>
    <w:rsid w:val="00A42599"/>
    <w:pPr>
      <w:spacing w:after="0" w:line="240" w:lineRule="auto"/>
    </w:pPr>
    <w:rPr>
      <w:rFonts w:ascii="Arial" w:hAnsi="Arial"/>
      <w:kern w:val="0"/>
    </w:rPr>
  </w:style>
  <w:style w:type="paragraph" w:styleId="TOCHeading">
    <w:name w:val="TOC Heading"/>
    <w:basedOn w:val="Heading1"/>
    <w:next w:val="Normal"/>
    <w:uiPriority w:val="39"/>
    <w:unhideWhenUsed/>
    <w:qFormat/>
    <w:rsid w:val="00A42599"/>
    <w:pPr>
      <w:numPr>
        <w:numId w:val="0"/>
      </w:numPr>
      <w:spacing w:before="360" w:after="120"/>
      <w:jc w:val="both"/>
      <w:outlineLvl w:val="9"/>
    </w:pPr>
    <w:rPr>
      <w:b w:val="0"/>
      <w:lang w:val="en-US" w:eastAsia="en-US"/>
    </w:rPr>
  </w:style>
  <w:style w:type="paragraph" w:styleId="TOC1">
    <w:name w:val="toc 1"/>
    <w:basedOn w:val="Normal"/>
    <w:next w:val="Normal"/>
    <w:autoRedefine/>
    <w:uiPriority w:val="39"/>
    <w:unhideWhenUsed/>
    <w:rsid w:val="00A42599"/>
    <w:pPr>
      <w:tabs>
        <w:tab w:val="left" w:pos="440"/>
        <w:tab w:val="right" w:leader="dot" w:pos="9016"/>
      </w:tabs>
      <w:spacing w:after="100"/>
    </w:pPr>
  </w:style>
  <w:style w:type="paragraph" w:styleId="TOC2">
    <w:name w:val="toc 2"/>
    <w:basedOn w:val="Normal"/>
    <w:next w:val="Normal"/>
    <w:autoRedefine/>
    <w:uiPriority w:val="39"/>
    <w:unhideWhenUsed/>
    <w:rsid w:val="00A42599"/>
    <w:pPr>
      <w:tabs>
        <w:tab w:val="left" w:pos="880"/>
        <w:tab w:val="right" w:leader="dot" w:pos="9016"/>
      </w:tabs>
      <w:spacing w:after="100"/>
      <w:ind w:left="220"/>
    </w:pPr>
  </w:style>
  <w:style w:type="paragraph" w:styleId="TOC3">
    <w:name w:val="toc 3"/>
    <w:basedOn w:val="Normal"/>
    <w:next w:val="Normal"/>
    <w:autoRedefine/>
    <w:uiPriority w:val="39"/>
    <w:unhideWhenUsed/>
    <w:rsid w:val="00A42599"/>
    <w:pPr>
      <w:spacing w:after="100"/>
      <w:ind w:left="440"/>
    </w:pPr>
  </w:style>
  <w:style w:type="character" w:styleId="Hyperlink">
    <w:name w:val="Hyperlink"/>
    <w:basedOn w:val="DefaultParagraphFont"/>
    <w:uiPriority w:val="99"/>
    <w:unhideWhenUsed/>
    <w:rsid w:val="00A42599"/>
    <w:rPr>
      <w:color w:val="467886" w:themeColor="hyperlink"/>
      <w:u w:val="single"/>
    </w:rPr>
  </w:style>
  <w:style w:type="paragraph" w:styleId="Header">
    <w:name w:val="header"/>
    <w:basedOn w:val="Normal"/>
    <w:link w:val="HeaderChar"/>
    <w:unhideWhenUsed/>
    <w:rsid w:val="00A42599"/>
    <w:pPr>
      <w:tabs>
        <w:tab w:val="center" w:pos="4513"/>
        <w:tab w:val="right" w:pos="9026"/>
      </w:tabs>
      <w:spacing w:after="0" w:line="240" w:lineRule="auto"/>
    </w:pPr>
  </w:style>
  <w:style w:type="character" w:customStyle="1" w:styleId="HeaderChar">
    <w:name w:val="Header Char"/>
    <w:basedOn w:val="DefaultParagraphFont"/>
    <w:link w:val="Header"/>
    <w:rsid w:val="00A42599"/>
    <w:rPr>
      <w:rFonts w:ascii="Arial" w:hAnsi="Arial"/>
      <w:kern w:val="0"/>
    </w:rPr>
  </w:style>
  <w:style w:type="paragraph" w:styleId="Footer">
    <w:name w:val="footer"/>
    <w:basedOn w:val="Normal"/>
    <w:link w:val="FooterChar"/>
    <w:unhideWhenUsed/>
    <w:rsid w:val="00A42599"/>
    <w:pPr>
      <w:tabs>
        <w:tab w:val="center" w:pos="4513"/>
        <w:tab w:val="right" w:pos="9026"/>
      </w:tabs>
      <w:spacing w:after="0" w:line="240" w:lineRule="auto"/>
    </w:pPr>
  </w:style>
  <w:style w:type="character" w:customStyle="1" w:styleId="FooterChar">
    <w:name w:val="Footer Char"/>
    <w:basedOn w:val="DefaultParagraphFont"/>
    <w:link w:val="Footer"/>
    <w:rsid w:val="00A42599"/>
    <w:rPr>
      <w:rFonts w:ascii="Arial" w:hAnsi="Arial"/>
      <w:kern w:val="0"/>
    </w:rPr>
  </w:style>
  <w:style w:type="table" w:styleId="TableGrid">
    <w:name w:val="Table Grid"/>
    <w:basedOn w:val="TableNormal"/>
    <w:rsid w:val="00A4259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42599"/>
    <w:pPr>
      <w:spacing w:after="0"/>
    </w:pPr>
  </w:style>
  <w:style w:type="character" w:styleId="CommentReference">
    <w:name w:val="annotation reference"/>
    <w:basedOn w:val="DefaultParagraphFont"/>
    <w:uiPriority w:val="99"/>
    <w:semiHidden/>
    <w:unhideWhenUsed/>
    <w:rsid w:val="00A42599"/>
    <w:rPr>
      <w:sz w:val="16"/>
      <w:szCs w:val="16"/>
    </w:rPr>
  </w:style>
  <w:style w:type="paragraph" w:styleId="CommentText">
    <w:name w:val="annotation text"/>
    <w:basedOn w:val="Normal"/>
    <w:link w:val="CommentTextChar"/>
    <w:uiPriority w:val="99"/>
    <w:unhideWhenUsed/>
    <w:rsid w:val="00A42599"/>
    <w:pPr>
      <w:spacing w:line="240" w:lineRule="auto"/>
    </w:pPr>
    <w:rPr>
      <w:sz w:val="20"/>
      <w:szCs w:val="20"/>
    </w:rPr>
  </w:style>
  <w:style w:type="character" w:customStyle="1" w:styleId="CommentTextChar">
    <w:name w:val="Comment Text Char"/>
    <w:basedOn w:val="DefaultParagraphFont"/>
    <w:link w:val="CommentText"/>
    <w:uiPriority w:val="99"/>
    <w:rsid w:val="00A42599"/>
    <w:rPr>
      <w:rFonts w:ascii="Arial" w:hAnsi="Arial"/>
      <w:kern w:val="0"/>
      <w:sz w:val="20"/>
      <w:szCs w:val="20"/>
    </w:rPr>
  </w:style>
  <w:style w:type="paragraph" w:styleId="CommentSubject">
    <w:name w:val="annotation subject"/>
    <w:basedOn w:val="CommentText"/>
    <w:next w:val="CommentText"/>
    <w:link w:val="CommentSubjectChar"/>
    <w:uiPriority w:val="99"/>
    <w:semiHidden/>
    <w:unhideWhenUsed/>
    <w:rsid w:val="00A42599"/>
    <w:rPr>
      <w:b/>
      <w:bCs/>
    </w:rPr>
  </w:style>
  <w:style w:type="character" w:customStyle="1" w:styleId="CommentSubjectChar">
    <w:name w:val="Comment Subject Char"/>
    <w:basedOn w:val="CommentTextChar"/>
    <w:link w:val="CommentSubject"/>
    <w:uiPriority w:val="99"/>
    <w:semiHidden/>
    <w:rsid w:val="00A42599"/>
    <w:rPr>
      <w:rFonts w:ascii="Arial" w:hAnsi="Arial"/>
      <w:b/>
      <w:bCs/>
      <w:kern w:val="0"/>
      <w:sz w:val="20"/>
      <w:szCs w:val="20"/>
    </w:rPr>
  </w:style>
  <w:style w:type="character" w:styleId="UnresolvedMention">
    <w:name w:val="Unresolved Mention"/>
    <w:basedOn w:val="DefaultParagraphFont"/>
    <w:uiPriority w:val="99"/>
    <w:unhideWhenUsed/>
    <w:rsid w:val="00A42599"/>
    <w:rPr>
      <w:color w:val="605E5C"/>
      <w:shd w:val="clear" w:color="auto" w:fill="E1DFDD"/>
    </w:rPr>
  </w:style>
  <w:style w:type="character" w:styleId="FollowedHyperlink">
    <w:name w:val="FollowedHyperlink"/>
    <w:basedOn w:val="DefaultParagraphFont"/>
    <w:uiPriority w:val="99"/>
    <w:semiHidden/>
    <w:unhideWhenUsed/>
    <w:rsid w:val="00A42599"/>
    <w:rPr>
      <w:color w:val="96607D" w:themeColor="followedHyperlink"/>
      <w:u w:val="single"/>
    </w:rPr>
  </w:style>
  <w:style w:type="paragraph" w:styleId="BalloonText">
    <w:name w:val="Balloon Text"/>
    <w:basedOn w:val="Normal"/>
    <w:link w:val="BalloonTextChar"/>
    <w:uiPriority w:val="99"/>
    <w:semiHidden/>
    <w:unhideWhenUsed/>
    <w:rsid w:val="00A42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99"/>
    <w:rPr>
      <w:rFonts w:ascii="Segoe UI" w:hAnsi="Segoe UI" w:cs="Segoe UI"/>
      <w:kern w:val="0"/>
      <w:sz w:val="18"/>
      <w:szCs w:val="18"/>
    </w:rPr>
  </w:style>
  <w:style w:type="paragraph" w:customStyle="1" w:styleId="Bullets">
    <w:name w:val="Bullets"/>
    <w:basedOn w:val="DoubleSpace"/>
    <w:link w:val="BulletsChar"/>
    <w:autoRedefine/>
    <w:qFormat/>
    <w:rsid w:val="00A42599"/>
    <w:pPr>
      <w:numPr>
        <w:numId w:val="9"/>
      </w:numPr>
      <w:spacing w:after="0" w:line="240" w:lineRule="auto"/>
      <w:ind w:right="284" w:firstLine="0"/>
      <w:jc w:val="both"/>
    </w:pPr>
    <w:rPr>
      <w:sz w:val="28"/>
      <w:szCs w:val="28"/>
    </w:rPr>
  </w:style>
  <w:style w:type="paragraph" w:customStyle="1" w:styleId="Bullet2">
    <w:name w:val="Bullet2"/>
    <w:basedOn w:val="Bullets"/>
    <w:link w:val="Bullet2Char"/>
    <w:qFormat/>
    <w:rsid w:val="00A42599"/>
    <w:pPr>
      <w:framePr w:wrap="notBeside" w:hAnchor="text"/>
      <w:numPr>
        <w:ilvl w:val="1"/>
      </w:numPr>
    </w:pPr>
  </w:style>
  <w:style w:type="character" w:customStyle="1" w:styleId="BulletsChar">
    <w:name w:val="Bullets Char"/>
    <w:basedOn w:val="DoubleSpaceChar"/>
    <w:link w:val="Bullets"/>
    <w:rsid w:val="00A42599"/>
    <w:rPr>
      <w:rFonts w:ascii="Arial" w:hAnsi="Arial"/>
      <w:kern w:val="0"/>
      <w:sz w:val="28"/>
      <w:szCs w:val="28"/>
    </w:rPr>
  </w:style>
  <w:style w:type="character" w:customStyle="1" w:styleId="Bullet2Char">
    <w:name w:val="Bullet2 Char"/>
    <w:basedOn w:val="BulletsChar"/>
    <w:link w:val="Bullet2"/>
    <w:rsid w:val="00A42599"/>
    <w:rPr>
      <w:rFonts w:ascii="Arial" w:hAnsi="Arial"/>
      <w:kern w:val="0"/>
      <w:sz w:val="28"/>
      <w:szCs w:val="28"/>
    </w:rPr>
  </w:style>
  <w:style w:type="paragraph" w:styleId="Revision">
    <w:name w:val="Revision"/>
    <w:hidden/>
    <w:uiPriority w:val="99"/>
    <w:semiHidden/>
    <w:rsid w:val="00A42599"/>
    <w:pPr>
      <w:spacing w:after="0" w:line="240" w:lineRule="auto"/>
    </w:pPr>
    <w:rPr>
      <w:rFonts w:ascii="Arial" w:hAnsi="Arial"/>
      <w:kern w:val="0"/>
    </w:rPr>
  </w:style>
  <w:style w:type="paragraph" w:customStyle="1" w:styleId="Style1">
    <w:name w:val="Style1"/>
    <w:basedOn w:val="DoubleSpace"/>
    <w:qFormat/>
    <w:rsid w:val="00A42599"/>
    <w:pPr>
      <w:framePr w:wrap="notBeside" w:hAnchor="text"/>
      <w:numPr>
        <w:numId w:val="10"/>
      </w:numPr>
      <w:spacing w:after="0" w:line="240" w:lineRule="auto"/>
      <w:ind w:left="1080" w:right="284" w:hanging="432"/>
      <w:jc w:val="both"/>
    </w:pPr>
    <w:rPr>
      <w:sz w:val="28"/>
      <w:szCs w:val="28"/>
    </w:rPr>
  </w:style>
  <w:style w:type="paragraph" w:customStyle="1" w:styleId="Style10">
    <w:name w:val="Style10"/>
    <w:basedOn w:val="DoubleSpace"/>
    <w:next w:val="Style1"/>
    <w:rsid w:val="00A42599"/>
    <w:pPr>
      <w:framePr w:wrap="notBeside" w:hAnchor="text"/>
      <w:spacing w:after="0" w:line="240" w:lineRule="auto"/>
      <w:ind w:left="720" w:right="284" w:hanging="360"/>
      <w:jc w:val="both"/>
    </w:pPr>
    <w:rPr>
      <w:sz w:val="28"/>
      <w:szCs w:val="28"/>
    </w:rPr>
  </w:style>
  <w:style w:type="paragraph" w:customStyle="1" w:styleId="Style100">
    <w:name w:val="Style100"/>
    <w:basedOn w:val="DoubleSpace"/>
    <w:next w:val="Style10"/>
    <w:rsid w:val="00A42599"/>
    <w:pPr>
      <w:framePr w:wrap="notBeside" w:hAnchor="text"/>
      <w:spacing w:after="0" w:line="240" w:lineRule="auto"/>
      <w:ind w:left="720" w:right="284" w:hanging="360"/>
      <w:jc w:val="both"/>
    </w:pPr>
    <w:rPr>
      <w:sz w:val="28"/>
      <w:szCs w:val="28"/>
    </w:rPr>
  </w:style>
  <w:style w:type="paragraph" w:styleId="Bibliography">
    <w:name w:val="Bibliography"/>
    <w:basedOn w:val="Normal"/>
    <w:next w:val="Normal"/>
    <w:uiPriority w:val="37"/>
    <w:unhideWhenUsed/>
    <w:rsid w:val="00A42599"/>
    <w:pPr>
      <w:tabs>
        <w:tab w:val="left" w:pos="384"/>
      </w:tabs>
      <w:spacing w:after="0" w:line="480" w:lineRule="auto"/>
      <w:ind w:left="384" w:hanging="384"/>
    </w:pPr>
  </w:style>
  <w:style w:type="paragraph" w:customStyle="1" w:styleId="Style1000">
    <w:name w:val="Style1000"/>
    <w:basedOn w:val="DoubleSpace"/>
    <w:next w:val="Style100"/>
    <w:rsid w:val="00A42599"/>
    <w:pPr>
      <w:framePr w:wrap="notBeside" w:hAnchor="text"/>
      <w:spacing w:after="0" w:line="240" w:lineRule="auto"/>
      <w:ind w:left="720" w:right="284" w:hanging="360"/>
      <w:jc w:val="both"/>
    </w:pPr>
    <w:rPr>
      <w:sz w:val="28"/>
      <w:szCs w:val="28"/>
    </w:rPr>
  </w:style>
  <w:style w:type="paragraph" w:customStyle="1" w:styleId="Style10000">
    <w:name w:val="Style10000"/>
    <w:basedOn w:val="DoubleSpace"/>
    <w:next w:val="Style1000"/>
    <w:rsid w:val="00A42599"/>
    <w:pPr>
      <w:framePr w:wrap="notBeside" w:hAnchor="text"/>
      <w:spacing w:after="0" w:line="240" w:lineRule="auto"/>
      <w:ind w:left="720" w:right="284" w:hanging="360"/>
      <w:jc w:val="both"/>
    </w:pPr>
    <w:rPr>
      <w:sz w:val="28"/>
      <w:szCs w:val="28"/>
    </w:rPr>
  </w:style>
  <w:style w:type="paragraph" w:customStyle="1" w:styleId="Style100000">
    <w:name w:val="Style100000"/>
    <w:basedOn w:val="DoubleSpace"/>
    <w:next w:val="Style10000"/>
    <w:rsid w:val="00A42599"/>
    <w:pPr>
      <w:framePr w:wrap="notBeside" w:hAnchor="text"/>
      <w:spacing w:after="0" w:line="240" w:lineRule="auto"/>
      <w:ind w:left="720" w:right="284" w:hanging="360"/>
      <w:jc w:val="both"/>
    </w:pPr>
    <w:rPr>
      <w:sz w:val="28"/>
      <w:szCs w:val="28"/>
    </w:rPr>
  </w:style>
  <w:style w:type="paragraph" w:customStyle="1" w:styleId="Style1000000">
    <w:name w:val="Style1000000"/>
    <w:basedOn w:val="DoubleSpace"/>
    <w:next w:val="Style100000"/>
    <w:rsid w:val="00A42599"/>
    <w:pPr>
      <w:framePr w:wrap="notBeside" w:hAnchor="text"/>
      <w:spacing w:after="0" w:line="240" w:lineRule="auto"/>
      <w:ind w:left="720" w:right="284" w:hanging="360"/>
      <w:jc w:val="both"/>
    </w:pPr>
    <w:rPr>
      <w:sz w:val="28"/>
      <w:szCs w:val="28"/>
    </w:rPr>
  </w:style>
  <w:style w:type="paragraph" w:customStyle="1" w:styleId="ChapterSubtitle">
    <w:name w:val="Chapter Subtitle"/>
    <w:basedOn w:val="Heading1"/>
    <w:link w:val="ChapterSubtitleChar"/>
    <w:qFormat/>
    <w:rsid w:val="00A42599"/>
    <w:pPr>
      <w:numPr>
        <w:numId w:val="0"/>
      </w:numPr>
      <w:ind w:left="720" w:right="284"/>
      <w:jc w:val="both"/>
    </w:pPr>
    <w:rPr>
      <w:rFonts w:ascii="Arial" w:hAnsi="Arial"/>
    </w:rPr>
  </w:style>
  <w:style w:type="character" w:customStyle="1" w:styleId="ChapterSubtitleChar">
    <w:name w:val="Chapter Subtitle Char"/>
    <w:basedOn w:val="Heading1Char"/>
    <w:link w:val="ChapterSubtitle"/>
    <w:rsid w:val="00A42599"/>
    <w:rPr>
      <w:rFonts w:ascii="Arial" w:eastAsiaTheme="majorEastAsia" w:hAnsi="Arial" w:cstheme="majorBidi"/>
      <w:b/>
      <w:kern w:val="0"/>
      <w:sz w:val="32"/>
      <w:szCs w:val="32"/>
    </w:rPr>
  </w:style>
  <w:style w:type="paragraph" w:customStyle="1" w:styleId="Affiliation">
    <w:name w:val="Affiliation"/>
    <w:basedOn w:val="Normal"/>
    <w:link w:val="AffiliationChar"/>
    <w:qFormat/>
    <w:rsid w:val="00A42599"/>
    <w:pPr>
      <w:spacing w:before="120" w:after="0" w:line="240" w:lineRule="auto"/>
      <w:contextualSpacing/>
      <w:jc w:val="both"/>
    </w:pPr>
    <w:rPr>
      <w:rFonts w:ascii="Times New Roman" w:eastAsia="Times New Roman" w:hAnsi="Times New Roman" w:cs="Times New Roman"/>
      <w:sz w:val="20"/>
      <w:szCs w:val="24"/>
      <w:lang w:val="en-GB" w:eastAsia="de-DE"/>
    </w:rPr>
  </w:style>
  <w:style w:type="character" w:customStyle="1" w:styleId="AffiliationChar">
    <w:name w:val="Affiliation Char"/>
    <w:basedOn w:val="DefaultParagraphFont"/>
    <w:link w:val="Affiliation"/>
    <w:rsid w:val="00A42599"/>
    <w:rPr>
      <w:rFonts w:ascii="Times New Roman" w:eastAsia="Times New Roman" w:hAnsi="Times New Roman" w:cs="Times New Roman"/>
      <w:kern w:val="0"/>
      <w:sz w:val="20"/>
      <w:szCs w:val="24"/>
      <w:lang w:val="en-GB" w:eastAsia="de-DE"/>
    </w:rPr>
  </w:style>
  <w:style w:type="paragraph" w:customStyle="1" w:styleId="Correspondence">
    <w:name w:val="Correspondence"/>
    <w:basedOn w:val="Normal"/>
    <w:link w:val="CorrespondenceChar"/>
    <w:qFormat/>
    <w:rsid w:val="00A42599"/>
    <w:pPr>
      <w:spacing w:before="120" w:after="360" w:line="240" w:lineRule="auto"/>
      <w:jc w:val="both"/>
    </w:pPr>
    <w:rPr>
      <w:rFonts w:ascii="Times New Roman" w:eastAsia="Times New Roman" w:hAnsi="Times New Roman" w:cs="Times New Roman"/>
      <w:sz w:val="20"/>
      <w:szCs w:val="24"/>
      <w:lang w:val="en-GB" w:eastAsia="de-DE"/>
    </w:rPr>
  </w:style>
  <w:style w:type="character" w:customStyle="1" w:styleId="CorrespondenceChar">
    <w:name w:val="Correspondence Char"/>
    <w:basedOn w:val="DefaultParagraphFont"/>
    <w:link w:val="Correspondence"/>
    <w:rsid w:val="00A42599"/>
    <w:rPr>
      <w:rFonts w:ascii="Times New Roman" w:eastAsia="Times New Roman" w:hAnsi="Times New Roman" w:cs="Times New Roman"/>
      <w:kern w:val="0"/>
      <w:sz w:val="20"/>
      <w:szCs w:val="24"/>
      <w:lang w:val="en-GB" w:eastAsia="de-DE"/>
    </w:rPr>
  </w:style>
  <w:style w:type="paragraph" w:customStyle="1" w:styleId="Authors">
    <w:name w:val="Authors"/>
    <w:basedOn w:val="Normal"/>
    <w:link w:val="AuthorsChar"/>
    <w:qFormat/>
    <w:rsid w:val="00A42599"/>
    <w:pPr>
      <w:spacing w:before="180" w:after="0" w:line="240" w:lineRule="auto"/>
      <w:contextualSpacing/>
      <w:jc w:val="both"/>
    </w:pPr>
    <w:rPr>
      <w:rFonts w:ascii="Times New Roman" w:eastAsia="Times New Roman" w:hAnsi="Times New Roman" w:cs="Times New Roman"/>
      <w:sz w:val="24"/>
      <w:szCs w:val="24"/>
      <w:lang w:val="en-GB" w:eastAsia="de-DE"/>
    </w:rPr>
  </w:style>
  <w:style w:type="character" w:customStyle="1" w:styleId="AuthorsChar">
    <w:name w:val="Authors Char"/>
    <w:basedOn w:val="DefaultParagraphFont"/>
    <w:link w:val="Authors"/>
    <w:rsid w:val="00A42599"/>
    <w:rPr>
      <w:rFonts w:ascii="Times New Roman" w:eastAsia="Times New Roman" w:hAnsi="Times New Roman" w:cs="Times New Roman"/>
      <w:kern w:val="0"/>
      <w:sz w:val="24"/>
      <w:szCs w:val="24"/>
      <w:lang w:val="en-GB" w:eastAsia="de-DE"/>
    </w:rPr>
  </w:style>
  <w:style w:type="paragraph" w:customStyle="1" w:styleId="Heading">
    <w:name w:val="Heading"/>
    <w:basedOn w:val="Heading2"/>
    <w:link w:val="HeadingChar"/>
    <w:rsid w:val="00A42599"/>
    <w:pPr>
      <w:numPr>
        <w:ilvl w:val="0"/>
        <w:numId w:val="0"/>
      </w:numPr>
      <w:ind w:left="2016" w:hanging="360"/>
      <w:jc w:val="both"/>
    </w:pPr>
    <w:rPr>
      <w:lang w:val="en-GB"/>
    </w:rPr>
  </w:style>
  <w:style w:type="character" w:customStyle="1" w:styleId="HeadingChar">
    <w:name w:val="Heading Char"/>
    <w:basedOn w:val="Heading2Char"/>
    <w:link w:val="Heading"/>
    <w:rsid w:val="00A42599"/>
    <w:rPr>
      <w:rFonts w:ascii="Arial" w:eastAsiaTheme="majorEastAsia" w:hAnsi="Arial" w:cstheme="majorBidi"/>
      <w:b/>
      <w:kern w:val="0"/>
      <w:sz w:val="26"/>
      <w:szCs w:val="26"/>
      <w:lang w:val="en-GB"/>
    </w:rPr>
  </w:style>
  <w:style w:type="character" w:styleId="Emphasis">
    <w:name w:val="Emphasis"/>
    <w:basedOn w:val="DefaultParagraphFont"/>
    <w:uiPriority w:val="20"/>
    <w:qFormat/>
    <w:rsid w:val="00A42599"/>
    <w:rPr>
      <w:i/>
      <w:iCs/>
    </w:rPr>
  </w:style>
  <w:style w:type="paragraph" w:customStyle="1" w:styleId="Betreff">
    <w:name w:val="Betreff"/>
    <w:basedOn w:val="Normal"/>
    <w:next w:val="Normal"/>
    <w:rsid w:val="00A42599"/>
    <w:pPr>
      <w:spacing w:after="0" w:line="360" w:lineRule="auto"/>
      <w:jc w:val="both"/>
    </w:pPr>
    <w:rPr>
      <w:rFonts w:ascii="Times New Roman" w:eastAsia="Times New Roman" w:hAnsi="Times New Roman" w:cs="Times New Roman"/>
      <w:b/>
      <w:sz w:val="20"/>
      <w:szCs w:val="24"/>
      <w:lang w:val="en-GB" w:eastAsia="de-DE"/>
    </w:rPr>
  </w:style>
  <w:style w:type="table" w:customStyle="1" w:styleId="Copernicus">
    <w:name w:val="Copernicus"/>
    <w:basedOn w:val="TableNormal"/>
    <w:rsid w:val="00A42599"/>
    <w:pPr>
      <w:spacing w:after="0" w:line="240" w:lineRule="auto"/>
    </w:pPr>
    <w:rPr>
      <w:rFonts w:ascii="Verdana" w:eastAsia="Times New Roman" w:hAnsi="Verdana" w:cs="Times New Roman"/>
      <w:kern w:val="0"/>
      <w:sz w:val="19"/>
      <w:szCs w:val="20"/>
      <w:lang w:val="en-GB"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Kontakt">
    <w:name w:val="Kontakt"/>
    <w:basedOn w:val="Normal"/>
    <w:rsid w:val="00A42599"/>
    <w:pPr>
      <w:spacing w:after="0" w:line="160" w:lineRule="exact"/>
      <w:jc w:val="both"/>
    </w:pPr>
    <w:rPr>
      <w:rFonts w:ascii="Times New Roman" w:eastAsia="Times New Roman" w:hAnsi="Times New Roman" w:cs="Times New Roman"/>
      <w:color w:val="808080"/>
      <w:sz w:val="13"/>
      <w:szCs w:val="24"/>
      <w:lang w:val="en-GB" w:eastAsia="de-DE"/>
    </w:rPr>
  </w:style>
  <w:style w:type="paragraph" w:customStyle="1" w:styleId="Name">
    <w:name w:val="Name"/>
    <w:basedOn w:val="Normal"/>
    <w:rsid w:val="00A42599"/>
    <w:pPr>
      <w:spacing w:before="160" w:after="80" w:line="360" w:lineRule="auto"/>
      <w:jc w:val="both"/>
    </w:pPr>
    <w:rPr>
      <w:rFonts w:ascii="Book Antiqua" w:eastAsia="Times New Roman" w:hAnsi="Book Antiqua" w:cs="Times New Roman"/>
      <w:color w:val="808080"/>
      <w:szCs w:val="24"/>
      <w:lang w:val="en-GB" w:eastAsia="de-DE"/>
    </w:rPr>
  </w:style>
  <w:style w:type="paragraph" w:customStyle="1" w:styleId="CopernicusWordtemplate">
    <w:name w:val="Copernicus_Word_template"/>
    <w:basedOn w:val="Normal"/>
    <w:link w:val="CopernicusWordtemplateChar"/>
    <w:rsid w:val="00A42599"/>
    <w:pPr>
      <w:spacing w:after="0" w:line="360" w:lineRule="auto"/>
      <w:jc w:val="both"/>
    </w:pPr>
    <w:rPr>
      <w:rFonts w:ascii="Times New Roman" w:eastAsia="Times New Roman" w:hAnsi="Times New Roman" w:cs="Times New Roman"/>
      <w:sz w:val="20"/>
      <w:szCs w:val="24"/>
      <w:lang w:val="en-GB" w:eastAsia="de-DE"/>
    </w:rPr>
  </w:style>
  <w:style w:type="character" w:customStyle="1" w:styleId="CopernicusWordtemplateChar">
    <w:name w:val="Copernicus_Word_template Char"/>
    <w:basedOn w:val="DefaultParagraphFont"/>
    <w:link w:val="CopernicusWordtemplate"/>
    <w:rsid w:val="00A42599"/>
    <w:rPr>
      <w:rFonts w:ascii="Times New Roman" w:eastAsia="Times New Roman" w:hAnsi="Times New Roman" w:cs="Times New Roman"/>
      <w:kern w:val="0"/>
      <w:sz w:val="20"/>
      <w:szCs w:val="24"/>
      <w:lang w:val="en-GB" w:eastAsia="de-DE"/>
    </w:rPr>
  </w:style>
  <w:style w:type="character" w:styleId="LineNumber">
    <w:name w:val="line number"/>
    <w:basedOn w:val="DefaultParagraphFont"/>
    <w:uiPriority w:val="99"/>
    <w:semiHidden/>
    <w:unhideWhenUsed/>
    <w:rsid w:val="00A42599"/>
  </w:style>
  <w:style w:type="paragraph" w:customStyle="1" w:styleId="MStitle">
    <w:name w:val="MS title"/>
    <w:basedOn w:val="Normal"/>
    <w:link w:val="MStitleChar"/>
    <w:qFormat/>
    <w:rsid w:val="00A42599"/>
    <w:pPr>
      <w:spacing w:before="360" w:after="0" w:line="440" w:lineRule="exact"/>
      <w:contextualSpacing/>
      <w:jc w:val="both"/>
    </w:pPr>
    <w:rPr>
      <w:rFonts w:ascii="Times New Roman" w:eastAsia="Times New Roman" w:hAnsi="Times New Roman" w:cs="Times New Roman"/>
      <w:b/>
      <w:sz w:val="34"/>
      <w:szCs w:val="24"/>
      <w:lang w:val="en-GB" w:eastAsia="de-DE"/>
    </w:rPr>
  </w:style>
  <w:style w:type="character" w:customStyle="1" w:styleId="MStitleChar">
    <w:name w:val="MS title Char"/>
    <w:basedOn w:val="DefaultParagraphFont"/>
    <w:link w:val="MStitle"/>
    <w:rsid w:val="00A42599"/>
    <w:rPr>
      <w:rFonts w:ascii="Times New Roman" w:eastAsia="Times New Roman" w:hAnsi="Times New Roman" w:cs="Times New Roman"/>
      <w:b/>
      <w:kern w:val="0"/>
      <w:sz w:val="34"/>
      <w:szCs w:val="24"/>
      <w:lang w:val="en-GB" w:eastAsia="de-DE"/>
    </w:rPr>
  </w:style>
  <w:style w:type="character" w:styleId="PlaceholderText">
    <w:name w:val="Placeholder Text"/>
    <w:basedOn w:val="DefaultParagraphFont"/>
    <w:uiPriority w:val="99"/>
    <w:semiHidden/>
    <w:rsid w:val="00A42599"/>
    <w:rPr>
      <w:color w:val="808080"/>
    </w:rPr>
  </w:style>
  <w:style w:type="paragraph" w:customStyle="1" w:styleId="Equation">
    <w:name w:val="Equation"/>
    <w:basedOn w:val="Normal"/>
    <w:link w:val="EquationChar"/>
    <w:rsid w:val="00A42599"/>
    <w:pPr>
      <w:spacing w:before="120" w:after="120" w:line="360" w:lineRule="auto"/>
      <w:jc w:val="both"/>
    </w:pPr>
    <w:rPr>
      <w:rFonts w:ascii="Cambria Math" w:eastAsia="Times New Roman" w:hAnsi="Cambria Math" w:cs="Times New Roman"/>
      <w:sz w:val="20"/>
      <w:szCs w:val="24"/>
      <w:lang w:val="en-GB" w:eastAsia="de-DE"/>
    </w:rPr>
  </w:style>
  <w:style w:type="character" w:customStyle="1" w:styleId="EquationChar">
    <w:name w:val="Equation Char"/>
    <w:basedOn w:val="DefaultParagraphFont"/>
    <w:link w:val="Equation"/>
    <w:rsid w:val="00A42599"/>
    <w:rPr>
      <w:rFonts w:ascii="Cambria Math" w:eastAsia="Times New Roman" w:hAnsi="Cambria Math" w:cs="Times New Roman"/>
      <w:kern w:val="0"/>
      <w:sz w:val="20"/>
      <w:szCs w:val="24"/>
      <w:lang w:val="en-GB" w:eastAsia="de-DE"/>
    </w:rPr>
  </w:style>
  <w:style w:type="paragraph" w:styleId="NormalWeb">
    <w:name w:val="Normal (Web)"/>
    <w:basedOn w:val="Normal"/>
    <w:uiPriority w:val="99"/>
    <w:unhideWhenUsed/>
    <w:rsid w:val="00A425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599"/>
    <w:rPr>
      <w:b/>
      <w:bCs/>
    </w:rPr>
  </w:style>
  <w:style w:type="paragraph" w:customStyle="1" w:styleId="Style2">
    <w:name w:val="Style2"/>
    <w:basedOn w:val="Heading2"/>
    <w:link w:val="Style2Char"/>
    <w:qFormat/>
    <w:rsid w:val="00A42599"/>
    <w:pPr>
      <w:numPr>
        <w:ilvl w:val="0"/>
        <w:numId w:val="14"/>
      </w:numPr>
      <w:jc w:val="both"/>
    </w:pPr>
  </w:style>
  <w:style w:type="character" w:customStyle="1" w:styleId="Style2Char">
    <w:name w:val="Style2 Char"/>
    <w:basedOn w:val="Heading2Char"/>
    <w:link w:val="Style2"/>
    <w:rsid w:val="00A42599"/>
    <w:rPr>
      <w:rFonts w:ascii="Arial" w:eastAsiaTheme="majorEastAsia" w:hAnsi="Arial" w:cstheme="majorBidi"/>
      <w:b/>
      <w:kern w:val="0"/>
      <w:sz w:val="26"/>
      <w:szCs w:val="26"/>
    </w:rPr>
  </w:style>
  <w:style w:type="paragraph" w:customStyle="1" w:styleId="Style3">
    <w:name w:val="Style3"/>
    <w:basedOn w:val="DoubleSpace"/>
    <w:link w:val="Style3Char"/>
    <w:qFormat/>
    <w:rsid w:val="00A42599"/>
    <w:pPr>
      <w:numPr>
        <w:numId w:val="12"/>
      </w:numPr>
      <w:spacing w:after="0" w:line="240" w:lineRule="auto"/>
      <w:ind w:right="284" w:firstLine="0"/>
      <w:jc w:val="both"/>
    </w:pPr>
    <w:rPr>
      <w:sz w:val="28"/>
      <w:szCs w:val="28"/>
    </w:rPr>
  </w:style>
  <w:style w:type="character" w:customStyle="1" w:styleId="Style3Char">
    <w:name w:val="Style3 Char"/>
    <w:basedOn w:val="DoubleSpaceChar"/>
    <w:link w:val="Style3"/>
    <w:rsid w:val="00A42599"/>
    <w:rPr>
      <w:rFonts w:ascii="Arial" w:hAnsi="Arial"/>
      <w:kern w:val="0"/>
      <w:sz w:val="28"/>
      <w:szCs w:val="28"/>
    </w:rPr>
  </w:style>
  <w:style w:type="paragraph" w:customStyle="1" w:styleId="Reference">
    <w:name w:val="Reference"/>
    <w:basedOn w:val="Normal"/>
    <w:rsid w:val="00A42599"/>
    <w:pPr>
      <w:spacing w:before="120" w:after="0" w:line="240" w:lineRule="auto"/>
      <w:ind w:left="720" w:hanging="720"/>
    </w:pPr>
    <w:rPr>
      <w:rFonts w:ascii="Times New Roman" w:eastAsia="Times New Roman" w:hAnsi="Times New Roman" w:cs="Times New Roman"/>
      <w:sz w:val="24"/>
      <w:szCs w:val="24"/>
      <w:lang w:val="en-US" w:eastAsia="en-US"/>
    </w:rPr>
  </w:style>
  <w:style w:type="paragraph" w:customStyle="1" w:styleId="Heading-Main">
    <w:name w:val="Heading-Main"/>
    <w:basedOn w:val="Normal"/>
    <w:rsid w:val="00A42599"/>
    <w:pPr>
      <w:keepNext/>
      <w:spacing w:before="240" w:after="120" w:line="240" w:lineRule="auto"/>
      <w:outlineLvl w:val="0"/>
    </w:pPr>
    <w:rPr>
      <w:rFonts w:ascii="Times New Roman" w:eastAsia="Times New Roman" w:hAnsi="Times New Roman" w:cs="Times New Roman"/>
      <w:b/>
      <w:bCs/>
      <w:kern w:val="28"/>
      <w:sz w:val="24"/>
      <w:szCs w:val="24"/>
      <w:lang w:val="en-US" w:eastAsia="en-US"/>
    </w:rPr>
  </w:style>
  <w:style w:type="paragraph" w:customStyle="1" w:styleId="Heading-Secondary">
    <w:name w:val="Heading-Secondary"/>
    <w:qFormat/>
    <w:rsid w:val="00A42599"/>
    <w:pPr>
      <w:ind w:left="720"/>
    </w:pPr>
    <w:rPr>
      <w:rFonts w:ascii="Times New Roman" w:eastAsia="Times New Roman" w:hAnsi="Times New Roman" w:cs="Times New Roman"/>
      <w:b/>
      <w:bCs/>
      <w:kern w:val="28"/>
      <w:sz w:val="28"/>
      <w:szCs w:val="24"/>
      <w:lang w:val="en-US" w:eastAsia="en-US"/>
    </w:rPr>
  </w:style>
  <w:style w:type="paragraph" w:customStyle="1" w:styleId="Text">
    <w:name w:val="Text"/>
    <w:basedOn w:val="Normal"/>
    <w:rsid w:val="00A42599"/>
    <w:pPr>
      <w:spacing w:before="120" w:after="0" w:line="240" w:lineRule="auto"/>
      <w:ind w:firstLine="720"/>
    </w:pPr>
    <w:rPr>
      <w:rFonts w:ascii="Times New Roman" w:eastAsia="Times New Roman" w:hAnsi="Times New Roman" w:cs="Times New Roman"/>
      <w:sz w:val="24"/>
      <w:szCs w:val="24"/>
      <w:lang w:val="en-US" w:eastAsia="en-US"/>
    </w:rPr>
  </w:style>
  <w:style w:type="paragraph" w:customStyle="1" w:styleId="FigureorTableCaption">
    <w:name w:val="Figure or Table Caption"/>
    <w:basedOn w:val="Normal"/>
    <w:rsid w:val="00A42599"/>
    <w:pPr>
      <w:keepNext/>
      <w:spacing w:before="240" w:after="0" w:line="240" w:lineRule="auto"/>
      <w:outlineLvl w:val="0"/>
    </w:pPr>
    <w:rPr>
      <w:rFonts w:ascii="Times New Roman" w:eastAsia="Times New Roman" w:hAnsi="Times New Roman" w:cs="Times New Roman"/>
      <w:kern w:val="28"/>
      <w:sz w:val="24"/>
      <w:szCs w:val="24"/>
      <w:lang w:val="en-US" w:eastAsia="en-US"/>
    </w:rPr>
  </w:style>
  <w:style w:type="paragraph" w:customStyle="1" w:styleId="KeyPoints">
    <w:name w:val="Key Points"/>
    <w:basedOn w:val="Normal"/>
    <w:rsid w:val="00A42599"/>
    <w:pPr>
      <w:spacing w:before="120" w:after="0" w:line="240" w:lineRule="auto"/>
    </w:pPr>
    <w:rPr>
      <w:rFonts w:ascii="Times New Roman" w:eastAsia="Times New Roman" w:hAnsi="Times New Roman" w:cs="Times New Roman"/>
      <w:sz w:val="24"/>
      <w:szCs w:val="24"/>
      <w:lang w:val="en-US" w:eastAsia="en-US"/>
    </w:rPr>
  </w:style>
  <w:style w:type="paragraph" w:customStyle="1" w:styleId="Abstract">
    <w:name w:val="Abstract"/>
    <w:basedOn w:val="Normal"/>
    <w:qFormat/>
    <w:rsid w:val="00A42599"/>
    <w:pPr>
      <w:spacing w:before="120" w:after="0" w:line="240" w:lineRule="auto"/>
    </w:pPr>
    <w:rPr>
      <w:rFonts w:ascii="Times New Roman" w:eastAsia="Times New Roman" w:hAnsi="Times New Roman" w:cs="Times New Roman"/>
      <w:sz w:val="24"/>
      <w:szCs w:val="24"/>
      <w:lang w:val="en-US" w:eastAsia="en-US"/>
    </w:rPr>
  </w:style>
  <w:style w:type="paragraph" w:customStyle="1" w:styleId="Note">
    <w:name w:val="Note"/>
    <w:basedOn w:val="Normal"/>
    <w:qFormat/>
    <w:rsid w:val="00A42599"/>
    <w:pPr>
      <w:spacing w:before="240" w:after="240" w:line="240" w:lineRule="auto"/>
    </w:pPr>
    <w:rPr>
      <w:rFonts w:ascii="Times New Roman" w:eastAsia="Calibri" w:hAnsi="Times New Roman" w:cs="Times New Roman"/>
      <w:color w:val="00B0F0"/>
      <w:sz w:val="20"/>
      <w:szCs w:val="20"/>
      <w:lang w:val="en-US" w:eastAsia="en-US"/>
    </w:rPr>
  </w:style>
  <w:style w:type="paragraph" w:customStyle="1" w:styleId="DeclarationandAcknowledgements">
    <w:name w:val="Declaration and Acknowledgements"/>
    <w:basedOn w:val="Heading"/>
    <w:link w:val="DeclarationandAcknowledgementsChar"/>
    <w:qFormat/>
    <w:rsid w:val="00A42599"/>
    <w:pPr>
      <w:ind w:left="720" w:right="284" w:firstLine="0"/>
    </w:pPr>
    <w:rPr>
      <w:b w:val="0"/>
      <w:sz w:val="32"/>
      <w:szCs w:val="32"/>
    </w:rPr>
  </w:style>
  <w:style w:type="character" w:customStyle="1" w:styleId="DeclarationandAcknowledgementsChar">
    <w:name w:val="Declaration and Acknowledgements Char"/>
    <w:basedOn w:val="DefaultParagraphFont"/>
    <w:link w:val="DeclarationandAcknowledgements"/>
    <w:rsid w:val="00A42599"/>
    <w:rPr>
      <w:rFonts w:ascii="Arial" w:eastAsiaTheme="majorEastAsia" w:hAnsi="Arial" w:cstheme="majorBidi"/>
      <w:kern w:val="0"/>
      <w:sz w:val="32"/>
      <w:szCs w:val="32"/>
      <w:lang w:val="en-GB"/>
    </w:rPr>
  </w:style>
  <w:style w:type="paragraph" w:customStyle="1" w:styleId="Normalresponse">
    <w:name w:val="Normal response"/>
    <w:basedOn w:val="Normal"/>
    <w:link w:val="NormalresponseChar"/>
    <w:qFormat/>
    <w:rsid w:val="00A42599"/>
    <w:pPr>
      <w:ind w:left="720"/>
    </w:pPr>
    <w:rPr>
      <w:kern w:val="2"/>
    </w:rPr>
  </w:style>
  <w:style w:type="character" w:customStyle="1" w:styleId="NormalresponseChar">
    <w:name w:val="Normal response Char"/>
    <w:basedOn w:val="DefaultParagraphFont"/>
    <w:link w:val="Normalresponse"/>
    <w:rsid w:val="00A42599"/>
    <w:rPr>
      <w:rFonts w:ascii="Arial" w:hAnsi="Arial"/>
    </w:rPr>
  </w:style>
  <w:style w:type="paragraph" w:customStyle="1" w:styleId="SMHeading">
    <w:name w:val="SM Heading"/>
    <w:basedOn w:val="Heading1"/>
    <w:qFormat/>
    <w:rsid w:val="00A42599"/>
    <w:pPr>
      <w:keepLines w:val="0"/>
      <w:numPr>
        <w:numId w:val="0"/>
      </w:numPr>
      <w:spacing w:after="60" w:line="240" w:lineRule="auto"/>
    </w:pPr>
    <w:rPr>
      <w:rFonts w:ascii="Times New Roman" w:eastAsia="Times New Roman" w:hAnsi="Times New Roman" w:cs="Times New Roman"/>
      <w:bCs/>
      <w:kern w:val="32"/>
      <w:sz w:val="24"/>
      <w:szCs w:val="24"/>
      <w:lang w:val="en-US" w:eastAsia="en-US"/>
    </w:rPr>
  </w:style>
  <w:style w:type="paragraph" w:customStyle="1" w:styleId="SMcaption">
    <w:name w:val="SM caption"/>
    <w:basedOn w:val="Normal"/>
    <w:qFormat/>
    <w:rsid w:val="00A42599"/>
    <w:pPr>
      <w:spacing w:after="0" w:line="240" w:lineRule="auto"/>
    </w:pPr>
    <w:rPr>
      <w:rFonts w:ascii="Times New Roman" w:eastAsia="Times New Roman" w:hAnsi="Times New Roman" w:cs="Times New Roman"/>
      <w:sz w:val="24"/>
      <w:szCs w:val="20"/>
      <w:lang w:val="en-US" w:eastAsia="en-US"/>
    </w:rPr>
  </w:style>
  <w:style w:type="character" w:styleId="Mention">
    <w:name w:val="Mention"/>
    <w:basedOn w:val="DefaultParagraphFont"/>
    <w:uiPriority w:val="99"/>
    <w:unhideWhenUsed/>
    <w:rsid w:val="00A425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49919">
      <w:bodyDiv w:val="1"/>
      <w:marLeft w:val="0"/>
      <w:marRight w:val="0"/>
      <w:marTop w:val="0"/>
      <w:marBottom w:val="0"/>
      <w:divBdr>
        <w:top w:val="none" w:sz="0" w:space="0" w:color="auto"/>
        <w:left w:val="none" w:sz="0" w:space="0" w:color="auto"/>
        <w:bottom w:val="none" w:sz="0" w:space="0" w:color="auto"/>
        <w:right w:val="none" w:sz="0" w:space="0" w:color="auto"/>
      </w:divBdr>
    </w:div>
    <w:div w:id="10031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hen.lee@cdu.edu.a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5046</Words>
  <Characters>28764</Characters>
  <Application>Microsoft Office Word</Application>
  <DocSecurity>0</DocSecurity>
  <Lines>239</Lines>
  <Paragraphs>67</Paragraphs>
  <ScaleCrop>false</ScaleCrop>
  <Company/>
  <LinksUpToDate>false</LinksUpToDate>
  <CharactersWithSpaces>33743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Lee</dc:creator>
  <cp:keywords/>
  <dc:description/>
  <cp:lastModifiedBy>Stephen Lee</cp:lastModifiedBy>
  <cp:revision>3</cp:revision>
  <dcterms:created xsi:type="dcterms:W3CDTF">2025-07-19T08:12:00Z</dcterms:created>
  <dcterms:modified xsi:type="dcterms:W3CDTF">2025-07-19T08:12:00Z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id="la1RHbV9"/&gt;&lt;style id="http://www.zotero.org/styles/nature" hasBibliography="1" bibliographyStyleHasBeenSet="1"/&gt;&lt;prefs&gt;&lt;pref name="fieldType" value="Field"/&gt;&lt;/prefs&gt;&lt;/data&gt;</vt:lpwstr>
  </property>
</Properties>
</file>