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876"/>
        <w:tblW w:w="10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1970"/>
        <w:gridCol w:w="2030"/>
        <w:gridCol w:w="2573"/>
        <w:gridCol w:w="1961"/>
      </w:tblGrid>
      <w:tr w:rsidR="006E5E18" w14:paraId="4F79B0B3" w14:textId="77777777" w:rsidTr="00B6660E">
        <w:tc>
          <w:tcPr>
            <w:tcW w:w="1820" w:type="dxa"/>
            <w:tcBorders>
              <w:bottom w:val="single" w:sz="12" w:space="0" w:color="auto"/>
            </w:tcBorders>
          </w:tcPr>
          <w:p w14:paraId="2463BA7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  <w:t>Main code</w:t>
            </w:r>
          </w:p>
        </w:tc>
        <w:tc>
          <w:tcPr>
            <w:tcW w:w="1970" w:type="dxa"/>
            <w:tcBorders>
              <w:bottom w:val="single" w:sz="12" w:space="0" w:color="auto"/>
            </w:tcBorders>
          </w:tcPr>
          <w:p w14:paraId="20F4F0C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  <w:t>Subcodes</w:t>
            </w:r>
          </w:p>
        </w:tc>
        <w:tc>
          <w:tcPr>
            <w:tcW w:w="2030" w:type="dxa"/>
            <w:tcBorders>
              <w:bottom w:val="single" w:sz="12" w:space="0" w:color="auto"/>
            </w:tcBorders>
          </w:tcPr>
          <w:p w14:paraId="6FC4ABD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  <w:t xml:space="preserve">Definition </w:t>
            </w:r>
          </w:p>
        </w:tc>
        <w:tc>
          <w:tcPr>
            <w:tcW w:w="2573" w:type="dxa"/>
            <w:tcBorders>
              <w:bottom w:val="single" w:sz="12" w:space="0" w:color="auto"/>
            </w:tcBorders>
          </w:tcPr>
          <w:p w14:paraId="6701833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  <w:t>Example from interview</w:t>
            </w:r>
          </w:p>
        </w:tc>
        <w:tc>
          <w:tcPr>
            <w:tcW w:w="1961" w:type="dxa"/>
            <w:tcBorders>
              <w:bottom w:val="single" w:sz="12" w:space="0" w:color="auto"/>
            </w:tcBorders>
          </w:tcPr>
          <w:p w14:paraId="4013B7A9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b/>
                <w:bCs/>
                <w:color w:val="000000" w:themeColor="text1"/>
                <w:sz w:val="20"/>
                <w:szCs w:val="20"/>
              </w:rPr>
              <w:t>Encoding rule</w:t>
            </w:r>
          </w:p>
        </w:tc>
      </w:tr>
      <w:tr w:rsidR="006E5E18" w14:paraId="490D22D7" w14:textId="77777777" w:rsidTr="00B6660E">
        <w:tc>
          <w:tcPr>
            <w:tcW w:w="1820" w:type="dxa"/>
            <w:tcBorders>
              <w:top w:val="single" w:sz="12" w:space="0" w:color="auto"/>
            </w:tcBorders>
          </w:tcPr>
          <w:p w14:paraId="0A7CA8DC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Assessment confidence </w:t>
            </w:r>
          </w:p>
        </w:tc>
        <w:tc>
          <w:tcPr>
            <w:tcW w:w="1970" w:type="dxa"/>
            <w:tcBorders>
              <w:top w:val="single" w:sz="12" w:space="0" w:color="auto"/>
            </w:tcBorders>
          </w:tcPr>
          <w:p w14:paraId="6B66ADA0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Somatic </w:t>
            </w:r>
          </w:p>
          <w:p w14:paraId="5D1FCBAF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Psychiatric </w:t>
            </w:r>
          </w:p>
        </w:tc>
        <w:tc>
          <w:tcPr>
            <w:tcW w:w="2030" w:type="dxa"/>
            <w:tcBorders>
              <w:top w:val="single" w:sz="12" w:space="0" w:color="auto"/>
            </w:tcBorders>
          </w:tcPr>
          <w:p w14:paraId="27D5DC7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Physicians’ confidence in assessing patients requests for EAS</w:t>
            </w:r>
          </w:p>
        </w:tc>
        <w:tc>
          <w:tcPr>
            <w:tcW w:w="2573" w:type="dxa"/>
            <w:tcBorders>
              <w:top w:val="single" w:sz="12" w:space="0" w:color="auto"/>
            </w:tcBorders>
          </w:tcPr>
          <w:p w14:paraId="52772CD9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"Both my colleague and I hesitated for quite some time. Does she really want this?”</w:t>
            </w:r>
          </w:p>
        </w:tc>
        <w:tc>
          <w:tcPr>
            <w:tcW w:w="1961" w:type="dxa"/>
            <w:tcBorders>
              <w:top w:val="single" w:sz="12" w:space="0" w:color="auto"/>
            </w:tcBorders>
          </w:tcPr>
          <w:p w14:paraId="4100717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Code this when physicians express how confident or uncertain they feel when assessing somatic and psychiatric cases</w:t>
            </w:r>
          </w:p>
        </w:tc>
      </w:tr>
      <w:tr w:rsidR="006E5E18" w14:paraId="659B0948" w14:textId="77777777" w:rsidTr="00B6660E">
        <w:tc>
          <w:tcPr>
            <w:tcW w:w="1820" w:type="dxa"/>
          </w:tcPr>
          <w:p w14:paraId="17FE78A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Decision-making capacity</w:t>
            </w:r>
          </w:p>
        </w:tc>
        <w:tc>
          <w:tcPr>
            <w:tcW w:w="1970" w:type="dxa"/>
          </w:tcPr>
          <w:p w14:paraId="18689E9A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0099494C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139DA9CD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Evaluation of the patient’s decisional competence related to the EAS request.</w:t>
            </w:r>
          </w:p>
        </w:tc>
        <w:tc>
          <w:tcPr>
            <w:tcW w:w="2573" w:type="dxa"/>
          </w:tcPr>
          <w:p w14:paraId="2287D20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“And then I said: yes, then I’ll be there for you but only if you can clearly show that this is what you want, that it’s your choice”</w:t>
            </w:r>
          </w:p>
        </w:tc>
        <w:tc>
          <w:tcPr>
            <w:tcW w:w="1961" w:type="dxa"/>
          </w:tcPr>
          <w:p w14:paraId="4F9015A4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 xml:space="preserve">Apply when the physician discusses the patient’s mental capacity to make an informed decision. </w:t>
            </w:r>
          </w:p>
        </w:tc>
      </w:tr>
      <w:tr w:rsidR="006E5E18" w14:paraId="66FACB4B" w14:textId="77777777" w:rsidTr="00B6660E">
        <w:tc>
          <w:tcPr>
            <w:tcW w:w="1820" w:type="dxa"/>
          </w:tcPr>
          <w:p w14:paraId="07C00971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Emotional burden</w:t>
            </w:r>
          </w:p>
        </w:tc>
        <w:tc>
          <w:tcPr>
            <w:tcW w:w="1970" w:type="dxa"/>
          </w:tcPr>
          <w:p w14:paraId="6D36F84F" w14:textId="77777777" w:rsidR="006E5E18" w:rsidRPr="006E5E18" w:rsidRDefault="006E5E18" w:rsidP="00B6660E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0" w:type="dxa"/>
          </w:tcPr>
          <w:p w14:paraId="70E0DABE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The emotional weight or toll physicians experience due to their involvement in EAS cases.</w:t>
            </w:r>
          </w:p>
        </w:tc>
        <w:tc>
          <w:tcPr>
            <w:tcW w:w="2573" w:type="dxa"/>
          </w:tcPr>
          <w:p w14:paraId="7D34A88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“You have to do it very carefully. But it's also emotionally charged. Because with all the people for whom I’ve performed euthanasia, I developed a connection, we had many conversations, especially about why they wanted it”</w:t>
            </w:r>
          </w:p>
        </w:tc>
        <w:tc>
          <w:tcPr>
            <w:tcW w:w="1961" w:type="dxa"/>
          </w:tcPr>
          <w:p w14:paraId="6832267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Use when the physician discusses the emotional toll or burden they face when handling an EAS requests</w:t>
            </w:r>
          </w:p>
        </w:tc>
      </w:tr>
      <w:tr w:rsidR="006E5E18" w14:paraId="64A44EA7" w14:textId="77777777" w:rsidTr="00B6660E">
        <w:tc>
          <w:tcPr>
            <w:tcW w:w="1820" w:type="dxa"/>
          </w:tcPr>
          <w:p w14:paraId="3E55E63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Empathy</w:t>
            </w:r>
          </w:p>
        </w:tc>
        <w:tc>
          <w:tcPr>
            <w:tcW w:w="1970" w:type="dxa"/>
          </w:tcPr>
          <w:p w14:paraId="006CDFDD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6BD4D0A3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5E54F5A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Emotional sensitivity or compassion expressed by the physician in EAS-related care.</w:t>
            </w:r>
          </w:p>
        </w:tc>
        <w:tc>
          <w:tcPr>
            <w:tcW w:w="2573" w:type="dxa"/>
          </w:tcPr>
          <w:p w14:paraId="7C5FDC9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 xml:space="preserve">“Who also sees himself failing in his physical self-care. Who notices that he sometimes can’t find the toilet. And then you really experience the suffering caused by this mental disorder. That’s when it becomes very </w:t>
            </w: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  <w:lang w:val="en"/>
              </w:rPr>
              <w:t>palpable”</w:t>
            </w:r>
          </w:p>
        </w:tc>
        <w:tc>
          <w:tcPr>
            <w:tcW w:w="1961" w:type="dxa"/>
          </w:tcPr>
          <w:p w14:paraId="049F0C3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Tag when physicians express empathy or relate to the patients EAS requests </w:t>
            </w:r>
          </w:p>
        </w:tc>
      </w:tr>
      <w:tr w:rsidR="006E5E18" w14:paraId="77CC71C5" w14:textId="77777777" w:rsidTr="00B6660E">
        <w:tc>
          <w:tcPr>
            <w:tcW w:w="1820" w:type="dxa"/>
          </w:tcPr>
          <w:p w14:paraId="0E6A511C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Ethical considerations</w:t>
            </w:r>
          </w:p>
        </w:tc>
        <w:tc>
          <w:tcPr>
            <w:tcW w:w="1970" w:type="dxa"/>
          </w:tcPr>
          <w:p w14:paraId="1FB65CFD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321A2A21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30CF141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Mentions of moral or ethical conflicts that arise in the context of EAS decision-making.</w:t>
            </w:r>
          </w:p>
        </w:tc>
        <w:tc>
          <w:tcPr>
            <w:tcW w:w="2573" w:type="dxa"/>
          </w:tcPr>
          <w:p w14:paraId="1343C4D4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“When it comes to psychiatric disorders or dementia, I find the ethical part difficult”</w:t>
            </w:r>
          </w:p>
        </w:tc>
        <w:tc>
          <w:tcPr>
            <w:tcW w:w="1961" w:type="dxa"/>
          </w:tcPr>
          <w:p w14:paraId="29E2AB2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Apply to passages where moral dilemmas or ethical considerations are mentioned.</w:t>
            </w:r>
          </w:p>
        </w:tc>
      </w:tr>
      <w:tr w:rsidR="006E5E18" w14:paraId="59708194" w14:textId="77777777" w:rsidTr="00B6660E">
        <w:tc>
          <w:tcPr>
            <w:tcW w:w="1820" w:type="dxa"/>
          </w:tcPr>
          <w:p w14:paraId="79358FC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Experience</w:t>
            </w:r>
          </w:p>
        </w:tc>
        <w:tc>
          <w:tcPr>
            <w:tcW w:w="1970" w:type="dxa"/>
          </w:tcPr>
          <w:p w14:paraId="16D9667D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2D3D8EDF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2D9EC31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Reflections on professional experience with EAS requests.</w:t>
            </w:r>
          </w:p>
        </w:tc>
        <w:tc>
          <w:tcPr>
            <w:tcW w:w="2573" w:type="dxa"/>
          </w:tcPr>
          <w:p w14:paraId="3EAF77DD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“So far, I’ve personally performed euthanasia once for a patient suffering psychologically, and I found it very complex”</w:t>
            </w:r>
          </w:p>
        </w:tc>
        <w:tc>
          <w:tcPr>
            <w:tcW w:w="1961" w:type="dxa"/>
          </w:tcPr>
          <w:p w14:paraId="6C9634B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Use when physicians reflect on their practical experience with EAS requests.</w:t>
            </w:r>
          </w:p>
        </w:tc>
      </w:tr>
      <w:tr w:rsidR="006E5E18" w14:paraId="1477859C" w14:textId="77777777" w:rsidTr="00B6660E">
        <w:tc>
          <w:tcPr>
            <w:tcW w:w="1820" w:type="dxa"/>
          </w:tcPr>
          <w:p w14:paraId="4C2800C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Family involvement</w:t>
            </w:r>
          </w:p>
        </w:tc>
        <w:tc>
          <w:tcPr>
            <w:tcW w:w="1970" w:type="dxa"/>
          </w:tcPr>
          <w:p w14:paraId="35B2AF5B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22FE0077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056496D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Involvement of family members in the process, including their influence on decisions.</w:t>
            </w:r>
          </w:p>
        </w:tc>
        <w:tc>
          <w:tcPr>
            <w:tcW w:w="2573" w:type="dxa"/>
          </w:tcPr>
          <w:p w14:paraId="7EFCA0FB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“Usually, the family cooperates, but they’re not quite ready yet”</w:t>
            </w:r>
          </w:p>
        </w:tc>
        <w:tc>
          <w:tcPr>
            <w:tcW w:w="1961" w:type="dxa"/>
          </w:tcPr>
          <w:p w14:paraId="3CB8B15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Code when the role of family members is mentioned within the EAS process</w:t>
            </w:r>
          </w:p>
        </w:tc>
      </w:tr>
      <w:tr w:rsidR="006E5E18" w14:paraId="16233C16" w14:textId="77777777" w:rsidTr="00B6660E">
        <w:tc>
          <w:tcPr>
            <w:tcW w:w="1820" w:type="dxa"/>
          </w:tcPr>
          <w:p w14:paraId="484D7DF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Guideline use</w:t>
            </w:r>
          </w:p>
        </w:tc>
        <w:tc>
          <w:tcPr>
            <w:tcW w:w="1970" w:type="dxa"/>
          </w:tcPr>
          <w:p w14:paraId="5FE5A9AB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08AAEF86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20B3987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Use and clarity of official guidelines relevant within the EAS decision-making process</w:t>
            </w:r>
          </w:p>
        </w:tc>
        <w:tc>
          <w:tcPr>
            <w:tcW w:w="2573" w:type="dxa"/>
          </w:tcPr>
          <w:p w14:paraId="24ECA3DC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Pr="006E5E18">
              <w:rPr>
                <w:rFonts w:ascii="New times roman" w:hAnsi="New times roman"/>
                <w:sz w:val="20"/>
                <w:szCs w:val="20"/>
              </w:rPr>
              <w:t xml:space="preserve"> </w:t>
            </w: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So in that case, I find the guideline that the Association for Psychiatry wants to implement actually too strict”</w:t>
            </w:r>
          </w:p>
        </w:tc>
        <w:tc>
          <w:tcPr>
            <w:tcW w:w="1961" w:type="dxa"/>
          </w:tcPr>
          <w:p w14:paraId="2557033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Apply when physicians refer to official guidelines or their clarity/usefulness.</w:t>
            </w:r>
          </w:p>
        </w:tc>
      </w:tr>
      <w:tr w:rsidR="006E5E18" w14:paraId="68AF1C1D" w14:textId="77777777" w:rsidTr="00B6660E">
        <w:tc>
          <w:tcPr>
            <w:tcW w:w="1820" w:type="dxa"/>
          </w:tcPr>
          <w:p w14:paraId="60C4C91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Influence of patients characteristics</w:t>
            </w:r>
          </w:p>
        </w:tc>
        <w:tc>
          <w:tcPr>
            <w:tcW w:w="1970" w:type="dxa"/>
          </w:tcPr>
          <w:p w14:paraId="78629067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784AA997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Psychiatric </w:t>
            </w:r>
          </w:p>
        </w:tc>
        <w:tc>
          <w:tcPr>
            <w:tcW w:w="2030" w:type="dxa"/>
          </w:tcPr>
          <w:p w14:paraId="6358EE8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How patient-specific traits affect the physician's decision.</w:t>
            </w:r>
          </w:p>
        </w:tc>
        <w:tc>
          <w:tcPr>
            <w:tcW w:w="2573" w:type="dxa"/>
          </w:tcPr>
          <w:p w14:paraId="65C3A7CD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Pr="006E5E18">
              <w:rPr>
                <w:rFonts w:ascii="New times roman" w:hAnsi="New times roman"/>
                <w:sz w:val="20"/>
                <w:szCs w:val="20"/>
              </w:rPr>
              <w:t xml:space="preserve"> </w:t>
            </w: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 xml:space="preserve">And it’s not just because it’s psychiatry—if she were fifty, with her entire history, it would already be different. But someone that young... I couldn’t bring myself to end her life, </w:t>
            </w: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lastRenderedPageBreak/>
              <w:t>because that’s what you’re doing”</w:t>
            </w:r>
          </w:p>
        </w:tc>
        <w:tc>
          <w:tcPr>
            <w:tcW w:w="1961" w:type="dxa"/>
          </w:tcPr>
          <w:p w14:paraId="1E095FDB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lastRenderedPageBreak/>
              <w:t>Code when physicians discuss patients characteristics that influenced their decision</w:t>
            </w:r>
          </w:p>
        </w:tc>
      </w:tr>
      <w:tr w:rsidR="006E5E18" w14:paraId="7DAFA488" w14:textId="77777777" w:rsidTr="00B6660E">
        <w:tc>
          <w:tcPr>
            <w:tcW w:w="1820" w:type="dxa"/>
          </w:tcPr>
          <w:p w14:paraId="20D67049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Knowledge gap</w:t>
            </w:r>
          </w:p>
        </w:tc>
        <w:tc>
          <w:tcPr>
            <w:tcW w:w="1970" w:type="dxa"/>
          </w:tcPr>
          <w:p w14:paraId="5D9E5BA3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1F2E621F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5176F3F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Lack of knowledge, uncertainty, or insufficient training in assessing or handling EAS cases.</w:t>
            </w:r>
          </w:p>
        </w:tc>
        <w:tc>
          <w:tcPr>
            <w:tcW w:w="2573" w:type="dxa"/>
          </w:tcPr>
          <w:p w14:paraId="5B790C4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"And in that, I—at least—really need the expertise of a psychiatrist to help assess the situation. To understand: what stems from the illness, and what stems from the wish to die, the desire to no longer live this life? And what, if anything, is still treatable in that?”</w:t>
            </w:r>
          </w:p>
        </w:tc>
        <w:tc>
          <w:tcPr>
            <w:tcW w:w="1961" w:type="dxa"/>
          </w:tcPr>
          <w:p w14:paraId="4DD84A8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Apply when physicians state or indicate they lack knowledge to evaluate the EAS requests </w:t>
            </w:r>
          </w:p>
        </w:tc>
      </w:tr>
      <w:tr w:rsidR="006E5E18" w14:paraId="25AA22C0" w14:textId="77777777" w:rsidTr="00B6660E">
        <w:tc>
          <w:tcPr>
            <w:tcW w:w="1820" w:type="dxa"/>
          </w:tcPr>
          <w:p w14:paraId="5647FBE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Legal concerns </w:t>
            </w:r>
          </w:p>
        </w:tc>
        <w:tc>
          <w:tcPr>
            <w:tcW w:w="1970" w:type="dxa"/>
          </w:tcPr>
          <w:p w14:paraId="2297A88F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2F2A2F0C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Psychiatric </w:t>
            </w:r>
          </w:p>
        </w:tc>
        <w:tc>
          <w:tcPr>
            <w:tcW w:w="2030" w:type="dxa"/>
          </w:tcPr>
          <w:p w14:paraId="005BA29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Concerns about possible legal consequences or risks of participating in EAS.</w:t>
            </w:r>
          </w:p>
        </w:tc>
        <w:tc>
          <w:tcPr>
            <w:tcW w:w="2573" w:type="dxa"/>
          </w:tcPr>
          <w:p w14:paraId="56789241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“I find psychiatry more difficult. Because it’s possible that, if you did it right, you still have to stand before a court”</w:t>
            </w:r>
          </w:p>
        </w:tc>
        <w:tc>
          <w:tcPr>
            <w:tcW w:w="1961" w:type="dxa"/>
          </w:tcPr>
          <w:p w14:paraId="6A8FB1F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Use when physicians indicate they fear legal consequences if/when participating in EAS</w:t>
            </w:r>
          </w:p>
        </w:tc>
      </w:tr>
      <w:tr w:rsidR="006E5E18" w14:paraId="0B845B24" w14:textId="77777777" w:rsidTr="00B6660E">
        <w:tc>
          <w:tcPr>
            <w:tcW w:w="1820" w:type="dxa"/>
          </w:tcPr>
          <w:p w14:paraId="0B03DC1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No treatment options left </w:t>
            </w:r>
          </w:p>
        </w:tc>
        <w:tc>
          <w:tcPr>
            <w:tcW w:w="1970" w:type="dxa"/>
          </w:tcPr>
          <w:p w14:paraId="2E1E5A7C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5D820682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Psychiatric </w:t>
            </w:r>
          </w:p>
        </w:tc>
        <w:tc>
          <w:tcPr>
            <w:tcW w:w="2030" w:type="dxa"/>
          </w:tcPr>
          <w:p w14:paraId="6040A3A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Mentions of assessing whether all treatment options have been tried</w:t>
            </w:r>
          </w:p>
        </w:tc>
        <w:tc>
          <w:tcPr>
            <w:tcW w:w="2573" w:type="dxa"/>
          </w:tcPr>
          <w:p w14:paraId="2AD35C9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“What I find challenging is that determining whether something is still treatable or truly hopeless is often harder to objectify in psychiatry”</w:t>
            </w:r>
          </w:p>
        </w:tc>
        <w:tc>
          <w:tcPr>
            <w:tcW w:w="1961" w:type="dxa"/>
          </w:tcPr>
          <w:p w14:paraId="0993F0A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Apply to comments regarding treatment exclusion </w:t>
            </w:r>
          </w:p>
        </w:tc>
      </w:tr>
      <w:tr w:rsidR="006E5E18" w14:paraId="2F7E24B9" w14:textId="77777777" w:rsidTr="00B6660E">
        <w:tc>
          <w:tcPr>
            <w:tcW w:w="1820" w:type="dxa"/>
          </w:tcPr>
          <w:p w14:paraId="6FA91C1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Pressure in decision making</w:t>
            </w:r>
          </w:p>
        </w:tc>
        <w:tc>
          <w:tcPr>
            <w:tcW w:w="1970" w:type="dxa"/>
          </w:tcPr>
          <w:p w14:paraId="45A7780B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44B5282B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74D2E23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Feelings of external pressure from patients, families, colleagues, or societal expectations.</w:t>
            </w:r>
          </w:p>
        </w:tc>
        <w:tc>
          <w:tcPr>
            <w:tcW w:w="2573" w:type="dxa"/>
          </w:tcPr>
          <w:p w14:paraId="593D6E10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And if someone is indeed in the final stage—like with a brain tumour—drowsy and no longer able to clearly express what they want, then you’ve basically passed the point where euthanasia is still possible. Once, under pressure from the family, I still called in the SCEN physician, but after speaking with the patient, they said: ‘This lady can no longer independently express what she wants. We cannot proceed with euthanasia in this case.</w:t>
            </w:r>
          </w:p>
        </w:tc>
        <w:tc>
          <w:tcPr>
            <w:tcW w:w="1961" w:type="dxa"/>
          </w:tcPr>
          <w:p w14:paraId="24B42F0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eastAsia="MS Mincho" w:hAnsi="New times roman" w:cs="Times New Roman"/>
                <w:sz w:val="20"/>
                <w:szCs w:val="20"/>
                <w:lang w:val="en-US"/>
              </w:rPr>
              <w:t>Apply when external pressures (from family, colleagues, etc.) are described.</w:t>
            </w:r>
          </w:p>
        </w:tc>
      </w:tr>
      <w:tr w:rsidR="006E5E18" w:rsidRPr="00A936FE" w14:paraId="1437E48B" w14:textId="77777777" w:rsidTr="00B6660E">
        <w:tc>
          <w:tcPr>
            <w:tcW w:w="1820" w:type="dxa"/>
          </w:tcPr>
          <w:p w14:paraId="1553919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Preventive consultations</w:t>
            </w:r>
          </w:p>
        </w:tc>
        <w:tc>
          <w:tcPr>
            <w:tcW w:w="1970" w:type="dxa"/>
          </w:tcPr>
          <w:p w14:paraId="42062E0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0" w:type="dxa"/>
          </w:tcPr>
          <w:p w14:paraId="0220449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This refers to situations where patients ask about euthanasia even before they are in a critical or terminal stage of illness.</w:t>
            </w:r>
          </w:p>
        </w:tc>
        <w:tc>
          <w:tcPr>
            <w:tcW w:w="2573" w:type="dxa"/>
          </w:tcPr>
          <w:p w14:paraId="2AF344D8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“” People ask, sometimes when they are still very healthy, "Well, would you do that as a doctor?"</w:t>
            </w:r>
          </w:p>
          <w:p w14:paraId="51A4E7F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961" w:type="dxa"/>
          </w:tcPr>
          <w:p w14:paraId="3E63C2E0" w14:textId="77777777" w:rsidR="006E5E18" w:rsidRPr="006E5E18" w:rsidRDefault="006E5E18" w:rsidP="00B6660E">
            <w:pPr>
              <w:spacing w:line="256" w:lineRule="auto"/>
              <w:rPr>
                <w:rFonts w:ascii="New times roman" w:eastAsia="MS Mincho" w:hAnsi="New times roman" w:cs="Times New Roman" w:hint="eastAsia"/>
                <w:sz w:val="20"/>
                <w:szCs w:val="20"/>
              </w:rPr>
            </w:pPr>
            <w:r w:rsidRPr="006E5E18">
              <w:rPr>
                <w:rFonts w:ascii="New times roman" w:eastAsia="MS Mincho" w:hAnsi="New times roman" w:cs="Times New Roman"/>
                <w:sz w:val="20"/>
                <w:szCs w:val="20"/>
              </w:rPr>
              <w:t>Code when GP describes that a patient asked for EAS while not being seriously sick or terminall</w:t>
            </w:r>
            <w:r w:rsidRPr="006E5E18">
              <w:rPr>
                <w:rFonts w:ascii="New times roman" w:eastAsia="MS Mincho" w:hAnsi="New times roman" w:cs="Times New Roman" w:hint="eastAsia"/>
                <w:sz w:val="20"/>
                <w:szCs w:val="20"/>
              </w:rPr>
              <w:t>y</w:t>
            </w:r>
            <w:r w:rsidRPr="006E5E18">
              <w:rPr>
                <w:rFonts w:ascii="New times roman" w:eastAsia="MS Mincho" w:hAnsi="New times roman" w:cs="Times New Roman"/>
                <w:sz w:val="20"/>
                <w:szCs w:val="20"/>
              </w:rPr>
              <w:t xml:space="preserve"> ill.</w:t>
            </w:r>
          </w:p>
        </w:tc>
      </w:tr>
      <w:tr w:rsidR="006E5E18" w14:paraId="0934DF9D" w14:textId="77777777" w:rsidTr="00B6660E">
        <w:tc>
          <w:tcPr>
            <w:tcW w:w="1820" w:type="dxa"/>
          </w:tcPr>
          <w:p w14:paraId="3F4761D1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Process time</w:t>
            </w:r>
          </w:p>
        </w:tc>
        <w:tc>
          <w:tcPr>
            <w:tcW w:w="1970" w:type="dxa"/>
          </w:tcPr>
          <w:p w14:paraId="3080670B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48FDDBD9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4DE7FF4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eastAsia="MS Mincho" w:hAnsi="New times roman" w:cs="Times New Roman"/>
                <w:sz w:val="20"/>
                <w:szCs w:val="20"/>
                <w:lang w:val="en-US"/>
              </w:rPr>
              <w:t>Time-related factors in the EAS decision process, including prolonged procedures or evaluations.</w:t>
            </w:r>
          </w:p>
        </w:tc>
        <w:tc>
          <w:tcPr>
            <w:tcW w:w="2573" w:type="dxa"/>
          </w:tcPr>
          <w:p w14:paraId="583932C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“To explore that thoroughly within a psychiatric case, you need an enormous amount of time”</w:t>
            </w:r>
          </w:p>
        </w:tc>
        <w:tc>
          <w:tcPr>
            <w:tcW w:w="1961" w:type="dxa"/>
          </w:tcPr>
          <w:p w14:paraId="255D593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  <w:t>Apply when time-related aspects of the process are discussed (e.g. delays, length).</w:t>
            </w:r>
          </w:p>
        </w:tc>
      </w:tr>
      <w:tr w:rsidR="006E5E18" w14:paraId="05A0BEE8" w14:textId="77777777" w:rsidTr="00B6660E">
        <w:tc>
          <w:tcPr>
            <w:tcW w:w="1820" w:type="dxa"/>
          </w:tcPr>
          <w:p w14:paraId="4C733FD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lastRenderedPageBreak/>
              <w:t xml:space="preserve">Professional boundaries </w:t>
            </w:r>
          </w:p>
        </w:tc>
        <w:tc>
          <w:tcPr>
            <w:tcW w:w="1970" w:type="dxa"/>
          </w:tcPr>
          <w:p w14:paraId="7C64B840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  <w:p w14:paraId="3EFD6257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</w:tc>
        <w:tc>
          <w:tcPr>
            <w:tcW w:w="2030" w:type="dxa"/>
          </w:tcPr>
          <w:p w14:paraId="19B27D7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Where physicians draw the line within the EAS process</w:t>
            </w:r>
          </w:p>
        </w:tc>
        <w:tc>
          <w:tcPr>
            <w:tcW w:w="2573" w:type="dxa"/>
          </w:tcPr>
          <w:p w14:paraId="6F83501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“When people ask about euthanasia and they’re not in the terminal stage of an illness—when the question is more like, ‘I'm in the early stages of dementia and I want euthanasia’—then I say no”</w:t>
            </w:r>
          </w:p>
        </w:tc>
        <w:tc>
          <w:tcPr>
            <w:tcW w:w="1961" w:type="dxa"/>
          </w:tcPr>
          <w:p w14:paraId="1BA4356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Code any segment where the physicians discuss that they are not willing to cooperate within the process </w:t>
            </w:r>
          </w:p>
        </w:tc>
      </w:tr>
      <w:tr w:rsidR="006E5E18" w14:paraId="49AD01ED" w14:textId="77777777" w:rsidTr="00B6660E">
        <w:tc>
          <w:tcPr>
            <w:tcW w:w="1820" w:type="dxa"/>
          </w:tcPr>
          <w:p w14:paraId="02C876A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eastAsia="MS Mincho" w:hAnsi="New times roman" w:cs="Times New Roman"/>
                <w:sz w:val="20"/>
                <w:szCs w:val="20"/>
                <w:lang w:val="en-US"/>
              </w:rPr>
              <w:t>Psychopathology Influence</w:t>
            </w:r>
          </w:p>
        </w:tc>
        <w:tc>
          <w:tcPr>
            <w:tcW w:w="1970" w:type="dxa"/>
          </w:tcPr>
          <w:p w14:paraId="5F7C396F" w14:textId="77777777" w:rsidR="006E5E18" w:rsidRPr="006E5E18" w:rsidRDefault="006E5E18" w:rsidP="00B6660E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0" w:type="dxa"/>
          </w:tcPr>
          <w:p w14:paraId="3BB4389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Influence of a patient’s psychiatric condition making it harder to evaluate the EAS request</w:t>
            </w:r>
          </w:p>
        </w:tc>
        <w:tc>
          <w:tcPr>
            <w:tcW w:w="2573" w:type="dxa"/>
          </w:tcPr>
          <w:p w14:paraId="0BEB942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“I currently have some psychiatric patients who have made a request. But what I find difficult is that I’m not a psychiatrist. So I can’t really judge whether that wish stems from a depression, a personality disorder, or from an inability to cope that’s part of their condition”</w:t>
            </w:r>
          </w:p>
        </w:tc>
        <w:tc>
          <w:tcPr>
            <w:tcW w:w="1961" w:type="dxa"/>
          </w:tcPr>
          <w:p w14:paraId="679E9452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  <w:t>Use when psychiatric symptoms influence the evaluation of the EAS request.</w:t>
            </w:r>
          </w:p>
        </w:tc>
      </w:tr>
      <w:tr w:rsidR="006E5E18" w14:paraId="47E444D3" w14:textId="77777777" w:rsidTr="00B6660E">
        <w:tc>
          <w:tcPr>
            <w:tcW w:w="1820" w:type="dxa"/>
          </w:tcPr>
          <w:p w14:paraId="0D2FCFC5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Referral behaviour </w:t>
            </w:r>
          </w:p>
        </w:tc>
        <w:tc>
          <w:tcPr>
            <w:tcW w:w="1970" w:type="dxa"/>
          </w:tcPr>
          <w:p w14:paraId="7E4276E7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56D880EA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4AD67ABB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Referring patients to expertise center or other physicians with their EAS requests</w:t>
            </w:r>
          </w:p>
        </w:tc>
        <w:tc>
          <w:tcPr>
            <w:tcW w:w="2573" w:type="dxa"/>
          </w:tcPr>
          <w:p w14:paraId="212F3D1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“Also a few people with psychological problems. In those cases, I couldn’t or didn’t want to carry it out myself, so I referred them to the Expert Centre for Euthanasia”</w:t>
            </w:r>
          </w:p>
        </w:tc>
        <w:tc>
          <w:tcPr>
            <w:tcW w:w="1961" w:type="dxa"/>
          </w:tcPr>
          <w:p w14:paraId="2C475713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Code when physician mentions they referred a patient with an EAS request</w:t>
            </w:r>
          </w:p>
        </w:tc>
      </w:tr>
      <w:tr w:rsidR="006E5E18" w14:paraId="1C61AE05" w14:textId="77777777" w:rsidTr="00B6660E">
        <w:tc>
          <w:tcPr>
            <w:tcW w:w="1820" w:type="dxa"/>
          </w:tcPr>
          <w:p w14:paraId="1B31331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Suffering assessment</w:t>
            </w:r>
          </w:p>
        </w:tc>
        <w:tc>
          <w:tcPr>
            <w:tcW w:w="1970" w:type="dxa"/>
          </w:tcPr>
          <w:p w14:paraId="4981A410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Somatic</w:t>
            </w:r>
          </w:p>
          <w:p w14:paraId="0D7FE82F" w14:textId="77777777" w:rsidR="006E5E18" w:rsidRPr="006E5E18" w:rsidRDefault="006E5E18" w:rsidP="00B6660E">
            <w:pPr>
              <w:pStyle w:val="ListParagraph"/>
              <w:numPr>
                <w:ilvl w:val="0"/>
                <w:numId w:val="1"/>
              </w:num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>Psychiatric</w:t>
            </w:r>
          </w:p>
        </w:tc>
        <w:tc>
          <w:tcPr>
            <w:tcW w:w="2030" w:type="dxa"/>
          </w:tcPr>
          <w:p w14:paraId="7EFB1BE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 xml:space="preserve">How unbearable suffering is assessed or interpretated </w:t>
            </w:r>
          </w:p>
        </w:tc>
        <w:tc>
          <w:tcPr>
            <w:tcW w:w="2573" w:type="dxa"/>
          </w:tcPr>
          <w:p w14:paraId="026A5C0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“In other words, psychiatric suffering is more complex in that it's harder to determine compared to most somatic conditions”</w:t>
            </w:r>
          </w:p>
        </w:tc>
        <w:tc>
          <w:tcPr>
            <w:tcW w:w="1961" w:type="dxa"/>
          </w:tcPr>
          <w:p w14:paraId="4559AD7F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  <w:t>Use when suffering is assessed or described,</w:t>
            </w:r>
          </w:p>
        </w:tc>
      </w:tr>
      <w:tr w:rsidR="006E5E18" w14:paraId="11363FE5" w14:textId="77777777" w:rsidTr="00B6660E">
        <w:tc>
          <w:tcPr>
            <w:tcW w:w="1820" w:type="dxa"/>
          </w:tcPr>
          <w:p w14:paraId="6A5DA7DE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</w:rPr>
              <w:t xml:space="preserve">Support second physician </w:t>
            </w:r>
          </w:p>
        </w:tc>
        <w:tc>
          <w:tcPr>
            <w:tcW w:w="1970" w:type="dxa"/>
          </w:tcPr>
          <w:p w14:paraId="25FDD661" w14:textId="77777777" w:rsidR="006E5E18" w:rsidRPr="006E5E18" w:rsidRDefault="006E5E18" w:rsidP="00B6660E">
            <w:pPr>
              <w:pStyle w:val="ListParagraph"/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30" w:type="dxa"/>
          </w:tcPr>
          <w:p w14:paraId="1615FBD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  <w:r w:rsidRPr="006E5E18"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  <w:t>In general expressing needing a second physician for support within the EAS process</w:t>
            </w:r>
          </w:p>
          <w:p w14:paraId="646B2E36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</w:p>
          <w:p w14:paraId="7ED8B5EA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573" w:type="dxa"/>
          </w:tcPr>
          <w:p w14:paraId="5AC7CC37" w14:textId="77777777" w:rsidR="006E5E18" w:rsidRPr="006E5E18" w:rsidRDefault="006E5E18" w:rsidP="00B6660E">
            <w:pPr>
              <w:spacing w:line="256" w:lineRule="auto"/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</w:pPr>
            <w:r w:rsidRPr="006E5E18">
              <w:rPr>
                <w:rFonts w:ascii="New times roman" w:hAnsi="New times roman"/>
                <w:i/>
                <w:iCs/>
                <w:color w:val="000000" w:themeColor="text1"/>
                <w:sz w:val="20"/>
                <w:szCs w:val="20"/>
              </w:rPr>
              <w:t>So that does mean that the path you follow is, let’s say, less standardized, and that I would also end up asking more people around me in such a situation and would need to seek the expertise of others</w:t>
            </w:r>
          </w:p>
        </w:tc>
        <w:tc>
          <w:tcPr>
            <w:tcW w:w="1961" w:type="dxa"/>
          </w:tcPr>
          <w:p w14:paraId="3DF23DB6" w14:textId="77777777" w:rsidR="006E5E18" w:rsidRPr="006E5E18" w:rsidRDefault="006E5E18" w:rsidP="00B6660E">
            <w:pPr>
              <w:spacing w:line="256" w:lineRule="auto"/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</w:pPr>
            <w:r w:rsidRPr="006E5E18">
              <w:rPr>
                <w:rFonts w:ascii="Cambria" w:eastAsia="MS Mincho" w:hAnsi="Cambria" w:cs="Times New Roman"/>
                <w:sz w:val="20"/>
                <w:szCs w:val="20"/>
                <w:lang w:val="en-US"/>
              </w:rPr>
              <w:t>Use when need for second physician in either performing or evaluating in mentioned</w:t>
            </w:r>
          </w:p>
        </w:tc>
      </w:tr>
    </w:tbl>
    <w:p w14:paraId="79554526" w14:textId="77777777" w:rsidR="00DB448E" w:rsidRDefault="00DB448E"/>
    <w:sectPr w:rsidR="00DB448E" w:rsidSect="006F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times roman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612DD"/>
    <w:multiLevelType w:val="multilevel"/>
    <w:tmpl w:val="DB0E3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D53349"/>
    <w:multiLevelType w:val="hybridMultilevel"/>
    <w:tmpl w:val="B640398C"/>
    <w:lvl w:ilvl="0" w:tplc="9E629F16">
      <w:start w:val="11"/>
      <w:numFmt w:val="bullet"/>
      <w:lvlText w:val="-"/>
      <w:lvlJc w:val="left"/>
      <w:pPr>
        <w:ind w:left="720" w:hanging="360"/>
      </w:pPr>
      <w:rPr>
        <w:rFonts w:ascii="New times roman" w:eastAsiaTheme="minorHAnsi" w:hAnsi="New times roman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841825">
    <w:abstractNumId w:val="0"/>
  </w:num>
  <w:num w:numId="2" w16cid:durableId="11797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E18"/>
    <w:rsid w:val="002300BF"/>
    <w:rsid w:val="00604DDB"/>
    <w:rsid w:val="006E115A"/>
    <w:rsid w:val="006E5E18"/>
    <w:rsid w:val="006F37DF"/>
    <w:rsid w:val="009C5C69"/>
    <w:rsid w:val="00B6660E"/>
    <w:rsid w:val="00CF1E86"/>
    <w:rsid w:val="00DB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E8E3A"/>
  <w15:chartTrackingRefBased/>
  <w15:docId w15:val="{CCDF668B-B417-4559-97BA-3A838A18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5E18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5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E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E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E1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E1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E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E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E1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E5E18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esmee jenniskens</dc:creator>
  <cp:keywords/>
  <dc:description/>
  <cp:lastModifiedBy>esmee jenniskens</cp:lastModifiedBy>
  <cp:revision>2</cp:revision>
  <dcterms:created xsi:type="dcterms:W3CDTF">2025-07-17T14:01:00Z</dcterms:created>
  <dcterms:modified xsi:type="dcterms:W3CDTF">2025-07-17T14:01:00Z</dcterms:modified>
</cp:coreProperties>
</file>