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5133B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  <w:r w:rsidRPr="009A2E75">
        <w:rPr>
          <w:rFonts w:ascii="Times New Roman" w:hAnsi="Times New Roman" w:cs="Times New Roman"/>
          <w:sz w:val="20"/>
          <w:szCs w:val="20"/>
        </w:rPr>
        <w:t>Table 1 The values of various biotic and abiotic variables measured at surface, deep chlorophyll a maximum (DCM), 200 m, and 500m waters in the present study. Abbreviations used: viral abundance (VA), bacterial abundance (BA), virus to bacteria ratio (VBR), viral production (VP), rate of lysed bacterial cells (RLC), Virus-mediated mortality (VMM) and its effect on carbon.</w:t>
      </w:r>
    </w:p>
    <w:p w14:paraId="19CFA1AE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  <w:r w:rsidRPr="009A2E75">
        <w:rPr>
          <w:rFonts w:ascii="Times New Roman" w:hAnsi="Times New Roman" w:cs="Times New Roman"/>
          <w:sz w:val="20"/>
          <w:szCs w:val="20"/>
        </w:rPr>
        <w:t>a: Burst size as determined for oligotrophic waters (burst size = 15; Hwang and Cho 2002).</w:t>
      </w:r>
    </w:p>
    <w:p w14:paraId="4D7A46E8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  <w:r w:rsidRPr="009A2E75">
        <w:rPr>
          <w:rFonts w:ascii="Times New Roman" w:hAnsi="Times New Roman" w:cs="Times New Roman"/>
          <w:sz w:val="20"/>
          <w:szCs w:val="20"/>
        </w:rPr>
        <w:t xml:space="preserve">b: Bacterial carbon conversion factors are based on 20 fg C carbon content of oceanic bacteria (Lee and Fuhrman 1987). </w:t>
      </w:r>
    </w:p>
    <w:p w14:paraId="66FF230C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</w:p>
    <w:p w14:paraId="64F06B5C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</w:p>
    <w:p w14:paraId="765386C1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</w:p>
    <w:p w14:paraId="7D658E40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</w:p>
    <w:p w14:paraId="3C0F1C12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  <w:r w:rsidRPr="009A2E75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0" distR="0" simplePos="0" relativeHeight="251659264" behindDoc="0" locked="0" layoutInCell="1" allowOverlap="0" wp14:anchorId="0E0B3913" wp14:editId="451240B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804000" cy="3585600"/>
            <wp:effectExtent l="8890" t="0" r="6350" b="6350"/>
            <wp:wrapSquare wrapText="bothSides"/>
            <wp:docPr id="1" name="圖片 1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A table with numbers and symbo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804000" cy="358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B4AAE5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  <w:r w:rsidRPr="009A2E75">
        <w:rPr>
          <w:rFonts w:ascii="Times New Roman" w:hAnsi="Times New Roman" w:cs="Times New Roman"/>
          <w:sz w:val="20"/>
          <w:szCs w:val="20"/>
        </w:rPr>
        <w:t xml:space="preserve">        </w:t>
      </w:r>
    </w:p>
    <w:p w14:paraId="700CCA30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</w:p>
    <w:p w14:paraId="35B579B7" w14:textId="77777777" w:rsidR="00A26CD2" w:rsidRPr="009A2E75" w:rsidRDefault="00A26CD2" w:rsidP="00A26CD2">
      <w:pPr>
        <w:rPr>
          <w:rFonts w:ascii="Times New Roman" w:hAnsi="Times New Roman" w:cs="Times New Roman"/>
          <w:sz w:val="20"/>
          <w:szCs w:val="20"/>
        </w:rPr>
      </w:pPr>
    </w:p>
    <w:p w14:paraId="7A4264D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CD2"/>
    <w:rsid w:val="002E281E"/>
    <w:rsid w:val="003201BB"/>
    <w:rsid w:val="00427637"/>
    <w:rsid w:val="00865217"/>
    <w:rsid w:val="00A2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102FF"/>
  <w15:chartTrackingRefBased/>
  <w15:docId w15:val="{96D65FC0-32E9-4171-8480-6197FD83E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CD2"/>
    <w:pPr>
      <w:spacing w:after="0" w:line="480" w:lineRule="auto"/>
      <w:jc w:val="both"/>
    </w:pPr>
    <w:rPr>
      <w:rFonts w:eastAsiaTheme="minorEastAsia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6CD2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CD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CD2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CD2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CD2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CD2"/>
    <w:pPr>
      <w:keepNext/>
      <w:keepLines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CD2"/>
    <w:pPr>
      <w:keepNext/>
      <w:keepLines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CD2"/>
    <w:pPr>
      <w:keepNext/>
      <w:keepLines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CD2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C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C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C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C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C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C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C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C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C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CD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6C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CD2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6C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CD2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6C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CD2"/>
    <w:pPr>
      <w:spacing w:after="160" w:line="278" w:lineRule="auto"/>
      <w:ind w:left="720"/>
      <w:contextualSpacing/>
      <w:jc w:val="left"/>
    </w:pPr>
    <w:rPr>
      <w:rFonts w:eastAsiaTheme="minorHAns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6C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C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C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C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514</Characters>
  <Application>Microsoft Office Word</Application>
  <DocSecurity>0</DocSecurity>
  <Lines>4</Lines>
  <Paragraphs>1</Paragraphs>
  <ScaleCrop>false</ScaleCrop>
  <Company>Springer Nature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2025-07-28T12:45:00Z</dcterms:created>
  <dcterms:modified xsi:type="dcterms:W3CDTF">2025-07-28T12:46:00Z</dcterms:modified>
</cp:coreProperties>
</file>