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42954" w:rsidRDefault="00000000">
      <w:pPr>
        <w:pStyle w:val="Heading1"/>
      </w:pPr>
      <w:bookmarkStart w:id="0" w:name="_gjdgxs" w:colFirst="0" w:colLast="0"/>
      <w:bookmarkEnd w:id="0"/>
      <w:r>
        <w:t>Ecological determinants of altruism in prokaryote antivirus defense</w:t>
      </w:r>
    </w:p>
    <w:p w14:paraId="00000002" w14:textId="77777777" w:rsidR="00342954" w:rsidRDefault="00342954"/>
    <w:p w14:paraId="00000003" w14:textId="56D77F83" w:rsidR="00342954" w:rsidRPr="00F156E7" w:rsidRDefault="00E64DAE">
      <w:pPr>
        <w:pStyle w:val="Heading1"/>
      </w:pPr>
      <w:bookmarkStart w:id="1" w:name="_35nkun2" w:colFirst="0" w:colLast="0"/>
      <w:bookmarkEnd w:id="1"/>
      <w:r w:rsidRPr="00F156E7">
        <w:t>Supplementary Methods</w:t>
      </w:r>
    </w:p>
    <w:p w14:paraId="00000004" w14:textId="77777777" w:rsidR="00342954" w:rsidRPr="00F156E7" w:rsidRDefault="00000000">
      <w:pPr>
        <w:pStyle w:val="Heading2"/>
      </w:pPr>
      <w:bookmarkStart w:id="2" w:name="_1ksv4uv" w:colFirst="0" w:colLast="0"/>
      <w:bookmarkEnd w:id="2"/>
      <w:r w:rsidRPr="00F156E7">
        <w:t>Chemostat model: well-mixed, local population</w:t>
      </w:r>
    </w:p>
    <w:p w14:paraId="00000005" w14:textId="77777777" w:rsidR="00342954" w:rsidRDefault="00000000">
      <w:pPr>
        <w:spacing w:before="240" w:after="140"/>
        <w:jc w:val="both"/>
      </w:pPr>
      <w:r w:rsidRPr="00F156E7">
        <w:t>Building on our previous work</w:t>
      </w:r>
      <w:r w:rsidRPr="00F156E7">
        <w:rPr>
          <w:vertAlign w:val="superscript"/>
        </w:rPr>
        <w:t>1</w:t>
      </w:r>
      <w:r w:rsidRPr="00F156E7">
        <w:t xml:space="preserve">, we </w:t>
      </w:r>
      <w:proofErr w:type="gramStart"/>
      <w:r w:rsidRPr="00F156E7">
        <w:t>adopt</w:t>
      </w:r>
      <w:proofErr w:type="gramEnd"/>
      <w:r w:rsidRPr="00F156E7">
        <w:t xml:space="preserve"> a model of a chemostat containing a population of prokaryotes exposed to influent media containing both nutrients and </w:t>
      </w:r>
      <w:proofErr w:type="gramStart"/>
      <w:r w:rsidRPr="00F156E7">
        <w:t>virus</w:t>
      </w:r>
      <w:proofErr w:type="gramEnd"/>
      <w:r w:rsidRPr="00F156E7">
        <w:t xml:space="preserve">. Individual cell state is completely described by volume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 xml:space="preserve">0 </m:t>
            </m:r>
          </m:sub>
        </m:sSub>
        <m:r>
          <w:rPr>
            <w:rFonts w:ascii="Cambria Math" w:eastAsia="Cambria Math" w:hAnsi="Cambria Math" w:cs="Cambria Math"/>
          </w:rPr>
          <m:t xml:space="preserve"> ≤ p ≤ 2</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0</m:t>
            </m:r>
          </m:sub>
        </m:sSub>
      </m:oMath>
      <w:r w:rsidRPr="00F156E7">
        <w:t xml:space="preserve">and viral load </w:t>
      </w:r>
      <m:oMath>
        <m:sSub>
          <m:sSubPr>
            <m:ctrlPr>
              <w:rPr>
                <w:rFonts w:ascii="Cambria Math" w:eastAsia="Cambria Math" w:hAnsi="Cambria Math" w:cs="Cambria Math"/>
              </w:rPr>
            </m:ctrlPr>
          </m:sSubPr>
          <m:e>
            <m:r>
              <w:rPr>
                <w:rFonts w:ascii="Cambria Math" w:eastAsia="Cambria Math" w:hAnsi="Cambria Math" w:cs="Cambria Math"/>
              </w:rPr>
              <m:t>q ≤ Q</m:t>
            </m:r>
          </m:e>
          <m:sub>
            <m:r>
              <w:rPr>
                <w:rFonts w:ascii="Cambria Math" w:eastAsia="Cambria Math" w:hAnsi="Cambria Math" w:cs="Cambria Math"/>
              </w:rPr>
              <m:t xml:space="preserve"> </m:t>
            </m:r>
          </m:sub>
        </m:sSub>
        <m:r>
          <w:rPr>
            <w:rFonts w:ascii="Cambria Math" w:eastAsia="Cambria Math" w:hAnsi="Cambria Math" w:cs="Cambria Math"/>
          </w:rPr>
          <m:t xml:space="preserve"> </m:t>
        </m:r>
      </m:oMath>
      <w:r w:rsidRPr="00F156E7">
        <w:t xml:space="preserve">. It follows that the population is specified by a state matrix of size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 xml:space="preserve">0 </m:t>
            </m:r>
          </m:sub>
        </m:sSub>
      </m:oMath>
      <w:r w:rsidRPr="00F156E7">
        <w:t xml:space="preserve">x </w:t>
      </w:r>
      <m:oMath>
        <m:r>
          <w:rPr>
            <w:rFonts w:ascii="Cambria Math" w:eastAsia="Cambria Math" w:hAnsi="Cambria Math" w:cs="Cambria Math"/>
          </w:rPr>
          <m:t>Q</m:t>
        </m:r>
      </m:oMath>
      <w:r w:rsidRPr="00F156E7">
        <w:t xml:space="preserve"> where </w:t>
      </w:r>
      <m:oMath>
        <m:r>
          <w:rPr>
            <w:rFonts w:ascii="Cambria Math" w:eastAsia="Cambria Math" w:hAnsi="Cambria Math" w:cs="Cambria Math"/>
          </w:rPr>
          <m:t>n(p, q)</m:t>
        </m:r>
      </m:oMath>
      <w:r w:rsidRPr="00F156E7">
        <w:t xml:space="preserve">represents cell counts. At each time step </w:t>
      </w:r>
      <m:oMath>
        <m:r>
          <w:rPr>
            <w:rFonts w:ascii="Cambria Math" w:eastAsia="Cambria Math" w:hAnsi="Cambria Math" w:cs="Cambria Math"/>
          </w:rPr>
          <m:t>Δt</m:t>
        </m:r>
      </m:oMath>
      <w:r w:rsidRPr="00F156E7">
        <w:t xml:space="preserve"> the</w:t>
      </w:r>
      <w:r>
        <w:t xml:space="preserve"> matrix is updated as follows:</w:t>
      </w:r>
    </w:p>
    <w:p w14:paraId="00000006" w14:textId="77777777" w:rsidR="00342954" w:rsidRDefault="00000000">
      <w:pPr>
        <w:jc w:val="center"/>
        <w:rPr>
          <w:rFonts w:ascii="Cambria Math" w:eastAsia="Cambria Math" w:hAnsi="Cambria Math" w:cs="Cambria Math"/>
        </w:rPr>
      </w:pPr>
      <m:oMathPara>
        <m:oMath>
          <m:r>
            <w:rPr>
              <w:rFonts w:ascii="Cambria Math" w:eastAsia="Cambria Math" w:hAnsi="Cambria Math" w:cs="Cambria Math"/>
            </w:rPr>
            <m:t>n(p, q, t+Δt) =n(p, q, t)+[A(1-</m:t>
          </m:r>
          <m:f>
            <m:fPr>
              <m:ctrlPr>
                <w:rPr>
                  <w:rFonts w:ascii="Cambria Math" w:eastAsia="Cambria Math" w:hAnsi="Cambria Math" w:cs="Cambria Math"/>
                </w:rPr>
              </m:ctrlPr>
            </m:fPr>
            <m:num>
              <m:r>
                <w:rPr>
                  <w:rFonts w:ascii="Cambria Math" w:eastAsia="Cambria Math" w:hAnsi="Cambria Math" w:cs="Cambria Math"/>
                </w:rPr>
                <m:t>r</m:t>
              </m:r>
            </m:num>
            <m:den>
              <m:r>
                <w:rPr>
                  <w:rFonts w:ascii="Cambria Math" w:eastAsia="Cambria Math" w:hAnsi="Cambria Math" w:cs="Cambria Math"/>
                </w:rPr>
                <m:t>E</m:t>
              </m:r>
            </m:den>
          </m:f>
          <m:r>
            <w:rPr>
              <w:rFonts w:ascii="Cambria Math" w:eastAsia="Cambria Math" w:hAnsi="Cambria Math" w:cs="Cambria Math"/>
            </w:rPr>
            <m:t>)*ϕ*(n(p-1, q, t)*(p-1)-n(p, q, t) * p) +</m:t>
          </m:r>
        </m:oMath>
      </m:oMathPara>
    </w:p>
    <w:p w14:paraId="00000007" w14:textId="77777777" w:rsidR="00342954" w:rsidRDefault="00000000">
      <w:pPr>
        <w:jc w:val="center"/>
        <w:rPr>
          <w:rFonts w:ascii="Cambria Math" w:eastAsia="Cambria Math" w:hAnsi="Cambria Math" w:cs="Cambria Math"/>
        </w:rPr>
      </w:pPr>
      <m:oMathPara>
        <m:oMath>
          <m:r>
            <w:rPr>
              <w:rFonts w:ascii="Cambria Math" w:eastAsia="Cambria Math" w:hAnsi="Cambria Math" w:cs="Cambria Math"/>
            </w:rPr>
            <m:t>+ F*(n(p, q-1, t)*(q-1) - n(p, q, t)*q) + r * p *(n(p, q+1, t) - n(p, q, t)) -</m:t>
          </m:r>
        </m:oMath>
      </m:oMathPara>
    </w:p>
    <w:p w14:paraId="00000008" w14:textId="77777777" w:rsidR="00342954" w:rsidRDefault="00000000">
      <w:pPr>
        <w:jc w:val="center"/>
        <w:rPr>
          <w:rFonts w:ascii="Cambria Math" w:eastAsia="Cambria Math" w:hAnsi="Cambria Math" w:cs="Cambria Math"/>
        </w:rPr>
      </w:pPr>
      <m:oMathPara>
        <m:oMath>
          <m:r>
            <w:rPr>
              <w:rFonts w:ascii="Cambria Math" w:eastAsia="Cambria Math" w:hAnsi="Cambria Math" w:cs="Cambria Math"/>
            </w:rPr>
            <m:t>-(B+(</m:t>
          </m:r>
          <m:f>
            <m:fPr>
              <m:ctrlPr>
                <w:rPr>
                  <w:rFonts w:ascii="Cambria Math" w:eastAsia="Cambria Math" w:hAnsi="Cambria Math" w:cs="Cambria Math"/>
                </w:rPr>
              </m:ctrlPr>
            </m:fPr>
            <m:num>
              <m:r>
                <w:rPr>
                  <w:rFonts w:ascii="Cambria Math" w:eastAsia="Cambria Math" w:hAnsi="Cambria Math" w:cs="Cambria Math"/>
                </w:rPr>
                <m:t>ρ</m:t>
              </m:r>
            </m:num>
            <m:den>
              <m:r>
                <w:rPr>
                  <w:rFonts w:ascii="Cambria Math" w:eastAsia="Cambria Math" w:hAnsi="Cambria Math" w:cs="Cambria Math"/>
                </w:rPr>
                <m:t>T-ρ</m:t>
              </m:r>
            </m:den>
          </m:f>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G</m:t>
              </m:r>
            </m:sup>
          </m:sSup>
          <m:r>
            <w:rPr>
              <w:rFonts w:ascii="Cambria Math" w:eastAsia="Cambria Math" w:hAnsi="Cambria Math" w:cs="Cambria Math"/>
            </w:rPr>
            <m:t>)*n(p, q, t)]Δt</m:t>
          </m:r>
        </m:oMath>
      </m:oMathPara>
    </w:p>
    <w:p w14:paraId="00000009" w14:textId="77777777" w:rsidR="00342954" w:rsidRDefault="00000000">
      <w:pPr>
        <w:spacing w:before="240" w:after="140"/>
        <w:jc w:val="both"/>
      </w:pPr>
      <w:r>
        <w:t>where each term represents cell growth, cell death, viral replication, and cell immunity, respectively.</w:t>
      </w:r>
    </w:p>
    <w:p w14:paraId="0000000A" w14:textId="77777777" w:rsidR="00342954" w:rsidRDefault="00000000">
      <w:pPr>
        <w:numPr>
          <w:ilvl w:val="0"/>
          <w:numId w:val="2"/>
        </w:numPr>
        <w:spacing w:before="240"/>
        <w:jc w:val="both"/>
      </w:pPr>
      <w:r>
        <w:t xml:space="preserve">Cell growth. Cells grow at a baseline rate </w:t>
      </w:r>
      <m:oMath>
        <m:r>
          <w:rPr>
            <w:rFonts w:ascii="Cambria Math" w:eastAsia="Cambria Math" w:hAnsi="Cambria Math" w:cs="Cambria Math"/>
          </w:rPr>
          <m:t>A</m:t>
        </m:r>
      </m:oMath>
      <w:r>
        <w:t xml:space="preserve">, and the growth rate is proportional to </w:t>
      </w:r>
      <w:proofErr w:type="gramStart"/>
      <w:r>
        <w:t>the nutrient</w:t>
      </w:r>
      <w:proofErr w:type="gramEnd"/>
      <w:r>
        <w:t xml:space="preserve"> concentration, </w:t>
      </w:r>
      <m:oMath>
        <m:r>
          <w:rPr>
            <w:rFonts w:ascii="Cambria Math" w:hAnsi="Cambria Math"/>
          </w:rPr>
          <m:t>ϕ</m:t>
        </m:r>
      </m:oMath>
      <w:r>
        <w:t xml:space="preserve">. Investment in immunity, </w:t>
      </w:r>
      <m:oMath>
        <m:r>
          <w:rPr>
            <w:rFonts w:ascii="Cambria Math" w:eastAsia="Cambria Math" w:hAnsi="Cambria Math" w:cs="Cambria Math"/>
          </w:rPr>
          <m:t>r</m:t>
        </m:r>
      </m:oMath>
      <w:r>
        <w:t xml:space="preserve">, is growth costly by a factor </w:t>
      </w:r>
      <m:oMath>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r</m:t>
            </m:r>
          </m:num>
          <m:den>
            <m:r>
              <w:rPr>
                <w:rFonts w:ascii="Cambria Math" w:eastAsia="Cambria Math" w:hAnsi="Cambria Math" w:cs="Cambria Math"/>
              </w:rPr>
              <m:t>E</m:t>
            </m:r>
          </m:den>
        </m:f>
      </m:oMath>
      <w:r>
        <w:t xml:space="preserve">.  The growth rate is 0 when </w:t>
      </w:r>
      <m:oMath>
        <m:r>
          <w:rPr>
            <w:rFonts w:ascii="Cambria Math" w:eastAsia="Cambria Math" w:hAnsi="Cambria Math" w:cs="Cambria Math"/>
          </w:rPr>
          <m:t>r=E</m:t>
        </m:r>
      </m:oMath>
      <w:r>
        <w:t xml:space="preserve">, </w:t>
      </w:r>
      <m:oMath>
        <m:r>
          <w:rPr>
            <w:rFonts w:ascii="Cambria Math" w:eastAsia="Cambria Math" w:hAnsi="Cambria Math" w:cs="Cambria Math"/>
          </w:rPr>
          <m:t>E</m:t>
        </m:r>
      </m:oMath>
      <w:r>
        <w:t xml:space="preserve"> representing the maximum possible investment in immunity. When cells reach the critical size </w:t>
      </w:r>
      <m:oMath>
        <m:r>
          <w:rPr>
            <w:rFonts w:ascii="Cambria Math" w:eastAsia="Cambria Math" w:hAnsi="Cambria Math" w:cs="Cambria Math"/>
          </w:rPr>
          <m:t>2</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0</m:t>
            </m:r>
          </m:sub>
        </m:sSub>
      </m:oMath>
      <w:r>
        <w:t xml:space="preserve"> they divide provided they contain no virus. We consider division to be arrested with a single virus copy but cell growth is not prohibited until division volume is reached.</w:t>
      </w:r>
    </w:p>
    <w:p w14:paraId="0000000B" w14:textId="77777777" w:rsidR="00342954" w:rsidRDefault="00000000">
      <w:pPr>
        <w:numPr>
          <w:ilvl w:val="0"/>
          <w:numId w:val="2"/>
        </w:numPr>
        <w:jc w:val="both"/>
      </w:pPr>
      <w:r>
        <w:t xml:space="preserve">Cell death. Cells die from chemostat dilution at a rate </w:t>
      </w:r>
      <m:oMath>
        <m:r>
          <w:rPr>
            <w:rFonts w:ascii="Cambria Math" w:eastAsia="Cambria Math" w:hAnsi="Cambria Math" w:cs="Cambria Math"/>
          </w:rPr>
          <m:t>B</m:t>
        </m:r>
      </m:oMath>
      <w:r>
        <w:t xml:space="preserve">, from viral infection, and from PCD. The death rate from viral infection increases proportionally with intracellular viral concentration, </w:t>
      </w:r>
      <m:oMath>
        <m:r>
          <w:rPr>
            <w:rFonts w:ascii="Cambria Math" w:eastAsia="Cambria Math" w:hAnsi="Cambria Math" w:cs="Cambria Math"/>
          </w:rPr>
          <m:t>ρ=</m:t>
        </m:r>
        <m:f>
          <m:fPr>
            <m:ctrlPr>
              <w:rPr>
                <w:rFonts w:ascii="Cambria Math" w:eastAsia="Cambria Math" w:hAnsi="Cambria Math" w:cs="Cambria Math"/>
              </w:rPr>
            </m:ctrlPr>
          </m:fPr>
          <m:num>
            <m:r>
              <w:rPr>
                <w:rFonts w:ascii="Cambria Math" w:eastAsia="Cambria Math" w:hAnsi="Cambria Math" w:cs="Cambria Math"/>
              </w:rPr>
              <m:t>p</m:t>
            </m:r>
          </m:num>
          <m:den>
            <m:r>
              <w:rPr>
                <w:rFonts w:ascii="Cambria Math" w:eastAsia="Cambria Math" w:hAnsi="Cambria Math" w:cs="Cambria Math"/>
              </w:rPr>
              <m:t>q</m:t>
            </m:r>
          </m:den>
        </m:f>
      </m:oMath>
      <w:r>
        <w:t xml:space="preserve">. This function has two parameters - </w:t>
      </w:r>
      <m:oMath>
        <m:r>
          <w:rPr>
            <w:rFonts w:ascii="Cambria Math" w:eastAsia="Cambria Math" w:hAnsi="Cambria Math" w:cs="Cambria Math"/>
          </w:rPr>
          <m:t>T</m:t>
        </m:r>
      </m:oMath>
      <w:r>
        <w:t xml:space="preserve">, the viral concentration at which the lysis probability is 1 and </w:t>
      </w:r>
      <m:oMath>
        <m:r>
          <w:rPr>
            <w:rFonts w:ascii="Cambria Math" w:eastAsia="Cambria Math" w:hAnsi="Cambria Math" w:cs="Cambria Math"/>
          </w:rPr>
          <m:t>G</m:t>
        </m:r>
      </m:oMath>
      <w:r>
        <w:t xml:space="preserve">, the slope of the lysis probability function (gradual for small </w:t>
      </w:r>
      <m:oMath>
        <m:r>
          <w:rPr>
            <w:rFonts w:ascii="Cambria Math" w:eastAsia="Cambria Math" w:hAnsi="Cambria Math" w:cs="Cambria Math"/>
          </w:rPr>
          <m:t>G</m:t>
        </m:r>
      </m:oMath>
      <w:r>
        <w:t xml:space="preserve">, stepwise for high </w:t>
      </w:r>
      <m:oMath>
        <m:r>
          <w:rPr>
            <w:rFonts w:ascii="Cambria Math" w:eastAsia="Cambria Math" w:hAnsi="Cambria Math" w:cs="Cambria Math"/>
          </w:rPr>
          <m:t>G</m:t>
        </m:r>
      </m:oMath>
      <w:r>
        <w:t xml:space="preserve"> . Finally, if the viral concentration </w:t>
      </w:r>
      <m:oMath>
        <m:r>
          <w:rPr>
            <w:rFonts w:ascii="Cambria Math" w:hAnsi="Cambria Math"/>
          </w:rPr>
          <m:t>ρ</m:t>
        </m:r>
      </m:oMath>
      <w:r>
        <w:t xml:space="preserve"> is greater than the threshold </w:t>
      </w:r>
      <m:oMath>
        <m:r>
          <w:rPr>
            <w:rFonts w:ascii="Cambria Math" w:eastAsia="Cambria Math" w:hAnsi="Cambria Math" w:cs="Cambria Math"/>
          </w:rPr>
          <m:t>1-a</m:t>
        </m:r>
      </m:oMath>
      <w:r>
        <w:t xml:space="preserve">, </w:t>
      </w:r>
      <m:oMath>
        <m:r>
          <w:rPr>
            <w:rFonts w:ascii="Cambria Math" w:eastAsia="Cambria Math" w:hAnsi="Cambria Math" w:cs="Cambria Math"/>
          </w:rPr>
          <m:t>a</m:t>
        </m:r>
      </m:oMath>
      <w:r>
        <w:t xml:space="preserve"> representing PCD investment, the cell commits PCD.</w:t>
      </w:r>
    </w:p>
    <w:p w14:paraId="0000000C" w14:textId="77777777" w:rsidR="00342954" w:rsidRDefault="00000000">
      <w:pPr>
        <w:numPr>
          <w:ilvl w:val="0"/>
          <w:numId w:val="2"/>
        </w:numPr>
        <w:jc w:val="both"/>
      </w:pPr>
      <w:r>
        <w:t xml:space="preserve">Viral ingestion and replication. Cells ingest </w:t>
      </w:r>
      <w:proofErr w:type="gramStart"/>
      <w:r>
        <w:t>virus</w:t>
      </w:r>
      <w:proofErr w:type="gramEnd"/>
      <w:r>
        <w:t xml:space="preserve"> from the environment at a rate </w:t>
      </w:r>
      <m:oMath>
        <m:r>
          <w:rPr>
            <w:rFonts w:ascii="Cambria Math" w:eastAsia="Cambria Math" w:hAnsi="Cambria Math" w:cs="Cambria Math"/>
          </w:rPr>
          <m:t>C</m:t>
        </m:r>
      </m:oMath>
      <w:r>
        <w:t xml:space="preserve"> proportional to their volume </w:t>
      </w:r>
      <m:oMath>
        <m:r>
          <w:rPr>
            <w:rFonts w:ascii="Cambria Math" w:eastAsia="Cambria Math" w:hAnsi="Cambria Math" w:cs="Cambria Math"/>
          </w:rPr>
          <m:t>u</m:t>
        </m:r>
      </m:oMath>
      <w:r>
        <w:t xml:space="preserve">. Only virus-free cells ingest </w:t>
      </w:r>
      <w:proofErr w:type="gramStart"/>
      <w:r>
        <w:t>virus</w:t>
      </w:r>
      <w:proofErr w:type="gramEnd"/>
      <w:r>
        <w:t xml:space="preserve">, providing for superinfection exclusion. The virus </w:t>
      </w:r>
      <w:proofErr w:type="gramStart"/>
      <w:r>
        <w:t>replicates</w:t>
      </w:r>
      <w:proofErr w:type="gramEnd"/>
      <w:r>
        <w:t xml:space="preserve"> at an exponential rate </w:t>
      </w:r>
      <m:oMath>
        <m:r>
          <w:rPr>
            <w:rFonts w:ascii="Cambria Math" w:eastAsia="Cambria Math" w:hAnsi="Cambria Math" w:cs="Cambria Math"/>
          </w:rPr>
          <m:t>F</m:t>
        </m:r>
      </m:oMath>
      <w:r>
        <w:t xml:space="preserve"> proportional to the current number of viruses </w:t>
      </w:r>
      <m:oMath>
        <m:r>
          <w:rPr>
            <w:rFonts w:ascii="Cambria Math" w:eastAsia="Cambria Math" w:hAnsi="Cambria Math" w:cs="Cambria Math"/>
          </w:rPr>
          <m:t>q</m:t>
        </m:r>
      </m:oMath>
      <w:r>
        <w:t>.</w:t>
      </w:r>
    </w:p>
    <w:p w14:paraId="0000000D" w14:textId="77777777" w:rsidR="00342954" w:rsidRDefault="00000000">
      <w:pPr>
        <w:numPr>
          <w:ilvl w:val="0"/>
          <w:numId w:val="2"/>
        </w:numPr>
        <w:spacing w:after="140"/>
        <w:jc w:val="both"/>
      </w:pPr>
      <w:r>
        <w:lastRenderedPageBreak/>
        <w:t xml:space="preserve">Immunity. Cells destroy intracellular viral particles at rate </w:t>
      </w:r>
      <m:oMath>
        <m:r>
          <w:rPr>
            <w:rFonts w:ascii="Cambria Math" w:eastAsia="Cambria Math" w:hAnsi="Cambria Math" w:cs="Cambria Math"/>
          </w:rPr>
          <m:t>r</m:t>
        </m:r>
      </m:oMath>
      <w:r>
        <w:t xml:space="preserve">. We assume that larger cells produce more immune proteins, therefore the rate of immune clearance is also proportional to the cell volume, </w:t>
      </w:r>
      <m:oMath>
        <m:r>
          <w:rPr>
            <w:rFonts w:ascii="Cambria Math" w:eastAsia="Cambria Math" w:hAnsi="Cambria Math" w:cs="Cambria Math"/>
          </w:rPr>
          <m:t>p</m:t>
        </m:r>
      </m:oMath>
      <w:r>
        <w:t>.</w:t>
      </w:r>
    </w:p>
    <w:p w14:paraId="0000000E" w14:textId="77777777" w:rsidR="00342954" w:rsidRDefault="00000000">
      <w:pPr>
        <w:spacing w:before="240" w:after="140"/>
        <w:ind w:firstLine="720"/>
        <w:jc w:val="both"/>
      </w:pPr>
      <w:r>
        <w:t xml:space="preserve">The number of viruses in the chemostat is given by the following equation: </w:t>
      </w:r>
    </w:p>
    <w:p w14:paraId="0000000F" w14:textId="5DCAF0D7" w:rsidR="00342954" w:rsidRDefault="00000000">
      <w:pPr>
        <w:spacing w:before="240" w:after="240"/>
      </w:pPr>
      <m:oMath>
        <m:r>
          <w:rPr>
            <w:rFonts w:ascii="Cambria Math" w:eastAsia="Cambria Math" w:hAnsi="Cambria Math" w:cs="Cambria Math"/>
          </w:rPr>
          <m:t>ψ(t+Δt) = ψ(t)  + [(</m:t>
        </m:r>
        <m:sSub>
          <m:sSubPr>
            <m:ctrlPr>
              <w:rPr>
                <w:rFonts w:ascii="Cambria Math" w:eastAsia="Cambria Math" w:hAnsi="Cambria Math" w:cs="Cambria Math"/>
              </w:rPr>
            </m:ctrlPr>
          </m:sSubPr>
          <m:e>
            <m:r>
              <w:rPr>
                <w:rFonts w:ascii="Cambria Math" w:eastAsia="Cambria Math" w:hAnsi="Cambria Math" w:cs="Cambria Math"/>
              </w:rPr>
              <m:t>ψ</m:t>
            </m:r>
          </m:e>
          <m:sub>
            <m:r>
              <w:rPr>
                <w:rFonts w:ascii="Cambria Math" w:eastAsia="Cambria Math" w:hAnsi="Cambria Math" w:cs="Cambria Math"/>
              </w:rPr>
              <m:t>0</m:t>
            </m:r>
          </m:sub>
        </m:sSub>
        <m:r>
          <w:rPr>
            <w:rFonts w:ascii="Cambria Math" w:eastAsia="Cambria Math" w:hAnsi="Cambria Math" w:cs="Cambria Math"/>
          </w:rPr>
          <m:t>-ψ)B -Cψ</m:t>
        </m:r>
        <m:nary>
          <m:naryPr>
            <m:chr m:val="∑"/>
            <m:limLoc m:val="undOvr"/>
            <m:supHide m:val="1"/>
            <m:ctrlPr>
              <w:rPr>
                <w:rFonts w:ascii="Cambria Math" w:eastAsia="Cambria Math" w:hAnsi="Cambria Math" w:cs="Cambria Math"/>
                <w:i/>
              </w:rPr>
            </m:ctrlPr>
          </m:naryPr>
          <m:sub>
            <m:r>
              <w:rPr>
                <w:rFonts w:ascii="Cambria Math" w:eastAsia="Cambria Math" w:hAnsi="Cambria Math" w:cs="Cambria Math"/>
              </w:rPr>
              <m:t>p</m:t>
            </m:r>
          </m:sub>
          <m:sup/>
          <m:e>
            <m:r>
              <w:rPr>
                <w:rFonts w:ascii="Cambria Math" w:eastAsia="Cambria Math" w:hAnsi="Cambria Math" w:cs="Cambria Math"/>
              </w:rPr>
              <m:t>(p*n(p, 0, t))</m:t>
            </m:r>
          </m:e>
        </m:nary>
        <m:r>
          <w:rPr>
            <w:rFonts w:ascii="Cambria Math" w:eastAsia="Cambria Math" w:hAnsi="Cambria Math" w:cs="Cambria Math"/>
          </w:rPr>
          <m:t>+</m:t>
        </m:r>
        <m:nary>
          <m:naryPr>
            <m:chr m:val="∑"/>
            <m:limLoc m:val="subSup"/>
            <m:supHide m:val="1"/>
            <m:ctrlPr>
              <w:rPr>
                <w:rFonts w:ascii="Cambria Math" w:eastAsia="Cambria Math" w:hAnsi="Cambria Math" w:cs="Cambria Math"/>
                <w:i/>
              </w:rPr>
            </m:ctrlPr>
          </m:naryPr>
          <m:sub>
            <m:r>
              <w:rPr>
                <w:rFonts w:ascii="Cambria Math" w:eastAsia="Cambria Math" w:hAnsi="Cambria Math" w:cs="Cambria Math"/>
              </w:rPr>
              <m:t>p</m:t>
            </m:r>
          </m:sub>
          <m:sup/>
          <m:e>
            <m:nary>
              <m:naryPr>
                <m:chr m:val="∑"/>
                <m:limLoc m:val="subSup"/>
                <m:supHide m:val="1"/>
                <m:ctrlPr>
                  <w:rPr>
                    <w:rFonts w:ascii="Cambria Math" w:eastAsia="Cambria Math" w:hAnsi="Cambria Math" w:cs="Cambria Math"/>
                    <w:i/>
                  </w:rPr>
                </m:ctrlPr>
              </m:naryPr>
              <m:sub>
                <m:r>
                  <w:rPr>
                    <w:rFonts w:ascii="Cambria Math" w:eastAsia="Cambria Math" w:hAnsi="Cambria Math" w:cs="Cambria Math"/>
                  </w:rPr>
                  <m:t>q</m:t>
                </m:r>
              </m:sub>
              <m:sup/>
              <m:e>
                <m:r>
                  <w:rPr>
                    <w:rFonts w:ascii="Cambria Math" w:eastAsia="Cambria Math" w:hAnsi="Cambria Math" w:cs="Cambria Math"/>
                  </w:rPr>
                  <m:t>(q*n(p, q, t)</m:t>
                </m:r>
              </m:e>
            </m:nary>
          </m:e>
        </m:nary>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ρ</m:t>
            </m:r>
          </m:num>
          <m:den>
            <m:r>
              <w:rPr>
                <w:rFonts w:ascii="Cambria Math" w:eastAsia="Cambria Math" w:hAnsi="Cambria Math" w:cs="Cambria Math"/>
              </w:rPr>
              <m:t>T-ρ</m:t>
            </m:r>
          </m:den>
        </m:f>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G</m:t>
            </m:r>
          </m:sup>
        </m:sSup>
        <m:r>
          <w:rPr>
            <w:rFonts w:ascii="Cambria Math" w:eastAsia="Cambria Math" w:hAnsi="Cambria Math" w:cs="Cambria Math"/>
          </w:rPr>
          <m:t xml:space="preserve">)]Δt </m:t>
        </m:r>
      </m:oMath>
      <w:r>
        <w:t xml:space="preserve"> </w:t>
      </w:r>
    </w:p>
    <w:p w14:paraId="00000010" w14:textId="77777777" w:rsidR="00342954" w:rsidRDefault="00000000">
      <w:pPr>
        <w:spacing w:before="240" w:after="140"/>
        <w:jc w:val="both"/>
      </w:pPr>
      <w:r>
        <w:t>where each term represents chemostat dilution, ingestion of viruses by cells, and viral reproduction, respectively.</w:t>
      </w:r>
    </w:p>
    <w:p w14:paraId="00000011" w14:textId="77777777" w:rsidR="00342954" w:rsidRDefault="00000000">
      <w:pPr>
        <w:numPr>
          <w:ilvl w:val="0"/>
          <w:numId w:val="1"/>
        </w:numPr>
        <w:spacing w:before="240"/>
        <w:jc w:val="both"/>
      </w:pPr>
      <w:r>
        <w:t xml:space="preserve">Ingestion. Cells ingest </w:t>
      </w:r>
      <w:proofErr w:type="gramStart"/>
      <w:r>
        <w:t>virus</w:t>
      </w:r>
      <w:proofErr w:type="gramEnd"/>
      <w:r>
        <w:t xml:space="preserve"> at a rate</w:t>
      </w:r>
      <m:oMath>
        <m:r>
          <w:rPr>
            <w:rFonts w:ascii="Cambria Math" w:eastAsia="Cambria Math" w:hAnsi="Cambria Math" w:cs="Cambria Math"/>
          </w:rPr>
          <m:t xml:space="preserve"> C</m:t>
        </m:r>
      </m:oMath>
      <w:r>
        <w:t xml:space="preserve"> per unit of volume,</w:t>
      </w:r>
      <m:oMath>
        <m:r>
          <w:rPr>
            <w:rFonts w:ascii="Cambria Math" w:eastAsia="Cambria Math" w:hAnsi="Cambria Math" w:cs="Cambria Math"/>
          </w:rPr>
          <m:t xml:space="preserve"> p</m:t>
        </m:r>
      </m:oMath>
      <w:r>
        <w:t>.</w:t>
      </w:r>
    </w:p>
    <w:p w14:paraId="00000012" w14:textId="77777777" w:rsidR="00342954" w:rsidRDefault="00000000">
      <w:pPr>
        <w:numPr>
          <w:ilvl w:val="0"/>
          <w:numId w:val="1"/>
        </w:numPr>
        <w:jc w:val="both"/>
      </w:pPr>
      <w:r>
        <w:t>Viral reproduction. Cells that die of viral infection release all intracellular virus particles into the chemostat.</w:t>
      </w:r>
    </w:p>
    <w:p w14:paraId="00000013" w14:textId="77777777" w:rsidR="00342954" w:rsidRDefault="00000000">
      <w:pPr>
        <w:numPr>
          <w:ilvl w:val="0"/>
          <w:numId w:val="1"/>
        </w:numPr>
        <w:spacing w:after="140"/>
        <w:jc w:val="both"/>
      </w:pPr>
      <w:r>
        <w:t>Chemostat dilution. A proportion</w:t>
      </w:r>
      <m:oMath>
        <m:r>
          <w:rPr>
            <w:rFonts w:ascii="Cambria Math" w:eastAsia="Cambria Math" w:hAnsi="Cambria Math" w:cs="Cambria Math"/>
          </w:rPr>
          <m:t xml:space="preserve"> B</m:t>
        </m:r>
      </m:oMath>
      <w:r>
        <w:t xml:space="preserve"> of the chemostat volume is removed per unit time, in turn removing a proportion </w:t>
      </w:r>
      <m:oMath>
        <m:r>
          <w:rPr>
            <w:rFonts w:ascii="Cambria Math" w:eastAsia="Cambria Math" w:hAnsi="Cambria Math" w:cs="Cambria Math"/>
          </w:rPr>
          <m:t>B</m:t>
        </m:r>
      </m:oMath>
      <w:r>
        <w:t xml:space="preserve"> of the extracellular virus and cells. The same process introduces </w:t>
      </w:r>
      <w:proofErr w:type="gramStart"/>
      <w:r>
        <w:t>new</w:t>
      </w:r>
      <w:proofErr w:type="gramEnd"/>
      <w:r>
        <w:t xml:space="preserve"> virus into the chemostat. </w:t>
      </w:r>
      <m:oMath>
        <m:r>
          <w:rPr>
            <w:rFonts w:ascii="Cambria Math" w:eastAsia="Cambria Math" w:hAnsi="Cambria Math" w:cs="Cambria Math"/>
          </w:rPr>
          <m:t>B</m:t>
        </m:r>
        <m:sSub>
          <m:sSubPr>
            <m:ctrlPr>
              <w:rPr>
                <w:rFonts w:ascii="Cambria Math" w:eastAsia="Cambria Math" w:hAnsi="Cambria Math" w:cs="Cambria Math"/>
              </w:rPr>
            </m:ctrlPr>
          </m:sSubPr>
          <m:e>
            <m:r>
              <w:rPr>
                <w:rFonts w:ascii="Cambria Math" w:eastAsia="Cambria Math" w:hAnsi="Cambria Math" w:cs="Cambria Math"/>
              </w:rPr>
              <m:t>ψ</m:t>
            </m:r>
          </m:e>
          <m:sub>
            <m:r>
              <w:rPr>
                <w:rFonts w:ascii="Cambria Math" w:eastAsia="Cambria Math" w:hAnsi="Cambria Math" w:cs="Cambria Math"/>
              </w:rPr>
              <m:t>0</m:t>
            </m:r>
          </m:sub>
        </m:sSub>
      </m:oMath>
      <w:r>
        <w:t xml:space="preserve"> viruses are introduced per unit time.</w:t>
      </w:r>
    </w:p>
    <w:p w14:paraId="00000014" w14:textId="77777777" w:rsidR="00342954" w:rsidRDefault="00000000">
      <w:pPr>
        <w:spacing w:before="240" w:after="140"/>
        <w:ind w:firstLine="720"/>
        <w:jc w:val="both"/>
      </w:pPr>
      <w:r>
        <w:t xml:space="preserve">Finally, the change </w:t>
      </w:r>
      <w:proofErr w:type="gramStart"/>
      <w:r>
        <w:t>of</w:t>
      </w:r>
      <w:proofErr w:type="gramEnd"/>
      <w:r>
        <w:t xml:space="preserve"> the nutrient concentration is given by the following equation:</w:t>
      </w:r>
    </w:p>
    <w:p w14:paraId="00000015" w14:textId="295B3873" w:rsidR="00342954" w:rsidRDefault="00000000">
      <w:pPr>
        <w:jc w:val="center"/>
        <w:rPr>
          <w:rFonts w:ascii="Cambria Math" w:eastAsia="Cambria Math" w:hAnsi="Cambria Math" w:cs="Cambria Math"/>
        </w:rPr>
      </w:pPr>
      <m:oMathPara>
        <m:oMath>
          <m:r>
            <w:rPr>
              <w:rFonts w:ascii="Cambria Math" w:eastAsia="Cambria Math" w:hAnsi="Cambria Math" w:cs="Cambria Math"/>
            </w:rPr>
            <m:t>ϕ(t+Δt) = ϕ(t) + [(</m:t>
          </m:r>
          <m:sSub>
            <m:sSubPr>
              <m:ctrlPr>
                <w:rPr>
                  <w:rFonts w:ascii="Cambria Math" w:eastAsia="Cambria Math" w:hAnsi="Cambria Math" w:cs="Cambria Math"/>
                </w:rPr>
              </m:ctrlPr>
            </m:sSubPr>
            <m:e>
              <m:r>
                <w:rPr>
                  <w:rFonts w:ascii="Cambria Math" w:eastAsia="Cambria Math" w:hAnsi="Cambria Math" w:cs="Cambria Math"/>
                </w:rPr>
                <m:t>ϕ</m:t>
              </m:r>
            </m:e>
            <m:sub>
              <m:r>
                <w:rPr>
                  <w:rFonts w:ascii="Cambria Math" w:eastAsia="Cambria Math" w:hAnsi="Cambria Math" w:cs="Cambria Math"/>
                </w:rPr>
                <m:t>0</m:t>
              </m:r>
            </m:sub>
          </m:sSub>
          <m:r>
            <w:rPr>
              <w:rFonts w:ascii="Cambria Math" w:eastAsia="Cambria Math" w:hAnsi="Cambria Math" w:cs="Cambria Math"/>
            </w:rPr>
            <m:t>-ϕ)B-Cϕ</m:t>
          </m:r>
          <m:nary>
            <m:naryPr>
              <m:chr m:val="∑"/>
              <m:limLoc m:val="subSup"/>
              <m:supHide m:val="1"/>
              <m:ctrlPr>
                <w:rPr>
                  <w:rFonts w:ascii="Cambria Math" w:eastAsia="Cambria Math" w:hAnsi="Cambria Math" w:cs="Cambria Math"/>
                  <w:i/>
                </w:rPr>
              </m:ctrlPr>
            </m:naryPr>
            <m:sub>
              <m:r>
                <w:rPr>
                  <w:rFonts w:ascii="Cambria Math" w:eastAsia="Cambria Math" w:hAnsi="Cambria Math" w:cs="Cambria Math"/>
                </w:rPr>
                <m:t>q</m:t>
              </m:r>
            </m:sub>
            <m:sup/>
            <m:e>
              <m:nary>
                <m:naryPr>
                  <m:chr m:val="∑"/>
                  <m:limLoc m:val="subSup"/>
                  <m:supHide m:val="1"/>
                  <m:ctrlPr>
                    <w:rPr>
                      <w:rFonts w:ascii="Cambria Math" w:eastAsia="Cambria Math" w:hAnsi="Cambria Math" w:cs="Cambria Math"/>
                      <w:i/>
                    </w:rPr>
                  </m:ctrlPr>
                </m:naryPr>
                <m:sub>
                  <m:r>
                    <w:rPr>
                      <w:rFonts w:ascii="Cambria Math" w:eastAsia="Cambria Math" w:hAnsi="Cambria Math" w:cs="Cambria Math"/>
                    </w:rPr>
                    <m:t>p</m:t>
                  </m:r>
                </m:sub>
                <m:sup/>
                <m:e>
                  <m:r>
                    <w:rPr>
                      <w:rFonts w:ascii="Cambria Math" w:eastAsia="Cambria Math" w:hAnsi="Cambria Math" w:cs="Cambria Math"/>
                    </w:rPr>
                    <m:t>(p*n(p, q, t))</m:t>
                  </m:r>
                </m:e>
              </m:nary>
            </m:e>
          </m:nary>
          <m:r>
            <w:rPr>
              <w:rFonts w:ascii="Cambria Math" w:eastAsia="Cambria Math" w:hAnsi="Cambria Math" w:cs="Cambria Math"/>
            </w:rPr>
            <m:t xml:space="preserve"> ]*Δt</m:t>
          </m:r>
        </m:oMath>
      </m:oMathPara>
    </w:p>
    <w:p w14:paraId="00000016" w14:textId="77777777" w:rsidR="00342954" w:rsidRDefault="00000000">
      <w:pPr>
        <w:spacing w:before="240" w:after="140"/>
        <w:jc w:val="both"/>
      </w:pPr>
      <w:r>
        <w:t xml:space="preserve">where the first term represents chemostat dilution at a rate </w:t>
      </w:r>
      <m:oMath>
        <m:r>
          <w:rPr>
            <w:rFonts w:ascii="Cambria Math" w:eastAsia="Cambria Math" w:hAnsi="Cambria Math" w:cs="Cambria Math"/>
          </w:rPr>
          <m:t>B</m:t>
        </m:r>
      </m:oMath>
      <w:r>
        <w:t xml:space="preserve"> and the second term - consumption by cells at a rate </w:t>
      </w:r>
      <m:oMath>
        <m:r>
          <w:rPr>
            <w:rFonts w:ascii="Cambria Math" w:eastAsia="Cambria Math" w:hAnsi="Cambria Math" w:cs="Cambria Math"/>
          </w:rPr>
          <m:t>C</m:t>
        </m:r>
      </m:oMath>
      <w:r>
        <w:t xml:space="preserve"> per unit of cell volume. </w:t>
      </w:r>
    </w:p>
    <w:p w14:paraId="00000017" w14:textId="77777777" w:rsidR="00342954" w:rsidRDefault="00000000">
      <w:pPr>
        <w:spacing w:before="240" w:after="140"/>
        <w:jc w:val="both"/>
      </w:pPr>
      <w:r>
        <w:t xml:space="preserve">We explore different environmental conditions specified by parameters </w:t>
      </w:r>
      <m:oMath>
        <m:r>
          <w:rPr>
            <w:rFonts w:ascii="Cambria Math" w:eastAsia="Cambria Math" w:hAnsi="Cambria Math" w:cs="Cambria Math"/>
          </w:rPr>
          <m:t>B, C, E, F, T, G</m:t>
        </m:r>
      </m:oMath>
      <w:r>
        <w:t xml:space="preserve"> and </w:t>
      </w:r>
      <m:oMath>
        <m:sSub>
          <m:sSubPr>
            <m:ctrlPr>
              <w:rPr>
                <w:rFonts w:ascii="Cambria Math" w:hAnsi="Cambria Math"/>
              </w:rPr>
            </m:ctrlPr>
          </m:sSubPr>
          <m:e>
            <m:r>
              <w:rPr>
                <w:rFonts w:ascii="Cambria Math" w:hAnsi="Cambria Math"/>
              </w:rPr>
              <m:t>ψ</m:t>
            </m:r>
          </m:e>
          <m:sub>
            <m:r>
              <w:rPr>
                <w:rFonts w:ascii="Cambria Math" w:hAnsi="Cambria Math"/>
              </w:rPr>
              <m:t>0</m:t>
            </m:r>
          </m:sub>
        </m:sSub>
      </m:oMath>
      <w:r>
        <w:t xml:space="preserve">. For each </w:t>
      </w:r>
      <w:proofErr w:type="gramStart"/>
      <w:r>
        <w:t>environment,  we</w:t>
      </w:r>
      <w:proofErr w:type="gramEnd"/>
      <w:r>
        <w:t xml:space="preserve"> reconstruct the fitness landscapes with respect to defense investment strategy by </w:t>
      </w:r>
      <w:proofErr w:type="gramStart"/>
      <w:r>
        <w:t>numerically  solving</w:t>
      </w:r>
      <w:proofErr w:type="gramEnd"/>
      <w:r>
        <w:t xml:space="preserve"> the system of equations until the equilibrium state is reached for a range of </w:t>
      </w:r>
      <m:oMath>
        <m:r>
          <w:rPr>
            <w:rFonts w:ascii="Cambria Math" w:eastAsia="Cambria Math" w:hAnsi="Cambria Math" w:cs="Cambria Math"/>
          </w:rPr>
          <m:t>1-T≤  a ≤ 1</m:t>
        </m:r>
      </m:oMath>
      <w:r>
        <w:t xml:space="preserve"> and </w:t>
      </w:r>
      <m:oMath>
        <m:r>
          <w:rPr>
            <w:rFonts w:ascii="Cambria Math" w:eastAsia="Cambria Math" w:hAnsi="Cambria Math" w:cs="Cambria Math"/>
          </w:rPr>
          <m:t>0 ≤ r ≤ E</m:t>
        </m:r>
      </m:oMath>
      <w:r>
        <w:t xml:space="preserve">. The fitness of an investment phenotype </w:t>
      </w: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0</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 xml:space="preserve">0 </m:t>
            </m:r>
          </m:sub>
        </m:sSub>
      </m:oMath>
      <w:r>
        <w:t xml:space="preserve"> </w:t>
      </w:r>
      <w:proofErr w:type="gramStart"/>
      <w:r>
        <w:t>in a given</w:t>
      </w:r>
      <w:proofErr w:type="gramEnd"/>
      <w:r>
        <w:t xml:space="preserve"> environment is defined as the equilibrium size of the cell population adopting this strategy (or the geometric mean of peaks if the population size exhibited cyclic behavior at pseudo steady state).   </w:t>
      </w:r>
    </w:p>
    <w:p w14:paraId="00000018" w14:textId="77777777" w:rsidR="00342954" w:rsidRDefault="00000000">
      <w:pPr>
        <w:spacing w:before="240" w:after="140"/>
        <w:jc w:val="both"/>
      </w:pPr>
      <w:r>
        <w:t xml:space="preserve">The scripts used to run the simulations can be accessed at </w:t>
      </w:r>
      <w:hyperlink r:id="rId7">
        <w:r w:rsidR="00342954">
          <w:rPr>
            <w:color w:val="1155CC"/>
            <w:u w:val="single"/>
          </w:rPr>
          <w:t>https://github.com/Captain-Blackstone/PCD_vs_Immunity_Simulations</w:t>
        </w:r>
      </w:hyperlink>
      <w:r>
        <w:t xml:space="preserve">. </w:t>
      </w:r>
    </w:p>
    <w:p w14:paraId="00000019" w14:textId="77777777" w:rsidR="00342954" w:rsidRPr="00F156E7" w:rsidRDefault="00000000">
      <w:pPr>
        <w:pStyle w:val="Heading2"/>
      </w:pPr>
      <w:bookmarkStart w:id="3" w:name="_in62and39efr" w:colFirst="0" w:colLast="0"/>
      <w:bookmarkEnd w:id="3"/>
      <w:r w:rsidRPr="00F156E7">
        <w:t>Structured population model</w:t>
      </w:r>
    </w:p>
    <w:p w14:paraId="0000001A" w14:textId="77777777" w:rsidR="00342954" w:rsidRPr="00F156E7" w:rsidRDefault="00000000">
      <w:pPr>
        <w:jc w:val="both"/>
      </w:pPr>
      <w:r w:rsidRPr="00F156E7">
        <w:t xml:space="preserve">Our structured population model consists of a fully connected graph of time-varying number of nodes, </w:t>
      </w:r>
      <m:oMath>
        <m:r>
          <w:rPr>
            <w:rFonts w:ascii="Cambria Math" w:hAnsi="Cambria Math"/>
          </w:rPr>
          <m:t>k</m:t>
        </m:r>
      </m:oMath>
      <w:r w:rsidRPr="00F156E7">
        <w:t xml:space="preserve">, where each node is a well-mixed subpopulation behaving as defined above generalized to admit the description of 2 cellular genotypes: altruist (PCD-competent), and cheater (PCD-incompetent), interacting with each other through shared media (including both nutrient, </w:t>
      </w:r>
      <m:oMath>
        <m:r>
          <w:rPr>
            <w:rFonts w:ascii="Cambria Math" w:hAnsi="Cambria Math"/>
          </w:rPr>
          <m:t>ϕ</m:t>
        </m:r>
      </m:oMath>
      <w:r w:rsidRPr="00F156E7">
        <w:t xml:space="preserve">, and virus, </w:t>
      </w:r>
      <m:oMath>
        <m:r>
          <w:rPr>
            <w:rFonts w:ascii="Cambria Math" w:hAnsi="Cambria Math"/>
          </w:rPr>
          <m:t>ψ,</m:t>
        </m:r>
      </m:oMath>
      <w:r w:rsidRPr="00F156E7">
        <w:t xml:space="preserve"> exposure). The defense strategy parameters are (</w:t>
      </w:r>
      <m:oMath>
        <m:sSub>
          <m:sSubPr>
            <m:ctrlPr>
              <w:rPr>
                <w:rFonts w:ascii="Cambria Math" w:hAnsi="Cambria Math"/>
              </w:rPr>
            </m:ctrlPr>
          </m:sSubPr>
          <m:e>
            <m:r>
              <w:rPr>
                <w:rFonts w:ascii="Cambria Math" w:hAnsi="Cambria Math"/>
              </w:rPr>
              <m:t>a</m:t>
            </m:r>
          </m:e>
          <m:sub>
            <m:r>
              <w:rPr>
                <w:rFonts w:ascii="Cambria Math" w:hAnsi="Cambria Math"/>
              </w:rPr>
              <m:t>opt</m:t>
            </m:r>
          </m:sub>
        </m:sSub>
        <m: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opt</m:t>
            </m:r>
          </m:sub>
        </m:sSub>
      </m:oMath>
      <w:r w:rsidRPr="00F156E7">
        <w:t>) and (</w:t>
      </w:r>
      <m:oMath>
        <m:r>
          <w:rPr>
            <w:rFonts w:ascii="Cambria Math" w:hAnsi="Cambria Math"/>
          </w:rPr>
          <m:t xml:space="preserve">0, </m:t>
        </m:r>
        <m:sSub>
          <m:sSubPr>
            <m:ctrlPr>
              <w:rPr>
                <w:rFonts w:ascii="Cambria Math" w:hAnsi="Cambria Math"/>
              </w:rPr>
            </m:ctrlPr>
          </m:sSubPr>
          <m:e>
            <m:r>
              <w:rPr>
                <w:rFonts w:ascii="Cambria Math" w:hAnsi="Cambria Math"/>
              </w:rPr>
              <m:t>r</m:t>
            </m:r>
          </m:e>
          <m:sub>
            <m:r>
              <w:rPr>
                <w:rFonts w:ascii="Cambria Math" w:hAnsi="Cambria Math"/>
              </w:rPr>
              <m:t>opt</m:t>
            </m:r>
          </m:sub>
        </m:sSub>
      </m:oMath>
      <w:r w:rsidRPr="00F156E7">
        <w:t>) for the altruist and cheater genotypes respectively.</w:t>
      </w:r>
    </w:p>
    <w:p w14:paraId="0000001B" w14:textId="77777777" w:rsidR="00342954" w:rsidRDefault="00342954">
      <w:pPr>
        <w:jc w:val="both"/>
        <w:rPr>
          <w:highlight w:val="yellow"/>
        </w:rPr>
      </w:pPr>
    </w:p>
    <w:p w14:paraId="0000001C" w14:textId="5BCCCB0F" w:rsidR="00342954" w:rsidRPr="00F156E7" w:rsidRDefault="00000000">
      <w:pPr>
        <w:jc w:val="both"/>
      </w:pPr>
      <w:r w:rsidRPr="00F156E7">
        <w:t xml:space="preserve">Subpopulations undergo a birth-death process with birth rate </w:t>
      </w:r>
      <m:oMath>
        <m:r>
          <w:rPr>
            <w:rFonts w:ascii="Cambria Math" w:hAnsi="Cambria Math"/>
          </w:rPr>
          <m:t>b</m:t>
        </m:r>
        <m:f>
          <m:fPr>
            <m:ctrlPr>
              <w:rPr>
                <w:rFonts w:ascii="Cambria Math" w:hAnsi="Cambria Math"/>
              </w:rPr>
            </m:ctrlPr>
          </m:fPr>
          <m:num>
            <m:r>
              <w:rPr>
                <w:rFonts w:ascii="Cambria Math" w:hAnsi="Cambria Math"/>
              </w:rPr>
              <m:t>(K-k)</m:t>
            </m:r>
          </m:num>
          <m:den>
            <m:r>
              <w:rPr>
                <w:rFonts w:ascii="Cambria Math" w:hAnsi="Cambria Math"/>
              </w:rPr>
              <m:t>K</m:t>
            </m:r>
          </m:den>
        </m:f>
      </m:oMath>
      <w:r w:rsidRPr="00F156E7">
        <w:t xml:space="preserve"> and death rate </w:t>
      </w:r>
      <m:oMath>
        <m:r>
          <w:rPr>
            <w:rFonts w:ascii="Cambria Math" w:hAnsi="Cambria Math"/>
          </w:rPr>
          <m:t xml:space="preserve">d, </m:t>
        </m:r>
      </m:oMath>
      <w:r w:rsidRPr="00F156E7">
        <w:t xml:space="preserve">where </w:t>
      </w:r>
      <m:oMath>
        <m:r>
          <w:rPr>
            <w:rFonts w:ascii="Cambria Math" w:hAnsi="Cambria Math"/>
          </w:rPr>
          <m:t>K</m:t>
        </m:r>
      </m:oMath>
      <w:r w:rsidRPr="00F156E7">
        <w:t xml:space="preserve"> is the carrying capacity of the global environment (for example the human host population in the context of gut symbionts). </w:t>
      </w:r>
      <w:proofErr w:type="gramStart"/>
      <w:r w:rsidRPr="00F156E7">
        <w:t>Subpopulations are</w:t>
      </w:r>
      <w:proofErr w:type="gramEnd"/>
      <w:r w:rsidRPr="00F156E7">
        <w:t xml:space="preserve"> born empty and </w:t>
      </w:r>
      <w:proofErr w:type="gramStart"/>
      <w:r w:rsidRPr="00F156E7">
        <w:t>populate</w:t>
      </w:r>
      <w:proofErr w:type="gramEnd"/>
      <w:r w:rsidRPr="00F156E7">
        <w:t xml:space="preserve"> </w:t>
      </w:r>
      <w:proofErr w:type="gramStart"/>
      <w:r w:rsidRPr="00F156E7">
        <w:t>as a result of</w:t>
      </w:r>
      <w:proofErr w:type="gramEnd"/>
      <w:r w:rsidRPr="00F156E7">
        <w:t xml:space="preserve"> migration. The initial conditions in all newborn subpopulations are fixed (</w:t>
      </w:r>
      <m:oMath>
        <m:r>
          <w:rPr>
            <w:rFonts w:ascii="Cambria Math" w:hAnsi="Cambria Math"/>
          </w:rPr>
          <m:t>ϕ=</m:t>
        </m:r>
        <m:sSub>
          <m:sSubPr>
            <m:ctrlPr>
              <w:rPr>
                <w:rFonts w:ascii="Cambria Math" w:hAnsi="Cambria Math"/>
              </w:rPr>
            </m:ctrlPr>
          </m:sSubPr>
          <m:e>
            <m:r>
              <w:rPr>
                <w:rFonts w:ascii="Cambria Math" w:hAnsi="Cambria Math"/>
              </w:rPr>
              <m:t>ϕ</m:t>
            </m:r>
          </m:e>
          <m:sub>
            <m:r>
              <w:rPr>
                <w:rFonts w:ascii="Cambria Math" w:hAnsi="Cambria Math"/>
              </w:rPr>
              <m:t>0</m:t>
            </m:r>
          </m:sub>
        </m:sSub>
        <m:r>
          <w:rPr>
            <w:rFonts w:ascii="Cambria Math" w:hAnsi="Cambria Math"/>
          </w:rPr>
          <m:t>, ψ=</m:t>
        </m:r>
        <m:sSub>
          <m:sSubPr>
            <m:ctrlPr>
              <w:rPr>
                <w:rFonts w:ascii="Cambria Math" w:hAnsi="Cambria Math"/>
              </w:rPr>
            </m:ctrlPr>
          </m:sSubPr>
          <m:e>
            <m:r>
              <w:rPr>
                <w:rFonts w:ascii="Cambria Math" w:hAnsi="Cambria Math"/>
              </w:rPr>
              <m:t>ψ</m:t>
            </m:r>
          </m:e>
          <m:sub>
            <m:r>
              <w:rPr>
                <w:rFonts w:ascii="Cambria Math" w:hAnsi="Cambria Math"/>
              </w:rPr>
              <m:t>0</m:t>
            </m:r>
          </m:sub>
        </m:sSub>
        <m:r>
          <w:rPr>
            <w:rFonts w:ascii="Cambria Math" w:hAnsi="Cambria Math"/>
          </w:rPr>
          <m:t>).</m:t>
        </m:r>
      </m:oMath>
      <w:r w:rsidRPr="00F156E7">
        <w:t xml:space="preserve"> The time between migrations is drawn from an exponential distribution with mean </w:t>
      </w:r>
      <m:oMath>
        <m:r>
          <w:rPr>
            <w:rFonts w:ascii="Cambria Math" w:hAnsi="Cambria Math"/>
          </w:rPr>
          <m:t>m</m:t>
        </m:r>
      </m:oMath>
      <w:r w:rsidRPr="00F156E7">
        <w:t xml:space="preserve">. The source subpopulation is chosen with a probability proportional to the subpopulation size rounded to the nearest whole number, </w:t>
      </w:r>
      <m:oMath>
        <m:sSub>
          <m:sSubPr>
            <m:ctrlPr>
              <w:rPr>
                <w:rFonts w:ascii="Cambria Math" w:hAnsi="Cambria Math"/>
              </w:rPr>
            </m:ctrlPr>
          </m:sSubPr>
          <m:e>
            <m:r>
              <w:rPr>
                <w:rFonts w:ascii="Cambria Math" w:hAnsi="Cambria Math"/>
              </w:rPr>
              <m:t>N</m:t>
            </m:r>
          </m:e>
          <m:sub>
            <m:r>
              <w:rPr>
                <w:rFonts w:ascii="Cambria Math" w:hAnsi="Cambria Math"/>
              </w:rPr>
              <m:t>i</m:t>
            </m:r>
          </m:sub>
        </m:sSub>
      </m:oMath>
      <w:r w:rsidRPr="00F156E7">
        <w:t xml:space="preserve">: </w:t>
      </w:r>
      <m:oMath>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m:t>
        </m:r>
        <m:nary>
          <m:naryPr>
            <m:chr m:val="∑"/>
            <m:ctrlPr>
              <w:rPr>
                <w:rFonts w:ascii="Cambria Math" w:eastAsia="Cambria Math" w:hAnsi="Cambria Math" w:cs="Cambria Math"/>
              </w:rPr>
            </m:ctrlPr>
          </m:naryPr>
          <m:sub>
            <m:r>
              <w:rPr>
                <w:rFonts w:ascii="Cambria Math" w:eastAsia="Cambria Math" w:hAnsi="Cambria Math" w:cs="Cambria Math"/>
              </w:rPr>
              <m:t>j=1</m:t>
            </m:r>
          </m:sub>
          <m:sup>
            <m:r>
              <w:rPr>
                <w:rFonts w:ascii="Cambria Math" w:eastAsia="Cambria Math" w:hAnsi="Cambria Math" w:cs="Cambria Math"/>
              </w:rPr>
              <m:t>k</m:t>
            </m:r>
          </m:sup>
          <m:e>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j</m:t>
                </m:r>
              </m:sub>
            </m:sSub>
          </m:e>
        </m:nary>
      </m:oMath>
      <w:r w:rsidR="00F156E7">
        <w:t xml:space="preserve"> </w:t>
      </w:r>
      <w:r w:rsidRPr="00F156E7">
        <w:t xml:space="preserve">and the destination subpopulation is chosen with uniform probability. When migration occurs, the number of migrants </w:t>
      </w:r>
      <m:oMath>
        <m:sSub>
          <m:sSubPr>
            <m:ctrlPr>
              <w:rPr>
                <w:rFonts w:ascii="Cambria Math" w:hAnsi="Cambria Math"/>
              </w:rPr>
            </m:ctrlPr>
          </m:sSubPr>
          <m:e>
            <m:r>
              <w:rPr>
                <w:rFonts w:ascii="Cambria Math" w:hAnsi="Cambria Math"/>
              </w:rPr>
              <m:t>n</m:t>
            </m:r>
          </m:e>
          <m:sub>
            <m:r>
              <w:rPr>
                <w:rFonts w:ascii="Cambria Math" w:hAnsi="Cambria Math"/>
              </w:rPr>
              <m:t>m</m:t>
            </m:r>
          </m:sub>
        </m:sSub>
      </m:oMath>
      <w:r w:rsidRPr="00F156E7">
        <w:t xml:space="preserve"> to be transferred to the destination subpopulation from the source population is drawn from the binomial distribution with parameters </w:t>
      </w:r>
      <m:oMath>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 f</m:t>
        </m:r>
      </m:oMath>
      <w:r w:rsidRPr="00F156E7">
        <w:t xml:space="preserve"> where </w:t>
      </w:r>
      <m:oMath>
        <m:r>
          <w:rPr>
            <w:rFonts w:ascii="Cambria Math" w:hAnsi="Cambria Math"/>
          </w:rPr>
          <m:t>f</m:t>
        </m:r>
      </m:oMath>
      <w:r w:rsidRPr="00F156E7">
        <w:t xml:space="preserve"> is a fixed fraction of the source population</w:t>
      </w:r>
      <w:proofErr w:type="gramStart"/>
      <w:r w:rsidRPr="00F156E7">
        <w:t>.</w:t>
      </w:r>
      <w:proofErr w:type="gramEnd"/>
      <w:r w:rsidRPr="00F156E7">
        <w:t xml:space="preserve"> Across all simulations, </w:t>
      </w:r>
      <m:oMath>
        <m:r>
          <w:rPr>
            <w:rFonts w:ascii="Cambria Math" w:hAnsi="Cambria Math"/>
          </w:rPr>
          <m:t>f=1</m:t>
        </m:r>
        <m:sSup>
          <m:sSupPr>
            <m:ctrlPr>
              <w:rPr>
                <w:rFonts w:ascii="Cambria Math" w:hAnsi="Cambria Math"/>
              </w:rPr>
            </m:ctrlPr>
          </m:sSupPr>
          <m:e>
            <m:r>
              <w:rPr>
                <w:rFonts w:ascii="Cambria Math" w:hAnsi="Cambria Math"/>
              </w:rPr>
              <m:t>0</m:t>
            </m:r>
          </m:e>
          <m:sup>
            <m:r>
              <w:rPr>
                <w:rFonts w:ascii="Cambria Math" w:hAnsi="Cambria Math"/>
              </w:rPr>
              <m:t>-4</m:t>
            </m:r>
          </m:sup>
        </m:sSup>
      </m:oMath>
      <w:r w:rsidRPr="00F156E7">
        <w:t xml:space="preserve"> (typically dozens of cells are chosen for </w:t>
      </w:r>
      <w:proofErr w:type="gramStart"/>
      <w:r w:rsidRPr="00F156E7">
        <w:t>migration).</w:t>
      </w:r>
      <w:proofErr w:type="gramEnd"/>
      <w:r w:rsidRPr="00F156E7">
        <w:t xml:space="preserve"> The number of migrants with altruist genotype </w:t>
      </w:r>
      <m:oMath>
        <m:sSub>
          <m:sSubPr>
            <m:ctrlPr>
              <w:rPr>
                <w:rFonts w:ascii="Cambria Math" w:hAnsi="Cambria Math"/>
              </w:rPr>
            </m:ctrlPr>
          </m:sSubPr>
          <m:e>
            <m:r>
              <w:rPr>
                <w:rFonts w:ascii="Cambria Math" w:hAnsi="Cambria Math"/>
              </w:rPr>
              <m:t>n</m:t>
            </m:r>
          </m:e>
          <m:sub>
            <m:r>
              <w:rPr>
                <w:rFonts w:ascii="Cambria Math" w:hAnsi="Cambria Math"/>
              </w:rPr>
              <m:t>ma</m:t>
            </m:r>
          </m:sub>
        </m:sSub>
      </m:oMath>
      <w:r w:rsidRPr="00F156E7">
        <w:t xml:space="preserve"> is drawn from a binomial distribution with parameters </w:t>
      </w:r>
      <m:oMath>
        <m:sSub>
          <m:sSubPr>
            <m:ctrlPr>
              <w:rPr>
                <w:rFonts w:ascii="Cambria Math" w:hAnsi="Cambria Math"/>
              </w:rPr>
            </m:ctrlPr>
          </m:sSubPr>
          <m:e>
            <m:r>
              <w:rPr>
                <w:rFonts w:ascii="Cambria Math" w:hAnsi="Cambria Math"/>
              </w:rPr>
              <m:t>n</m:t>
            </m:r>
          </m:e>
          <m:sub>
            <m:r>
              <w:rPr>
                <w:rFonts w:ascii="Cambria Math" w:hAnsi="Cambria Math"/>
              </w:rPr>
              <m:t>m</m:t>
            </m:r>
          </m:sub>
        </m:sSub>
        <m: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N</m:t>
                </m:r>
              </m:e>
              <m:sub>
                <m:r>
                  <w:rPr>
                    <w:rFonts w:ascii="Cambria Math" w:hAnsi="Cambria Math"/>
                  </w:rPr>
                  <m:t>i</m:t>
                </m:r>
              </m:sub>
            </m:sSub>
          </m:e>
          <m:sup>
            <m:r>
              <w:rPr>
                <w:rFonts w:ascii="Cambria Math" w:hAnsi="Cambria Math"/>
              </w:rPr>
              <m:t>a</m:t>
            </m:r>
          </m:sup>
        </m:sSup>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 xml:space="preserve"> </m:t>
        </m:r>
      </m:oMath>
      <w:r w:rsidRPr="00F156E7">
        <w:t xml:space="preserve"> where </w:t>
      </w:r>
      <m:oMath>
        <m:sSup>
          <m:sSupPr>
            <m:ctrlPr>
              <w:rPr>
                <w:rFonts w:ascii="Cambria Math" w:hAnsi="Cambria Math"/>
              </w:rPr>
            </m:ctrlPr>
          </m:sSupPr>
          <m:e>
            <m:sSub>
              <m:sSubPr>
                <m:ctrlPr>
                  <w:rPr>
                    <w:rFonts w:ascii="Cambria Math" w:hAnsi="Cambria Math"/>
                  </w:rPr>
                </m:ctrlPr>
              </m:sSubPr>
              <m:e>
                <m:r>
                  <w:rPr>
                    <w:rFonts w:ascii="Cambria Math" w:hAnsi="Cambria Math"/>
                  </w:rPr>
                  <m:t>N</m:t>
                </m:r>
              </m:e>
              <m:sub>
                <m:r>
                  <w:rPr>
                    <w:rFonts w:ascii="Cambria Math" w:hAnsi="Cambria Math"/>
                  </w:rPr>
                  <m:t>i</m:t>
                </m:r>
              </m:sub>
            </m:sSub>
          </m:e>
          <m:sup>
            <m:r>
              <w:rPr>
                <w:rFonts w:ascii="Cambria Math" w:hAnsi="Cambria Math"/>
              </w:rPr>
              <m:t>a</m:t>
            </m:r>
          </m:sup>
        </m:sSup>
      </m:oMath>
      <w:r w:rsidR="00F156E7">
        <w:t xml:space="preserve"> </w:t>
      </w:r>
      <w:r w:rsidRPr="00F156E7">
        <w:t xml:space="preserve">is the number of altruists in the source subpopulation (consequently, the number of migrating cheaters is </w:t>
      </w:r>
      <m:oMath>
        <m:sSub>
          <m:sSubPr>
            <m:ctrlPr>
              <w:rPr>
                <w:rFonts w:ascii="Cambria Math" w:hAnsi="Cambria Math"/>
              </w:rPr>
            </m:ctrlPr>
          </m:sSubPr>
          <m:e>
            <m:r>
              <w:rPr>
                <w:rFonts w:ascii="Cambria Math" w:hAnsi="Cambria Math"/>
              </w:rPr>
              <m:t>n</m:t>
            </m:r>
          </m:e>
          <m:sub>
            <m:r>
              <w:rPr>
                <w:rFonts w:ascii="Cambria Math" w:hAnsi="Cambria Math"/>
              </w:rPr>
              <m:t>mc</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m</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ma</m:t>
            </m:r>
          </m:sub>
        </m:sSub>
      </m:oMath>
      <w:r w:rsidRPr="00F156E7">
        <w:t>). Migration probability is independent of the volume and virus load state, (</w:t>
      </w:r>
      <m:oMath>
        <m:r>
          <w:rPr>
            <w:rFonts w:ascii="Cambria Math" w:hAnsi="Cambria Math"/>
          </w:rPr>
          <m:t>p, q</m:t>
        </m:r>
      </m:oMath>
      <w:r w:rsidRPr="00F156E7">
        <w:t xml:space="preserve">). </w:t>
      </w:r>
    </w:p>
    <w:p w14:paraId="0000001D" w14:textId="77777777" w:rsidR="00342954" w:rsidRDefault="00000000">
      <w:pPr>
        <w:pStyle w:val="Heading2"/>
      </w:pPr>
      <w:bookmarkStart w:id="4" w:name="_44sinio" w:colFirst="0" w:colLast="0"/>
      <w:bookmarkEnd w:id="4"/>
      <w:r>
        <w:t xml:space="preserve">Analysis of genomic investment in </w:t>
      </w:r>
      <w:proofErr w:type="spellStart"/>
      <w:r>
        <w:t>PCD</w:t>
      </w:r>
      <w:proofErr w:type="spellEnd"/>
      <w:r>
        <w:t xml:space="preserve"> and Immunity </w:t>
      </w:r>
    </w:p>
    <w:p w14:paraId="0000001E" w14:textId="77777777" w:rsidR="00342954" w:rsidRDefault="00000000">
      <w:pPr>
        <w:jc w:val="both"/>
      </w:pPr>
      <w:r>
        <w:t xml:space="preserve">To estimate the investment in </w:t>
      </w:r>
      <w:proofErr w:type="spellStart"/>
      <w:r>
        <w:t>PCD</w:t>
      </w:r>
      <w:proofErr w:type="spellEnd"/>
      <w:r>
        <w:t xml:space="preserve"> and immunity in real bacterial genomes we used a combination of two datasets: PADLOC</w:t>
      </w:r>
      <w:r>
        <w:rPr>
          <w:vertAlign w:val="superscript"/>
        </w:rPr>
        <w:t>2</w:t>
      </w:r>
      <w:r>
        <w:t xml:space="preserve"> and Prok2311</w:t>
      </w:r>
      <w:r>
        <w:rPr>
          <w:vertAlign w:val="superscript"/>
        </w:rPr>
        <w:t>3</w:t>
      </w:r>
      <w:r>
        <w:t xml:space="preserve">. We downloaded the tables of identified defense genes with defense system assignments for 223572 bacterial genomes belonging to 16441 species from </w:t>
      </w:r>
      <w:proofErr w:type="spellStart"/>
      <w:r>
        <w:t>PADLOC</w:t>
      </w:r>
      <w:proofErr w:type="spellEnd"/>
      <w:r>
        <w:t xml:space="preserve">. This dataset contained a total of 239 bacterial defense systems. Using expert manual review we classified them into 104 </w:t>
      </w:r>
      <w:proofErr w:type="spellStart"/>
      <w:r>
        <w:t>PCD</w:t>
      </w:r>
      <w:proofErr w:type="spellEnd"/>
      <w:r>
        <w:t xml:space="preserve"> systems, 58 immunity systems, and 76 undefined systems. For each genome, we identified all genes associated with </w:t>
      </w:r>
      <w:proofErr w:type="spellStart"/>
      <w:r>
        <w:t>PCD</w:t>
      </w:r>
      <w:proofErr w:type="spellEnd"/>
      <w:r>
        <w:t xml:space="preserve"> and immunity based on the published information on the functionality of prokaryotic defense systems</w:t>
      </w:r>
      <w:r>
        <w:rPr>
          <w:vertAlign w:val="superscript"/>
        </w:rPr>
        <w:t>4</w:t>
      </w:r>
      <w:hyperlink r:id="rId8">
        <w:r w:rsidR="00342954">
          <w:rPr>
            <w:vertAlign w:val="superscript"/>
          </w:rPr>
          <w:t>,</w:t>
        </w:r>
      </w:hyperlink>
      <w:hyperlink r:id="rId9">
        <w:r w:rsidR="00342954">
          <w:rPr>
            <w:vertAlign w:val="superscript"/>
          </w:rPr>
          <w:t>5</w:t>
        </w:r>
      </w:hyperlink>
      <w:hyperlink r:id="rId10">
        <w:r w:rsidR="00342954">
          <w:rPr>
            <w:vertAlign w:val="superscript"/>
          </w:rPr>
          <w:t>,</w:t>
        </w:r>
      </w:hyperlink>
      <w:hyperlink r:id="rId11">
        <w:r w:rsidR="00342954">
          <w:rPr>
            <w:vertAlign w:val="superscript"/>
          </w:rPr>
          <w:t>6</w:t>
        </w:r>
      </w:hyperlink>
      <w:hyperlink r:id="rId12">
        <w:r w:rsidR="00342954">
          <w:rPr>
            <w:vertAlign w:val="superscript"/>
          </w:rPr>
          <w:t>,7</w:t>
        </w:r>
      </w:hyperlink>
      <w:r>
        <w:t xml:space="preserve">. Briefly, all defense systems capable of specific recognition and targeting of foreign molecules (typically, nucleic acids), such as CRISPR-Cas, Restriction-Modification, BREX, DISARM, DNA </w:t>
      </w:r>
      <w:proofErr w:type="spellStart"/>
      <w:r>
        <w:t>phosphorothioation</w:t>
      </w:r>
      <w:proofErr w:type="spellEnd"/>
      <w:r>
        <w:t xml:space="preserve">, and others, were classified as immunity, that is, mechanisms that cause virus clearance without damaging the host cell. By contrast, systems that cause dormancy or cell death, such as various abortive infection modules, toxin-antitoxins, </w:t>
      </w:r>
      <w:proofErr w:type="spellStart"/>
      <w:r>
        <w:t>CBASS</w:t>
      </w:r>
      <w:proofErr w:type="spellEnd"/>
      <w:r>
        <w:t xml:space="preserve">, and others, were classified as </w:t>
      </w:r>
      <w:proofErr w:type="spellStart"/>
      <w:r>
        <w:t>PCD</w:t>
      </w:r>
      <w:proofErr w:type="spellEnd"/>
      <w:r>
        <w:t>. The complete list of such assignments is provided in Supplementary Table 1.</w:t>
      </w:r>
    </w:p>
    <w:p w14:paraId="0000001F" w14:textId="77777777" w:rsidR="00342954" w:rsidRDefault="00342954">
      <w:pPr>
        <w:jc w:val="both"/>
      </w:pPr>
    </w:p>
    <w:p w14:paraId="00000020" w14:textId="77777777" w:rsidR="00342954" w:rsidRPr="00F156E7" w:rsidRDefault="00000000">
      <w:pPr>
        <w:jc w:val="both"/>
      </w:pPr>
      <w:r>
        <w:t>We disregarded the systems marked as “</w:t>
      </w:r>
      <w:proofErr w:type="spellStart"/>
      <w:r>
        <w:t>PDC</w:t>
      </w:r>
      <w:proofErr w:type="spellEnd"/>
      <w:r>
        <w:t xml:space="preserve">” (Phage Defense Candidate) in </w:t>
      </w:r>
      <w:proofErr w:type="spellStart"/>
      <w:r>
        <w:t>PADLOC</w:t>
      </w:r>
      <w:proofErr w:type="spellEnd"/>
      <w:r>
        <w:t xml:space="preserve"> as we could not assign labels to them, and, moreover, observed them to often be false positives. We then counted the number of genes belonging to </w:t>
      </w:r>
      <w:proofErr w:type="spellStart"/>
      <w:r>
        <w:t>PCD</w:t>
      </w:r>
      <w:proofErr w:type="spellEnd"/>
      <w:r>
        <w:t xml:space="preserve"> and Im</w:t>
      </w:r>
      <w:r w:rsidRPr="00F156E7">
        <w:t>munity systems in each genome and recorded the combined length in nucleotides of these two groups of genes. Alternatively, genomic investment could be proxied by the total length in nucleotides (not normalized by genome length), the total number of defense genes, or the total number of defense systems. Each of these measures has advantages. We chose to report the genome fraction for two principal reasons. First, selective pressures vary with genome size such that the cost of maintaining accessory genes is not equal among large and small genomes</w:t>
      </w:r>
      <w:r w:rsidRPr="00F156E7">
        <w:rPr>
          <w:vertAlign w:val="superscript"/>
        </w:rPr>
        <w:t>8</w:t>
      </w:r>
      <w:r w:rsidRPr="00F156E7">
        <w:t xml:space="preserve">. Second, the statistical fits presented in </w:t>
      </w:r>
      <w:r w:rsidRPr="00F156E7">
        <w:lastRenderedPageBreak/>
        <w:t>Figures 2B-D would require greater model complexity to achieve the same maximum likelihood and consequently would result in a worse overall BIC.</w:t>
      </w:r>
    </w:p>
    <w:p w14:paraId="00000021" w14:textId="77777777" w:rsidR="00342954" w:rsidRPr="00F156E7" w:rsidRDefault="00342954">
      <w:pPr>
        <w:jc w:val="both"/>
      </w:pPr>
    </w:p>
    <w:p w14:paraId="00000022" w14:textId="77777777" w:rsidR="00342954" w:rsidRPr="00F156E7" w:rsidRDefault="00000000">
      <w:pPr>
        <w:jc w:val="both"/>
      </w:pPr>
      <w:r w:rsidRPr="00F156E7">
        <w:t xml:space="preserve">It is important to note that, as new defense systems continue to be identified at a rapid pace, we are likely underpredicting the total number of defense systems in most if not all genomes. We expect, however, that the diversity of defense systems represented in our profiles is high enough that the observed ratio of immunity and </w:t>
      </w:r>
      <w:proofErr w:type="spellStart"/>
      <w:r w:rsidRPr="00F156E7">
        <w:t>PCD</w:t>
      </w:r>
      <w:proofErr w:type="spellEnd"/>
      <w:r w:rsidRPr="00F156E7">
        <w:t xml:space="preserve"> systems is not systematically biased at the genus level.</w:t>
      </w:r>
    </w:p>
    <w:p w14:paraId="00000023" w14:textId="77777777" w:rsidR="00342954" w:rsidRDefault="00342954">
      <w:pPr>
        <w:jc w:val="both"/>
      </w:pPr>
    </w:p>
    <w:p w14:paraId="00000024" w14:textId="77777777" w:rsidR="00342954" w:rsidRDefault="00000000">
      <w:pPr>
        <w:jc w:val="both"/>
      </w:pPr>
      <w:r>
        <w:t>Using the NCBI utility datasets</w:t>
      </w:r>
      <w:r>
        <w:rPr>
          <w:vertAlign w:val="superscript"/>
        </w:rPr>
        <w:t>9</w:t>
      </w:r>
      <w:r>
        <w:t xml:space="preserve"> we </w:t>
      </w:r>
      <w:proofErr w:type="gramStart"/>
      <w:r>
        <w:t>downloaded the</w:t>
      </w:r>
      <w:proofErr w:type="gramEnd"/>
      <w:r>
        <w:t xml:space="preserve"> </w:t>
      </w:r>
      <w:proofErr w:type="gramStart"/>
      <w:r>
        <w:t>metadata</w:t>
      </w:r>
      <w:proofErr w:type="gramEnd"/>
      <w:r>
        <w:t xml:space="preserve"> and extracted genome sizes for all the </w:t>
      </w:r>
      <w:proofErr w:type="spellStart"/>
      <w:r>
        <w:t>PADLOC</w:t>
      </w:r>
      <w:proofErr w:type="spellEnd"/>
      <w:r>
        <w:t xml:space="preserve"> genomes. Since </w:t>
      </w:r>
      <w:proofErr w:type="spellStart"/>
      <w:r>
        <w:t>PADLOC</w:t>
      </w:r>
      <w:proofErr w:type="spellEnd"/>
      <w:r>
        <w:t xml:space="preserve"> did not contain toxin-antitoxin (TA) systems, which we consider to be an important component of bacterial defense via PCD</w:t>
      </w:r>
      <w:r>
        <w:rPr>
          <w:vertAlign w:val="superscript"/>
        </w:rPr>
        <w:t>10</w:t>
      </w:r>
      <w:hyperlink r:id="rId13">
        <w:r w:rsidR="00342954">
          <w:rPr>
            <w:vertAlign w:val="superscript"/>
          </w:rPr>
          <w:t>,4</w:t>
        </w:r>
      </w:hyperlink>
      <w:r>
        <w:t xml:space="preserve">, we used the TA annotations from Prok2311. We extracted TA genes - those containing either a toxin or an antitoxin </w:t>
      </w:r>
      <w:proofErr w:type="gramStart"/>
      <w:r>
        <w:t>profile, and</w:t>
      </w:r>
      <w:proofErr w:type="gramEnd"/>
      <w:r>
        <w:t xml:space="preserve"> not containing any other functional profiles. We retained only pairs of toxins-antitoxins. A toxin and an antitoxin were considered a pair if each of them was the closest toxin/antitoxin to the other, and if there were no other genes located between them. The intersection between </w:t>
      </w:r>
      <w:proofErr w:type="spellStart"/>
      <w:r>
        <w:t>PADLOC</w:t>
      </w:r>
      <w:proofErr w:type="spellEnd"/>
      <w:r>
        <w:t xml:space="preserve"> and Prok2311 consisted of 25934 genomes belonging to 5121 species. We then randomly sampled 1 representative genome per species for a total of 5121 genomes. </w:t>
      </w:r>
    </w:p>
    <w:p w14:paraId="00000025" w14:textId="77777777" w:rsidR="00342954" w:rsidRDefault="00342954">
      <w:pPr>
        <w:jc w:val="both"/>
      </w:pPr>
    </w:p>
    <w:p w14:paraId="00000026" w14:textId="22BAE1B3" w:rsidR="00342954" w:rsidRDefault="00000000">
      <w:pPr>
        <w:jc w:val="both"/>
      </w:pPr>
      <w:r>
        <w:t>We assume that viral pressure (</w:t>
      </w:r>
      <m:oMath>
        <m:sSub>
          <m:sSubPr>
            <m:ctrlPr>
              <w:rPr>
                <w:rFonts w:ascii="Cambria Math" w:eastAsia="Cambria Math" w:hAnsi="Cambria Math" w:cs="Cambria Math"/>
              </w:rPr>
            </m:ctrlPr>
          </m:sSubPr>
          <m:e>
            <m:r>
              <w:rPr>
                <w:rFonts w:ascii="Cambria Math" w:hAnsi="Cambria Math"/>
              </w:rPr>
              <m:t>ψ</m:t>
            </m:r>
          </m:e>
          <m:sub>
            <m:r>
              <w:rPr>
                <w:rFonts w:ascii="Cambria Math" w:eastAsia="Cambria Math" w:hAnsi="Cambria Math" w:cs="Cambria Math"/>
              </w:rPr>
              <m:t>0</m:t>
            </m:r>
          </m:sub>
        </m:sSub>
      </m:oMath>
      <w:r>
        <w:t xml:space="preserve"> parameter in our model) is proportional to total genomic investment in defense, including both PCD and Immunity. We fit a lognormal model of the form </w:t>
      </w:r>
      <m:oMath>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PCD</m:t>
            </m:r>
          </m:sub>
        </m:sSub>
        <m:r>
          <w:rPr>
            <w:rFonts w:ascii="Cambria Math" w:eastAsia="Cambria Math" w:hAnsi="Cambria Math" w:cs="Cambria Math"/>
          </w:rPr>
          <m:t xml:space="preserve"> = β*</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Imm</m:t>
                </m:r>
              </m:sub>
            </m:sSub>
          </m:e>
          <m:sup>
            <m:r>
              <w:rPr>
                <w:rFonts w:ascii="Cambria Math" w:eastAsia="Cambria Math" w:hAnsi="Cambria Math" w:cs="Cambria Math"/>
              </w:rPr>
              <m:t>α</m:t>
            </m:r>
          </m:sup>
        </m:sSup>
        <m:r>
          <w:rPr>
            <w:rFonts w:ascii="Cambria Math" w:eastAsia="Cambria Math" w:hAnsi="Cambria Math" w:cs="Cambria Math"/>
          </w:rPr>
          <m:t xml:space="preserve"> </m:t>
        </m:r>
      </m:oMath>
      <w:r>
        <w:t xml:space="preserve">  where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PCD</m:t>
            </m:r>
          </m:sub>
        </m:sSub>
      </m:oMath>
      <w:r>
        <w:t xml:space="preserve"> and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Imm</m:t>
            </m:r>
          </m:sub>
        </m:sSub>
      </m:oMath>
      <w:r>
        <w:t xml:space="preserve"> are genomic investments in PCD and Immunity respectively and </w:t>
      </w:r>
      <m:oMath>
        <m:r>
          <w:rPr>
            <w:rFonts w:ascii="Cambria Math" w:hAnsi="Cambria Math"/>
          </w:rPr>
          <m:t>α</m:t>
        </m:r>
      </m:oMath>
      <w:r>
        <w:t xml:space="preserve"> and </w:t>
      </w:r>
      <m:oMath>
        <m:r>
          <w:rPr>
            <w:rFonts w:ascii="Cambria Math" w:hAnsi="Cambria Math"/>
          </w:rPr>
          <m:t>β</m:t>
        </m:r>
      </m:oMath>
      <w:r>
        <w:t xml:space="preserve"> are free parameters. More precisely, we fitted </w:t>
      </w:r>
      <m:oMath>
        <m:r>
          <w:rPr>
            <w:rFonts w:ascii="Cambria Math" w:eastAsia="Cambria Math" w:hAnsi="Cambria Math" w:cs="Cambria Math"/>
          </w:rPr>
          <m:t>α, β</m:t>
        </m:r>
      </m:oMath>
      <w:r>
        <w:t xml:space="preserve"> and the noise parameter </w:t>
      </w:r>
      <m:oMath>
        <m:r>
          <w:rPr>
            <w:rFonts w:ascii="Cambria Math" w:hAnsi="Cambria Math"/>
          </w:rPr>
          <m:t>ϵ</m:t>
        </m:r>
      </m:oMath>
      <w:r>
        <w:t xml:space="preserve"> were selected to maximize the likelihood function:</w:t>
      </w:r>
    </w:p>
    <w:p w14:paraId="00000027" w14:textId="12585BE3" w:rsidR="00342954" w:rsidRDefault="00000000">
      <w:pPr>
        <w:jc w:val="center"/>
        <w:rPr>
          <w:rFonts w:ascii="Cambria Math" w:eastAsia="Cambria Math" w:hAnsi="Cambria Math" w:cs="Cambria Math"/>
        </w:rPr>
      </w:pPr>
      <m:oMathPara>
        <m:oMath>
          <m:r>
            <w:rPr>
              <w:rFonts w:ascii="Cambria Math" w:eastAsia="Cambria Math" w:hAnsi="Cambria Math" w:cs="Cambria Math"/>
            </w:rPr>
            <m:t xml:space="preserve">logL= </m:t>
          </m:r>
          <m:nary>
            <m:naryPr>
              <m:chr m:val="∑"/>
              <m:limLoc m:val="undOvr"/>
              <m:supHide m:val="1"/>
              <m:ctrlPr>
                <w:rPr>
                  <w:rFonts w:ascii="Cambria Math" w:eastAsia="Cambria Math" w:hAnsi="Cambria Math" w:cs="Cambria Math"/>
                  <w:i/>
                </w:rPr>
              </m:ctrlPr>
            </m:naryPr>
            <m:sub>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Imm</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PCD</m:t>
                  </m:r>
                </m:sub>
              </m:sSub>
            </m:sub>
            <m:sup/>
            <m:e>
              <m:r>
                <w:rPr>
                  <w:rFonts w:ascii="Cambria Math" w:eastAsia="Cambria Math" w:hAnsi="Cambria Math" w:cs="Cambria Math"/>
                </w:rPr>
                <m:t>log(logNorm.pdf(</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Imm</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best</m:t>
                  </m:r>
                </m:sub>
              </m:sSub>
              <m:r>
                <w:rPr>
                  <w:rFonts w:ascii="Cambria Math" w:eastAsia="Cambria Math" w:hAnsi="Cambria Math" w:cs="Cambria Math"/>
                </w:rPr>
                <m:t>, ϵ) +log(logNorm.pdf(</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PCD</m:t>
                  </m:r>
                </m:sub>
              </m:sSub>
              <m:r>
                <w:rPr>
                  <w:rFonts w:ascii="Cambria Math" w:eastAsia="Cambria Math" w:hAnsi="Cambria Math" w:cs="Cambria Math"/>
                </w:rPr>
                <m:t>, β</m:t>
              </m:r>
            </m:e>
          </m:nary>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best</m:t>
                  </m:r>
                </m:sub>
              </m:sSub>
            </m:e>
            <m:sup>
              <m:r>
                <w:rPr>
                  <w:rFonts w:ascii="Cambria Math" w:eastAsia="Cambria Math" w:hAnsi="Cambria Math" w:cs="Cambria Math"/>
                </w:rPr>
                <m:t>α</m:t>
              </m:r>
            </m:sup>
          </m:sSup>
          <m:r>
            <w:rPr>
              <w:rFonts w:ascii="Cambria Math" w:eastAsia="Cambria Math" w:hAnsi="Cambria Math" w:cs="Cambria Math"/>
            </w:rPr>
            <m:t>, ϵ))</m:t>
          </m:r>
        </m:oMath>
      </m:oMathPara>
    </w:p>
    <w:p w14:paraId="00000028" w14:textId="77777777" w:rsidR="00342954" w:rsidRDefault="00000000">
      <w:pPr>
        <w:jc w:val="both"/>
      </w:pPr>
      <w:r>
        <w:t xml:space="preserve">This function assumes that for the  true optimal investment in immunity,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best</m:t>
            </m:r>
          </m:sub>
        </m:sSub>
      </m:oMath>
      <w:r>
        <w:t xml:space="preserve">, the observed value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Imm</m:t>
            </m:r>
          </m:sub>
        </m:sSub>
      </m:oMath>
      <w:r>
        <w:t xml:space="preserve"> is drawn from a distribution centered on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best</m:t>
            </m:r>
          </m:sub>
        </m:sSub>
      </m:oMath>
      <w:r>
        <w:t xml:space="preserve"> with lognormally distributed noise </w:t>
      </w:r>
      <m:oMath>
        <m:r>
          <w:rPr>
            <w:rFonts w:ascii="Cambria Math" w:hAnsi="Cambria Math"/>
          </w:rPr>
          <m:t>ϵ</m:t>
        </m:r>
      </m:oMath>
      <w:r>
        <w:t xml:space="preserve">; the observed value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PCD</m:t>
            </m:r>
          </m:sub>
        </m:sSub>
      </m:oMath>
      <w:r>
        <w:t xml:space="preserve"> is drawn from a distribution centered on </w:t>
      </w:r>
      <m:oMath>
        <m:r>
          <w:rPr>
            <w:rFonts w:ascii="Cambria Math" w:eastAsia="Cambria Math" w:hAnsi="Cambria Math" w:cs="Cambria Math"/>
          </w:rPr>
          <m:t>β*</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best</m:t>
                </m:r>
              </m:sub>
            </m:sSub>
          </m:e>
          <m:sup>
            <m:r>
              <w:rPr>
                <w:rFonts w:ascii="Cambria Math" w:eastAsia="Cambria Math" w:hAnsi="Cambria Math" w:cs="Cambria Math"/>
              </w:rPr>
              <m:t>α</m:t>
            </m:r>
          </m:sup>
        </m:sSup>
      </m:oMath>
      <w:r>
        <w:t xml:space="preserve"> with the same </w:t>
      </w:r>
      <m:oMath>
        <m:r>
          <w:rPr>
            <w:rFonts w:ascii="Cambria Math" w:hAnsi="Cambria Math"/>
          </w:rPr>
          <m:t>ϵ</m:t>
        </m:r>
      </m:oMath>
      <w:r>
        <w:t xml:space="preserve"> noise term. The value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best</m:t>
            </m:r>
          </m:sub>
        </m:sSub>
      </m:oMath>
      <w:r>
        <w:t xml:space="preserve"> was chosen for each point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Imm</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PCD</m:t>
            </m:r>
          </m:sub>
        </m:sSub>
      </m:oMath>
      <w:r>
        <w:t xml:space="preserve"> separately maximizing the total likelihood. We dropped 464 genomes with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Imm</m:t>
            </m:r>
          </m:sub>
        </m:sSub>
        <m:r>
          <w:rPr>
            <w:rFonts w:ascii="Cambria Math" w:eastAsia="Cambria Math" w:hAnsi="Cambria Math" w:cs="Cambria Math"/>
          </w:rPr>
          <m:t>=0</m:t>
        </m:r>
      </m:oMath>
      <w:r>
        <w:t xml:space="preserve"> or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PCD</m:t>
            </m:r>
          </m:sub>
        </m:sSub>
        <m:r>
          <w:rPr>
            <w:rFonts w:ascii="Cambria Math" w:eastAsia="Cambria Math" w:hAnsi="Cambria Math" w:cs="Cambria Math"/>
          </w:rPr>
          <m:t>=0</m:t>
        </m:r>
      </m:oMath>
      <w:r>
        <w:t xml:space="preserve"> which could not be suitably accommodated within our likelihood function. </w:t>
      </w:r>
    </w:p>
    <w:p w14:paraId="00000029" w14:textId="77777777" w:rsidR="00342954" w:rsidRDefault="00000000">
      <w:pPr>
        <w:pStyle w:val="Heading2"/>
      </w:pPr>
      <w:bookmarkStart w:id="5" w:name="_2jxsxqh" w:colFirst="0" w:colLast="0"/>
      <w:bookmarkEnd w:id="5"/>
      <w:r>
        <w:t>Microbiome abundance data analysis</w:t>
      </w:r>
    </w:p>
    <w:p w14:paraId="0000002A" w14:textId="77777777" w:rsidR="00342954" w:rsidRDefault="00000000">
      <w:pPr>
        <w:spacing w:after="80"/>
        <w:jc w:val="both"/>
      </w:pPr>
      <w:r>
        <w:t>We downloaded 8982 samples of healthy adults from curatedMetagenomicData</w:t>
      </w:r>
      <w:r>
        <w:rPr>
          <w:vertAlign w:val="superscript"/>
        </w:rPr>
        <w:t>1</w:t>
      </w:r>
      <w:hyperlink r:id="rId14">
        <w:r w:rsidR="00342954">
          <w:rPr>
            <w:vertAlign w:val="superscript"/>
          </w:rPr>
          <w:t>1</w:t>
        </w:r>
      </w:hyperlink>
      <w:r>
        <w:t xml:space="preserve">. We used the </w:t>
      </w:r>
      <w:proofErr w:type="spellStart"/>
      <w:r>
        <w:t>ncbi</w:t>
      </w:r>
      <w:proofErr w:type="spellEnd"/>
      <w:r>
        <w:t xml:space="preserve">-taxonomist python module to extract species names from NCBI IDs used in this resource. For each sample we used ranked abundances of all the species. We excluded species that were found in fewer than 100 samples. We then classified the remaining species into subsets representing high-abundant and low-abundant representatives, discarding intermediate species for which abundance was highly variable across individuals. A species was classified as high-abundant if the 1st quartile of the distribution of its rank abundances across samples was higher than a certain threshold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a</m:t>
            </m:r>
          </m:sub>
        </m:sSub>
      </m:oMath>
      <w:r>
        <w:t xml:space="preserve"> (integer value representing the rank threshold); likewise, a species </w:t>
      </w:r>
      <w:r>
        <w:lastRenderedPageBreak/>
        <w:t xml:space="preserve">was classified as low-abundant if the 3d quartile of the same distribution was lower then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a</m:t>
            </m:r>
          </m:sub>
        </m:sSub>
      </m:oMath>
      <w:r>
        <w:t xml:space="preserve"> (</w:t>
      </w:r>
      <w:r w:rsidRPr="00F156E7">
        <w:t xml:space="preserve">Supplementary Figure 9). We picked the threshold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a</m:t>
            </m:r>
          </m:sub>
        </m:sSub>
      </m:oMath>
      <w:r w:rsidRPr="00F156E7">
        <w:t xml:space="preserve"> to maximize the number of species for which genomes were available within our </w:t>
      </w:r>
      <w:proofErr w:type="gramStart"/>
      <w:r w:rsidRPr="00F156E7">
        <w:t>dataset belonging</w:t>
      </w:r>
      <w:proofErr w:type="gramEnd"/>
      <w:r w:rsidRPr="00F156E7">
        <w:t xml:space="preserve"> to the smallest of the two (high-abundant, low-abundant) categories. This procedure yielded 39 high-abundant and 37 low-abundant species. We used the Mann</w:t>
      </w:r>
      <w:r>
        <w:t>-Whitney U test to determine statistical significance between these two groups with respect to genomic investment in PCD and Immunity.</w:t>
      </w:r>
    </w:p>
    <w:p w14:paraId="0000002B" w14:textId="77777777" w:rsidR="00342954" w:rsidRDefault="00000000">
      <w:pPr>
        <w:spacing w:after="80"/>
        <w:jc w:val="both"/>
      </w:pPr>
      <w:r>
        <w:t xml:space="preserve">To assess to what extent the effect observed was driven by genome size differences between the groups, we calculated the deviation of </w:t>
      </w:r>
      <w:proofErr w:type="spellStart"/>
      <w:r>
        <w:t>PCD</w:t>
      </w:r>
      <w:proofErr w:type="spellEnd"/>
      <w:r>
        <w:t xml:space="preserve"> investment from the expectation derived from genome size alone. We used Markov Chain Monte Carlo to fit a </w:t>
      </w:r>
      <w:proofErr w:type="spellStart"/>
      <w:r>
        <w:t>bayesian</w:t>
      </w:r>
      <w:proofErr w:type="spellEnd"/>
      <w:r>
        <w:t xml:space="preserve"> linear regression (with intercept, slope and gaussian noise terms) for </w:t>
      </w:r>
      <w:proofErr w:type="spellStart"/>
      <w:r>
        <w:t>PCD</w:t>
      </w:r>
      <w:proofErr w:type="spellEnd"/>
      <w:r>
        <w:t xml:space="preserve"> investment vs genome size on all the 5121 species within our dataset. We then simulated 10000 ensembles of </w:t>
      </w:r>
      <w:proofErr w:type="spellStart"/>
      <w:r>
        <w:t>PCD</w:t>
      </w:r>
      <w:proofErr w:type="spellEnd"/>
      <w:r>
        <w:t xml:space="preserve"> investments corresponding to genome sizes of high- and low-abundant species and obtained the distribution of simulated means. The fraction of simulated means that was greater (or less) than the empirically observed mean investment was interpreted as a p-value. </w:t>
      </w:r>
      <w:proofErr w:type="gramStart"/>
      <w:r>
        <w:t>Similarly</w:t>
      </w:r>
      <w:proofErr w:type="gramEnd"/>
      <w:r>
        <w:t xml:space="preserve"> we obtained the distribution of differences between the simulated means of </w:t>
      </w:r>
      <w:proofErr w:type="spellStart"/>
      <w:r>
        <w:t>PCD</w:t>
      </w:r>
      <w:proofErr w:type="spellEnd"/>
      <w:r>
        <w:t xml:space="preserve"> investments for high- and low-abundant species and calculated the p-value for </w:t>
      </w:r>
      <w:proofErr w:type="gramStart"/>
      <w:r>
        <w:t>the  empirically</w:t>
      </w:r>
      <w:proofErr w:type="gramEnd"/>
      <w:r>
        <w:t xml:space="preserve"> observed difference. This procedure was repeated for immunity investment.</w:t>
      </w:r>
    </w:p>
    <w:p w14:paraId="0000002C" w14:textId="77777777" w:rsidR="00342954" w:rsidRDefault="00000000">
      <w:pPr>
        <w:spacing w:after="80"/>
        <w:jc w:val="both"/>
      </w:pPr>
      <w:r>
        <w:t xml:space="preserve">For comparison, profiles of genes belonging to 61 COG pathways (excluding only </w:t>
      </w:r>
      <w:proofErr w:type="spellStart"/>
      <w:r>
        <w:t>PhotosystemII</w:t>
      </w:r>
      <w:proofErr w:type="spellEnd"/>
      <w:r>
        <w:t xml:space="preserve">) (taken from </w:t>
      </w:r>
      <w:hyperlink r:id="rId15">
        <w:r w:rsidR="00342954">
          <w:rPr>
            <w:color w:val="1155CC"/>
            <w:u w:val="single"/>
          </w:rPr>
          <w:t>https://www.ncbi.nlm.nih.gov/research/cog/pathways/</w:t>
        </w:r>
      </w:hyperlink>
      <w:r>
        <w:t>) and 1 set of random profiles of the same size as the number of TA profiles (n=159) were extracted and analyzed following the same protocol.</w:t>
      </w:r>
    </w:p>
    <w:p w14:paraId="0000002D" w14:textId="77777777" w:rsidR="00342954" w:rsidRDefault="00000000">
      <w:pPr>
        <w:pStyle w:val="Heading1"/>
        <w:spacing w:before="240" w:line="240" w:lineRule="auto"/>
        <w:rPr>
          <w:sz w:val="16"/>
          <w:szCs w:val="16"/>
        </w:rPr>
      </w:pPr>
      <w:bookmarkStart w:id="6" w:name="_3j2qqm3" w:colFirst="0" w:colLast="0"/>
      <w:bookmarkEnd w:id="6"/>
      <w:r>
        <w:t>References</w:t>
      </w:r>
    </w:p>
    <w:p w14:paraId="0000002E" w14:textId="77777777" w:rsidR="00342954" w:rsidRDefault="00000000">
      <w:pPr>
        <w:widowControl w:val="0"/>
        <w:pBdr>
          <w:top w:val="nil"/>
          <w:left w:val="nil"/>
          <w:bottom w:val="nil"/>
          <w:right w:val="nil"/>
          <w:between w:val="nil"/>
        </w:pBdr>
        <w:spacing w:line="480" w:lineRule="auto"/>
        <w:ind w:left="384" w:hanging="384"/>
        <w:rPr>
          <w:sz w:val="16"/>
          <w:szCs w:val="16"/>
        </w:rPr>
      </w:pPr>
      <w:r>
        <w:t>1</w:t>
      </w:r>
      <w:hyperlink r:id="rId16">
        <w:r w:rsidR="00342954">
          <w:t>.</w:t>
        </w:r>
        <w:r w:rsidR="00342954">
          <w:tab/>
          <w:t xml:space="preserve">Biba, D. A., Wolf, Y. I., </w:t>
        </w:r>
        <w:proofErr w:type="spellStart"/>
        <w:r w:rsidR="00342954">
          <w:t>Koonin</w:t>
        </w:r>
        <w:proofErr w:type="spellEnd"/>
        <w:r w:rsidR="00342954">
          <w:t xml:space="preserve">, E. V. &amp; Rochman, N. D. Balance between asymmetric allocation and repair of somatic damage in unicellular life forms as an ancient form of r/K selection. </w:t>
        </w:r>
      </w:hyperlink>
      <w:hyperlink r:id="rId17">
        <w:r w:rsidR="00342954">
          <w:rPr>
            <w:i/>
          </w:rPr>
          <w:t xml:space="preserve">Proc. Natl. Acad. Sci. </w:t>
        </w:r>
      </w:hyperlink>
      <w:hyperlink r:id="rId18">
        <w:r w:rsidR="00342954">
          <w:rPr>
            <w:b/>
          </w:rPr>
          <w:t>121</w:t>
        </w:r>
      </w:hyperlink>
      <w:hyperlink r:id="rId19">
        <w:r w:rsidR="00342954">
          <w:t>, e2400008121 (2024).</w:t>
        </w:r>
      </w:hyperlink>
    </w:p>
    <w:p w14:paraId="0000002F" w14:textId="77777777" w:rsidR="00342954" w:rsidRDefault="00000000">
      <w:pPr>
        <w:widowControl w:val="0"/>
        <w:pBdr>
          <w:top w:val="nil"/>
          <w:left w:val="nil"/>
          <w:bottom w:val="nil"/>
          <w:right w:val="nil"/>
          <w:between w:val="nil"/>
        </w:pBdr>
        <w:spacing w:line="480" w:lineRule="auto"/>
        <w:ind w:left="384" w:hanging="384"/>
        <w:rPr>
          <w:sz w:val="16"/>
          <w:szCs w:val="16"/>
        </w:rPr>
      </w:pPr>
      <w:r>
        <w:t>2</w:t>
      </w:r>
      <w:hyperlink r:id="rId20">
        <w:r w:rsidR="00342954">
          <w:t>.</w:t>
        </w:r>
        <w:r w:rsidR="00342954">
          <w:tab/>
          <w:t xml:space="preserve">Payne, L. J. </w:t>
        </w:r>
      </w:hyperlink>
      <w:hyperlink r:id="rId21">
        <w:r w:rsidR="00342954">
          <w:rPr>
            <w:i/>
          </w:rPr>
          <w:t>et al.</w:t>
        </w:r>
      </w:hyperlink>
      <w:hyperlink r:id="rId22">
        <w:r w:rsidR="00342954">
          <w:t xml:space="preserve"> </w:t>
        </w:r>
        <w:proofErr w:type="spellStart"/>
        <w:r w:rsidR="00342954">
          <w:t>PADLOC</w:t>
        </w:r>
        <w:proofErr w:type="spellEnd"/>
        <w:r w:rsidR="00342954">
          <w:t xml:space="preserve">: a web server for the identification of antiviral </w:t>
        </w:r>
        <w:proofErr w:type="spellStart"/>
        <w:r w:rsidR="00342954">
          <w:t>defence</w:t>
        </w:r>
        <w:proofErr w:type="spellEnd"/>
        <w:r w:rsidR="00342954">
          <w:t xml:space="preserve"> systems in microbial genomes. </w:t>
        </w:r>
      </w:hyperlink>
      <w:hyperlink r:id="rId23">
        <w:r w:rsidR="00342954">
          <w:rPr>
            <w:i/>
          </w:rPr>
          <w:t xml:space="preserve">Nucleic Acids Res. </w:t>
        </w:r>
      </w:hyperlink>
      <w:hyperlink r:id="rId24">
        <w:r w:rsidR="00342954">
          <w:rPr>
            <w:b/>
          </w:rPr>
          <w:t>50</w:t>
        </w:r>
      </w:hyperlink>
      <w:hyperlink r:id="rId25">
        <w:r w:rsidR="00342954">
          <w:t>, W541–W550 (2022).</w:t>
        </w:r>
      </w:hyperlink>
    </w:p>
    <w:p w14:paraId="00000030" w14:textId="77777777" w:rsidR="00342954" w:rsidRDefault="00000000">
      <w:pPr>
        <w:widowControl w:val="0"/>
        <w:pBdr>
          <w:top w:val="nil"/>
          <w:left w:val="nil"/>
          <w:bottom w:val="nil"/>
          <w:right w:val="nil"/>
          <w:between w:val="nil"/>
        </w:pBdr>
        <w:spacing w:line="480" w:lineRule="auto"/>
        <w:ind w:left="384" w:hanging="384"/>
        <w:rPr>
          <w:sz w:val="16"/>
          <w:szCs w:val="16"/>
        </w:rPr>
      </w:pPr>
      <w:r>
        <w:t>3</w:t>
      </w:r>
      <w:hyperlink r:id="rId26">
        <w:r w:rsidR="00342954">
          <w:t>.</w:t>
        </w:r>
        <w:r w:rsidR="00342954">
          <w:tab/>
          <w:t xml:space="preserve">Galperin, M. Y. </w:t>
        </w:r>
      </w:hyperlink>
      <w:hyperlink r:id="rId27">
        <w:r w:rsidR="00342954">
          <w:rPr>
            <w:i/>
          </w:rPr>
          <w:t>et al.</w:t>
        </w:r>
      </w:hyperlink>
      <w:hyperlink r:id="rId28">
        <w:r w:rsidR="00342954">
          <w:t xml:space="preserve"> COG database update 2024. </w:t>
        </w:r>
      </w:hyperlink>
      <w:hyperlink r:id="rId29">
        <w:r w:rsidR="00342954">
          <w:rPr>
            <w:i/>
          </w:rPr>
          <w:t xml:space="preserve">Nucleic Acids Res. </w:t>
        </w:r>
      </w:hyperlink>
      <w:hyperlink r:id="rId30">
        <w:r w:rsidR="00342954">
          <w:rPr>
            <w:b/>
          </w:rPr>
          <w:t>53</w:t>
        </w:r>
      </w:hyperlink>
      <w:hyperlink r:id="rId31">
        <w:r w:rsidR="00342954">
          <w:t>, D356–D363 (2025).</w:t>
        </w:r>
      </w:hyperlink>
    </w:p>
    <w:p w14:paraId="00000031" w14:textId="77777777" w:rsidR="00342954" w:rsidRDefault="00000000">
      <w:pPr>
        <w:widowControl w:val="0"/>
        <w:spacing w:line="480" w:lineRule="auto"/>
        <w:ind w:left="384"/>
        <w:rPr>
          <w:sz w:val="16"/>
          <w:szCs w:val="16"/>
        </w:rPr>
      </w:pPr>
      <w:r>
        <w:t>4</w:t>
      </w:r>
      <w:hyperlink r:id="rId32">
        <w:r w:rsidR="00342954">
          <w:t>.</w:t>
        </w:r>
        <w:r w:rsidR="00342954">
          <w:tab/>
        </w:r>
        <w:proofErr w:type="spellStart"/>
        <w:r w:rsidR="00342954">
          <w:t>Georjon</w:t>
        </w:r>
        <w:proofErr w:type="spellEnd"/>
        <w:r w:rsidR="00342954">
          <w:t xml:space="preserve">, H. &amp; Bernheim, A. The highly diverse antiphage </w:t>
        </w:r>
        <w:proofErr w:type="spellStart"/>
        <w:r w:rsidR="00342954">
          <w:t>defence</w:t>
        </w:r>
        <w:proofErr w:type="spellEnd"/>
        <w:r w:rsidR="00342954">
          <w:t xml:space="preserve"> systems of bacteria. </w:t>
        </w:r>
      </w:hyperlink>
      <w:hyperlink r:id="rId33">
        <w:r w:rsidR="00342954">
          <w:rPr>
            <w:i/>
          </w:rPr>
          <w:t xml:space="preserve">Nat. Rev. </w:t>
        </w:r>
        <w:proofErr w:type="spellStart"/>
        <w:r w:rsidR="00342954">
          <w:rPr>
            <w:i/>
          </w:rPr>
          <w:t>Microbiol</w:t>
        </w:r>
        <w:proofErr w:type="spellEnd"/>
        <w:r w:rsidR="00342954">
          <w:rPr>
            <w:i/>
          </w:rPr>
          <w:t xml:space="preserve">. </w:t>
        </w:r>
      </w:hyperlink>
      <w:hyperlink r:id="rId34">
        <w:r w:rsidR="00342954">
          <w:rPr>
            <w:b/>
          </w:rPr>
          <w:t>21</w:t>
        </w:r>
      </w:hyperlink>
      <w:hyperlink r:id="rId35">
        <w:r w:rsidR="00342954">
          <w:t>, 686–700 (2023).</w:t>
        </w:r>
      </w:hyperlink>
    </w:p>
    <w:p w14:paraId="00000032" w14:textId="77777777" w:rsidR="00342954" w:rsidRDefault="00000000">
      <w:pPr>
        <w:widowControl w:val="0"/>
        <w:pBdr>
          <w:top w:val="nil"/>
          <w:left w:val="nil"/>
          <w:bottom w:val="nil"/>
          <w:right w:val="nil"/>
          <w:between w:val="nil"/>
        </w:pBdr>
        <w:spacing w:line="480" w:lineRule="auto"/>
        <w:ind w:left="384" w:hanging="384"/>
        <w:rPr>
          <w:sz w:val="16"/>
          <w:szCs w:val="16"/>
        </w:rPr>
      </w:pPr>
      <w:r>
        <w:t>5</w:t>
      </w:r>
      <w:hyperlink r:id="rId36">
        <w:r w:rsidR="00342954">
          <w:t>.</w:t>
        </w:r>
        <w:r w:rsidR="00342954">
          <w:tab/>
        </w:r>
        <w:proofErr w:type="spellStart"/>
        <w:r w:rsidR="00342954">
          <w:t>Lopatina</w:t>
        </w:r>
        <w:proofErr w:type="spellEnd"/>
        <w:r w:rsidR="00342954">
          <w:t xml:space="preserve">, A., Tal, N. &amp; Sorek, R. Abortive Infection: Bacterial Suicide as an Antiviral Immune Strategy. </w:t>
        </w:r>
      </w:hyperlink>
      <w:hyperlink r:id="rId37">
        <w:r w:rsidR="00342954">
          <w:rPr>
            <w:i/>
          </w:rPr>
          <w:t xml:space="preserve">Annu. Rev. </w:t>
        </w:r>
        <w:proofErr w:type="spellStart"/>
        <w:r w:rsidR="00342954">
          <w:rPr>
            <w:i/>
          </w:rPr>
          <w:t>Virol</w:t>
        </w:r>
        <w:proofErr w:type="spellEnd"/>
        <w:r w:rsidR="00342954">
          <w:rPr>
            <w:i/>
          </w:rPr>
          <w:t xml:space="preserve">. </w:t>
        </w:r>
      </w:hyperlink>
      <w:hyperlink r:id="rId38">
        <w:r w:rsidR="00342954">
          <w:rPr>
            <w:b/>
          </w:rPr>
          <w:t>7</w:t>
        </w:r>
      </w:hyperlink>
      <w:hyperlink r:id="rId39">
        <w:r w:rsidR="00342954">
          <w:t>, 371–384 (2020).</w:t>
        </w:r>
      </w:hyperlink>
    </w:p>
    <w:p w14:paraId="00000033" w14:textId="77777777" w:rsidR="00342954" w:rsidRDefault="00000000">
      <w:pPr>
        <w:widowControl w:val="0"/>
        <w:pBdr>
          <w:top w:val="nil"/>
          <w:left w:val="nil"/>
          <w:bottom w:val="nil"/>
          <w:right w:val="nil"/>
          <w:between w:val="nil"/>
        </w:pBdr>
        <w:spacing w:line="480" w:lineRule="auto"/>
        <w:ind w:left="384" w:hanging="384"/>
        <w:rPr>
          <w:sz w:val="16"/>
          <w:szCs w:val="16"/>
        </w:rPr>
      </w:pPr>
      <w:r>
        <w:t>6</w:t>
      </w:r>
      <w:hyperlink r:id="rId40">
        <w:r w:rsidR="00342954">
          <w:t>.</w:t>
        </w:r>
        <w:r w:rsidR="00342954">
          <w:tab/>
          <w:t xml:space="preserve">Bernheim, A. &amp; Sorek, R. The pan-immune system of bacteria: antiviral </w:t>
        </w:r>
        <w:proofErr w:type="spellStart"/>
        <w:r w:rsidR="00342954">
          <w:t>defence</w:t>
        </w:r>
        <w:proofErr w:type="spellEnd"/>
        <w:r w:rsidR="00342954">
          <w:t xml:space="preserve"> as a </w:t>
        </w:r>
        <w:r w:rsidR="00342954">
          <w:lastRenderedPageBreak/>
          <w:t xml:space="preserve">community resource. </w:t>
        </w:r>
      </w:hyperlink>
      <w:hyperlink r:id="rId41">
        <w:r w:rsidR="00342954">
          <w:rPr>
            <w:i/>
          </w:rPr>
          <w:t xml:space="preserve">Nat. Rev. </w:t>
        </w:r>
        <w:proofErr w:type="spellStart"/>
        <w:r w:rsidR="00342954">
          <w:rPr>
            <w:i/>
          </w:rPr>
          <w:t>Microbiol</w:t>
        </w:r>
        <w:proofErr w:type="spellEnd"/>
        <w:r w:rsidR="00342954">
          <w:rPr>
            <w:i/>
          </w:rPr>
          <w:t xml:space="preserve">. </w:t>
        </w:r>
      </w:hyperlink>
      <w:hyperlink r:id="rId42">
        <w:r w:rsidR="00342954">
          <w:rPr>
            <w:b/>
          </w:rPr>
          <w:t>18</w:t>
        </w:r>
      </w:hyperlink>
      <w:hyperlink r:id="rId43">
        <w:r w:rsidR="00342954">
          <w:t>, 113–119 (2020).</w:t>
        </w:r>
      </w:hyperlink>
    </w:p>
    <w:p w14:paraId="00000034" w14:textId="77777777" w:rsidR="00342954" w:rsidRDefault="00342954">
      <w:pPr>
        <w:widowControl w:val="0"/>
        <w:pBdr>
          <w:top w:val="nil"/>
          <w:left w:val="nil"/>
          <w:bottom w:val="nil"/>
          <w:right w:val="nil"/>
          <w:between w:val="nil"/>
        </w:pBdr>
        <w:spacing w:line="480" w:lineRule="auto"/>
        <w:ind w:left="384" w:hanging="384"/>
        <w:rPr>
          <w:sz w:val="16"/>
          <w:szCs w:val="16"/>
        </w:rPr>
      </w:pPr>
      <w:hyperlink r:id="rId44">
        <w:r>
          <w:t>7.</w:t>
        </w:r>
        <w:r>
          <w:tab/>
          <w:t xml:space="preserve">Makarova, K. S., Wolf, Y. I. &amp; </w:t>
        </w:r>
        <w:proofErr w:type="spellStart"/>
        <w:r>
          <w:t>Koonin</w:t>
        </w:r>
        <w:proofErr w:type="spellEnd"/>
        <w:r>
          <w:t>, E. V. Defense against viruses and other genetic parasites in prokaryotes. (2021).</w:t>
        </w:r>
      </w:hyperlink>
    </w:p>
    <w:p w14:paraId="00000035" w14:textId="77777777" w:rsidR="00342954" w:rsidRDefault="00000000">
      <w:pPr>
        <w:widowControl w:val="0"/>
        <w:pBdr>
          <w:top w:val="nil"/>
          <w:left w:val="nil"/>
          <w:bottom w:val="nil"/>
          <w:right w:val="nil"/>
          <w:between w:val="nil"/>
        </w:pBdr>
        <w:spacing w:line="480" w:lineRule="auto"/>
        <w:ind w:left="384" w:hanging="384"/>
        <w:rPr>
          <w:sz w:val="16"/>
          <w:szCs w:val="16"/>
        </w:rPr>
      </w:pPr>
      <w:r>
        <w:t>8</w:t>
      </w:r>
      <w:hyperlink r:id="rId45">
        <w:r w:rsidR="00342954">
          <w:t>.</w:t>
        </w:r>
        <w:r w:rsidR="00342954">
          <w:tab/>
          <w:t xml:space="preserve">Lynch, M. &amp; Conery, J. S. The Origins of Genome Complexity. </w:t>
        </w:r>
      </w:hyperlink>
      <w:hyperlink r:id="rId46">
        <w:r w:rsidR="00342954">
          <w:rPr>
            <w:i/>
          </w:rPr>
          <w:t xml:space="preserve">Science </w:t>
        </w:r>
      </w:hyperlink>
      <w:hyperlink r:id="rId47">
        <w:r w:rsidR="00342954">
          <w:rPr>
            <w:b/>
          </w:rPr>
          <w:t>302</w:t>
        </w:r>
      </w:hyperlink>
      <w:hyperlink r:id="rId48">
        <w:r w:rsidR="00342954">
          <w:t>, 1401–1404 (2003).</w:t>
        </w:r>
      </w:hyperlink>
    </w:p>
    <w:p w14:paraId="00000036" w14:textId="77777777" w:rsidR="00342954" w:rsidRDefault="00000000">
      <w:pPr>
        <w:widowControl w:val="0"/>
        <w:pBdr>
          <w:top w:val="nil"/>
          <w:left w:val="nil"/>
          <w:bottom w:val="nil"/>
          <w:right w:val="nil"/>
          <w:between w:val="nil"/>
        </w:pBdr>
        <w:spacing w:line="480" w:lineRule="auto"/>
        <w:ind w:left="384" w:hanging="384"/>
        <w:rPr>
          <w:sz w:val="16"/>
          <w:szCs w:val="16"/>
        </w:rPr>
      </w:pPr>
      <w:r>
        <w:t>9</w:t>
      </w:r>
      <w:hyperlink r:id="rId49">
        <w:r w:rsidR="00342954">
          <w:t>.</w:t>
        </w:r>
        <w:r w:rsidR="00342954">
          <w:tab/>
          <w:t xml:space="preserve">O’Leary, N. A. </w:t>
        </w:r>
      </w:hyperlink>
      <w:hyperlink r:id="rId50">
        <w:r w:rsidR="00342954">
          <w:rPr>
            <w:i/>
          </w:rPr>
          <w:t>et al.</w:t>
        </w:r>
      </w:hyperlink>
      <w:hyperlink r:id="rId51">
        <w:r w:rsidR="00342954">
          <w:t xml:space="preserve"> Exploring and retrieving sequence and metadata for species across the tree of life with NCBI Datasets. </w:t>
        </w:r>
      </w:hyperlink>
      <w:hyperlink r:id="rId52">
        <w:r w:rsidR="00342954">
          <w:rPr>
            <w:i/>
          </w:rPr>
          <w:t xml:space="preserve">Sci. Data </w:t>
        </w:r>
      </w:hyperlink>
      <w:hyperlink r:id="rId53">
        <w:r w:rsidR="00342954">
          <w:rPr>
            <w:b/>
          </w:rPr>
          <w:t>11</w:t>
        </w:r>
      </w:hyperlink>
      <w:hyperlink r:id="rId54">
        <w:r w:rsidR="00342954">
          <w:t>, 732 (2024).</w:t>
        </w:r>
      </w:hyperlink>
    </w:p>
    <w:p w14:paraId="00000037" w14:textId="77777777" w:rsidR="00342954" w:rsidRDefault="00000000">
      <w:pPr>
        <w:widowControl w:val="0"/>
        <w:spacing w:line="480" w:lineRule="auto"/>
        <w:ind w:left="384"/>
        <w:rPr>
          <w:sz w:val="16"/>
          <w:szCs w:val="16"/>
        </w:rPr>
      </w:pPr>
      <w:r>
        <w:t>10</w:t>
      </w:r>
      <w:hyperlink r:id="rId55">
        <w:r w:rsidR="00342954">
          <w:t>.</w:t>
        </w:r>
        <w:r w:rsidR="00342954">
          <w:tab/>
          <w:t xml:space="preserve">LeRoux, M. &amp; Laub, M. T. Toxin-Antitoxin Systems as Phage Defense Elements. </w:t>
        </w:r>
      </w:hyperlink>
      <w:hyperlink r:id="rId56">
        <w:r w:rsidR="00342954">
          <w:rPr>
            <w:i/>
          </w:rPr>
          <w:t xml:space="preserve">Annu. Rev. </w:t>
        </w:r>
        <w:proofErr w:type="spellStart"/>
        <w:r w:rsidR="00342954">
          <w:rPr>
            <w:i/>
          </w:rPr>
          <w:t>Microbiol</w:t>
        </w:r>
        <w:proofErr w:type="spellEnd"/>
        <w:r w:rsidR="00342954">
          <w:rPr>
            <w:i/>
          </w:rPr>
          <w:t xml:space="preserve">. </w:t>
        </w:r>
      </w:hyperlink>
      <w:hyperlink r:id="rId57">
        <w:r w:rsidR="00342954">
          <w:rPr>
            <w:b/>
          </w:rPr>
          <w:t>76</w:t>
        </w:r>
      </w:hyperlink>
      <w:hyperlink r:id="rId58">
        <w:r w:rsidR="00342954">
          <w:t>, 21–43 (2022).</w:t>
        </w:r>
      </w:hyperlink>
    </w:p>
    <w:p w14:paraId="00000038" w14:textId="77777777" w:rsidR="00342954" w:rsidRDefault="00000000">
      <w:pPr>
        <w:widowControl w:val="0"/>
        <w:spacing w:line="480" w:lineRule="auto"/>
        <w:ind w:left="384"/>
      </w:pPr>
      <w:r>
        <w:t>11</w:t>
      </w:r>
      <w:hyperlink r:id="rId59">
        <w:r w:rsidR="00342954">
          <w:t>.</w:t>
        </w:r>
        <w:r w:rsidR="00342954">
          <w:tab/>
        </w:r>
        <w:proofErr w:type="spellStart"/>
        <w:r w:rsidR="00342954">
          <w:t>Pasolli</w:t>
        </w:r>
        <w:proofErr w:type="spellEnd"/>
        <w:r w:rsidR="00342954">
          <w:t xml:space="preserve">, E. </w:t>
        </w:r>
      </w:hyperlink>
      <w:hyperlink r:id="rId60">
        <w:r w:rsidR="00342954">
          <w:rPr>
            <w:i/>
          </w:rPr>
          <w:t>et al.</w:t>
        </w:r>
      </w:hyperlink>
      <w:hyperlink r:id="rId61">
        <w:r w:rsidR="00342954">
          <w:t xml:space="preserve"> Accessible, curated metagenomic data through </w:t>
        </w:r>
        <w:proofErr w:type="spellStart"/>
        <w:r w:rsidR="00342954">
          <w:t>ExperimentHub</w:t>
        </w:r>
        <w:proofErr w:type="spellEnd"/>
        <w:r w:rsidR="00342954">
          <w:t xml:space="preserve">. </w:t>
        </w:r>
      </w:hyperlink>
      <w:hyperlink r:id="rId62">
        <w:r w:rsidR="00342954">
          <w:rPr>
            <w:i/>
          </w:rPr>
          <w:t xml:space="preserve">Nat. Methods </w:t>
        </w:r>
      </w:hyperlink>
      <w:hyperlink r:id="rId63">
        <w:r w:rsidR="00342954">
          <w:rPr>
            <w:b/>
          </w:rPr>
          <w:t>14</w:t>
        </w:r>
      </w:hyperlink>
      <w:hyperlink r:id="rId64">
        <w:r w:rsidR="00342954">
          <w:t>, 1023–1024 (2017).</w:t>
        </w:r>
      </w:hyperlink>
    </w:p>
    <w:sectPr w:rsidR="00342954">
      <w:footerReference w:type="default" r:id="rId65"/>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A0E19" w14:textId="77777777" w:rsidR="00DD693E" w:rsidRDefault="00DD693E">
      <w:pPr>
        <w:spacing w:line="240" w:lineRule="auto"/>
      </w:pPr>
      <w:r>
        <w:separator/>
      </w:r>
    </w:p>
  </w:endnote>
  <w:endnote w:type="continuationSeparator" w:id="0">
    <w:p w14:paraId="19413CE4" w14:textId="77777777" w:rsidR="00DD693E" w:rsidRDefault="00DD69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6FFA1D11-2D4D-470B-82D7-A5DD84D950EB}"/>
    <w:embedItalic r:id="rId2" w:fontKey="{9EBA26D0-F229-4BCF-BBFF-5DB8E78590B3}"/>
  </w:font>
  <w:font w:name="Calibri">
    <w:panose1 w:val="020F0502020204030204"/>
    <w:charset w:val="00"/>
    <w:family w:val="swiss"/>
    <w:pitch w:val="variable"/>
    <w:sig w:usb0="E4002EFF" w:usb1="C200247B" w:usb2="00000009" w:usb3="00000000" w:csb0="000001FF" w:csb1="00000000"/>
    <w:embedRegular r:id="rId3" w:fontKey="{75899697-07E4-498A-9262-52763C51F749}"/>
  </w:font>
  <w:font w:name="Cambria">
    <w:panose1 w:val="02040503050406030204"/>
    <w:charset w:val="00"/>
    <w:family w:val="roman"/>
    <w:pitch w:val="variable"/>
    <w:sig w:usb0="E00006FF" w:usb1="420024FF" w:usb2="02000000" w:usb3="00000000" w:csb0="0000019F" w:csb1="00000000"/>
    <w:embedRegular r:id="rId4" w:fontKey="{A4F3D526-7954-4135-A506-E0E8653C7E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19983C32" w:rsidR="00342954" w:rsidRDefault="00000000">
    <w:pPr>
      <w:jc w:val="right"/>
    </w:pPr>
    <w:r>
      <w:fldChar w:fldCharType="begin"/>
    </w:r>
    <w:r>
      <w:instrText>PAGE</w:instrText>
    </w:r>
    <w:r>
      <w:fldChar w:fldCharType="separate"/>
    </w:r>
    <w:r w:rsidR="006462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F53D4" w14:textId="77777777" w:rsidR="00DD693E" w:rsidRDefault="00DD693E">
      <w:pPr>
        <w:spacing w:line="240" w:lineRule="auto"/>
      </w:pPr>
      <w:r>
        <w:separator/>
      </w:r>
    </w:p>
  </w:footnote>
  <w:footnote w:type="continuationSeparator" w:id="0">
    <w:p w14:paraId="2EB73764" w14:textId="77777777" w:rsidR="00DD693E" w:rsidRDefault="00DD693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10830"/>
    <w:multiLevelType w:val="multilevel"/>
    <w:tmpl w:val="AF88A8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BB0578D"/>
    <w:multiLevelType w:val="multilevel"/>
    <w:tmpl w:val="13060A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22739362">
    <w:abstractNumId w:val="1"/>
  </w:num>
  <w:num w:numId="2" w16cid:durableId="1965310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54"/>
    <w:rsid w:val="0011758D"/>
    <w:rsid w:val="00250B5D"/>
    <w:rsid w:val="002F66C5"/>
    <w:rsid w:val="00336586"/>
    <w:rsid w:val="00342954"/>
    <w:rsid w:val="004C0E3A"/>
    <w:rsid w:val="0061605E"/>
    <w:rsid w:val="006462BC"/>
    <w:rsid w:val="00DD693E"/>
    <w:rsid w:val="00E20ADB"/>
    <w:rsid w:val="00E64DAE"/>
    <w:rsid w:val="00F15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82C70"/>
  <w15:docId w15:val="{BE85824E-FDAC-4200-94F0-7DFF2D02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646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zotero.org/google-docs/?gXFHEG" TargetMode="External"/><Relationship Id="rId21" Type="http://schemas.openxmlformats.org/officeDocument/2006/relationships/hyperlink" Target="https://www.zotero.org/google-docs/?gXFHEG" TargetMode="External"/><Relationship Id="rId34" Type="http://schemas.openxmlformats.org/officeDocument/2006/relationships/hyperlink" Target="https://www.zotero.org/google-docs/?gXFHEG" TargetMode="External"/><Relationship Id="rId42" Type="http://schemas.openxmlformats.org/officeDocument/2006/relationships/hyperlink" Target="https://www.zotero.org/google-docs/?gXFHEG" TargetMode="External"/><Relationship Id="rId47" Type="http://schemas.openxmlformats.org/officeDocument/2006/relationships/hyperlink" Target="https://www.zotero.org/google-docs/?gXFHEG" TargetMode="External"/><Relationship Id="rId50" Type="http://schemas.openxmlformats.org/officeDocument/2006/relationships/hyperlink" Target="https://www.zotero.org/google-docs/?gXFHEG" TargetMode="External"/><Relationship Id="rId55" Type="http://schemas.openxmlformats.org/officeDocument/2006/relationships/hyperlink" Target="https://www.zotero.org/google-docs/?gXFHEG" TargetMode="External"/><Relationship Id="rId63" Type="http://schemas.openxmlformats.org/officeDocument/2006/relationships/hyperlink" Target="https://www.zotero.org/google-docs/?gXFHEG" TargetMode="External"/><Relationship Id="rId7" Type="http://schemas.openxmlformats.org/officeDocument/2006/relationships/hyperlink" Target="https://github.com/Captain-Blackstone/PCD_vs_Immunity_Simulations" TargetMode="External"/><Relationship Id="rId2" Type="http://schemas.openxmlformats.org/officeDocument/2006/relationships/styles" Target="styles.xml"/><Relationship Id="rId16" Type="http://schemas.openxmlformats.org/officeDocument/2006/relationships/hyperlink" Target="https://www.zotero.org/google-docs/?gXFHEG" TargetMode="External"/><Relationship Id="rId29" Type="http://schemas.openxmlformats.org/officeDocument/2006/relationships/hyperlink" Target="https://www.zotero.org/google-docs/?gXFHEG" TargetMode="External"/><Relationship Id="rId11" Type="http://schemas.openxmlformats.org/officeDocument/2006/relationships/hyperlink" Target="https://www.zotero.org/google-docs/?HHkNlX" TargetMode="External"/><Relationship Id="rId24" Type="http://schemas.openxmlformats.org/officeDocument/2006/relationships/hyperlink" Target="https://www.zotero.org/google-docs/?gXFHEG" TargetMode="External"/><Relationship Id="rId32" Type="http://schemas.openxmlformats.org/officeDocument/2006/relationships/hyperlink" Target="https://www.zotero.org/google-docs/?gXFHEG" TargetMode="External"/><Relationship Id="rId37" Type="http://schemas.openxmlformats.org/officeDocument/2006/relationships/hyperlink" Target="https://www.zotero.org/google-docs/?gXFHEG" TargetMode="External"/><Relationship Id="rId40" Type="http://schemas.openxmlformats.org/officeDocument/2006/relationships/hyperlink" Target="https://www.zotero.org/google-docs/?gXFHEG" TargetMode="External"/><Relationship Id="rId45" Type="http://schemas.openxmlformats.org/officeDocument/2006/relationships/hyperlink" Target="https://www.zotero.org/google-docs/?gXFHEG" TargetMode="External"/><Relationship Id="rId53" Type="http://schemas.openxmlformats.org/officeDocument/2006/relationships/hyperlink" Target="https://www.zotero.org/google-docs/?gXFHEG" TargetMode="External"/><Relationship Id="rId58" Type="http://schemas.openxmlformats.org/officeDocument/2006/relationships/hyperlink" Target="https://www.zotero.org/google-docs/?gXFHEG"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zotero.org/google-docs/?gXFHEG" TargetMode="External"/><Relationship Id="rId19" Type="http://schemas.openxmlformats.org/officeDocument/2006/relationships/hyperlink" Target="https://www.zotero.org/google-docs/?gXFHEG" TargetMode="External"/><Relationship Id="rId14" Type="http://schemas.openxmlformats.org/officeDocument/2006/relationships/hyperlink" Target="https://www.zotero.org/google-docs/?QvvlGG" TargetMode="External"/><Relationship Id="rId22" Type="http://schemas.openxmlformats.org/officeDocument/2006/relationships/hyperlink" Target="https://www.zotero.org/google-docs/?gXFHEG" TargetMode="External"/><Relationship Id="rId27" Type="http://schemas.openxmlformats.org/officeDocument/2006/relationships/hyperlink" Target="https://www.zotero.org/google-docs/?gXFHEG" TargetMode="External"/><Relationship Id="rId30" Type="http://schemas.openxmlformats.org/officeDocument/2006/relationships/hyperlink" Target="https://www.zotero.org/google-docs/?gXFHEG" TargetMode="External"/><Relationship Id="rId35" Type="http://schemas.openxmlformats.org/officeDocument/2006/relationships/hyperlink" Target="https://www.zotero.org/google-docs/?gXFHEG" TargetMode="External"/><Relationship Id="rId43" Type="http://schemas.openxmlformats.org/officeDocument/2006/relationships/hyperlink" Target="https://www.zotero.org/google-docs/?gXFHEG" TargetMode="External"/><Relationship Id="rId48" Type="http://schemas.openxmlformats.org/officeDocument/2006/relationships/hyperlink" Target="https://www.zotero.org/google-docs/?gXFHEG" TargetMode="External"/><Relationship Id="rId56" Type="http://schemas.openxmlformats.org/officeDocument/2006/relationships/hyperlink" Target="https://www.zotero.org/google-docs/?gXFHEG" TargetMode="External"/><Relationship Id="rId64" Type="http://schemas.openxmlformats.org/officeDocument/2006/relationships/hyperlink" Target="https://www.zotero.org/google-docs/?gXFHEG" TargetMode="External"/><Relationship Id="rId8" Type="http://schemas.openxmlformats.org/officeDocument/2006/relationships/hyperlink" Target="https://www.zotero.org/google-docs/?HHkNlX" TargetMode="External"/><Relationship Id="rId51" Type="http://schemas.openxmlformats.org/officeDocument/2006/relationships/hyperlink" Target="https://www.zotero.org/google-docs/?gXFHEG" TargetMode="External"/><Relationship Id="rId3" Type="http://schemas.openxmlformats.org/officeDocument/2006/relationships/settings" Target="settings.xml"/><Relationship Id="rId12" Type="http://schemas.openxmlformats.org/officeDocument/2006/relationships/hyperlink" Target="https://www.zotero.org/google-docs/?HHkNlX" TargetMode="External"/><Relationship Id="rId17" Type="http://schemas.openxmlformats.org/officeDocument/2006/relationships/hyperlink" Target="https://www.zotero.org/google-docs/?gXFHEG" TargetMode="External"/><Relationship Id="rId25" Type="http://schemas.openxmlformats.org/officeDocument/2006/relationships/hyperlink" Target="https://www.zotero.org/google-docs/?gXFHEG" TargetMode="External"/><Relationship Id="rId33" Type="http://schemas.openxmlformats.org/officeDocument/2006/relationships/hyperlink" Target="https://www.zotero.org/google-docs/?gXFHEG" TargetMode="External"/><Relationship Id="rId38" Type="http://schemas.openxmlformats.org/officeDocument/2006/relationships/hyperlink" Target="https://www.zotero.org/google-docs/?gXFHEG" TargetMode="External"/><Relationship Id="rId46" Type="http://schemas.openxmlformats.org/officeDocument/2006/relationships/hyperlink" Target="https://www.zotero.org/google-docs/?gXFHEG" TargetMode="External"/><Relationship Id="rId59" Type="http://schemas.openxmlformats.org/officeDocument/2006/relationships/hyperlink" Target="https://www.zotero.org/google-docs/?gXFHEG" TargetMode="External"/><Relationship Id="rId67" Type="http://schemas.openxmlformats.org/officeDocument/2006/relationships/theme" Target="theme/theme1.xml"/><Relationship Id="rId20" Type="http://schemas.openxmlformats.org/officeDocument/2006/relationships/hyperlink" Target="https://www.zotero.org/google-docs/?gXFHEG" TargetMode="External"/><Relationship Id="rId41" Type="http://schemas.openxmlformats.org/officeDocument/2006/relationships/hyperlink" Target="https://www.zotero.org/google-docs/?gXFHEG" TargetMode="External"/><Relationship Id="rId54" Type="http://schemas.openxmlformats.org/officeDocument/2006/relationships/hyperlink" Target="https://www.zotero.org/google-docs/?gXFHEG" TargetMode="External"/><Relationship Id="rId62" Type="http://schemas.openxmlformats.org/officeDocument/2006/relationships/hyperlink" Target="https://www.zotero.org/google-docs/?gXFHE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cbi.nlm.nih.gov/research/cog/pathways/" TargetMode="External"/><Relationship Id="rId23" Type="http://schemas.openxmlformats.org/officeDocument/2006/relationships/hyperlink" Target="https://www.zotero.org/google-docs/?gXFHEG" TargetMode="External"/><Relationship Id="rId28" Type="http://schemas.openxmlformats.org/officeDocument/2006/relationships/hyperlink" Target="https://www.zotero.org/google-docs/?gXFHEG" TargetMode="External"/><Relationship Id="rId36" Type="http://schemas.openxmlformats.org/officeDocument/2006/relationships/hyperlink" Target="https://www.zotero.org/google-docs/?gXFHEG" TargetMode="External"/><Relationship Id="rId49" Type="http://schemas.openxmlformats.org/officeDocument/2006/relationships/hyperlink" Target="https://www.zotero.org/google-docs/?gXFHEG" TargetMode="External"/><Relationship Id="rId57" Type="http://schemas.openxmlformats.org/officeDocument/2006/relationships/hyperlink" Target="https://www.zotero.org/google-docs/?gXFHEG" TargetMode="External"/><Relationship Id="rId10" Type="http://schemas.openxmlformats.org/officeDocument/2006/relationships/hyperlink" Target="https://www.zotero.org/google-docs/?HHkNlX" TargetMode="External"/><Relationship Id="rId31" Type="http://schemas.openxmlformats.org/officeDocument/2006/relationships/hyperlink" Target="https://www.zotero.org/google-docs/?gXFHEG" TargetMode="External"/><Relationship Id="rId44" Type="http://schemas.openxmlformats.org/officeDocument/2006/relationships/hyperlink" Target="https://www.zotero.org/google-docs/?gXFHEG" TargetMode="External"/><Relationship Id="rId52" Type="http://schemas.openxmlformats.org/officeDocument/2006/relationships/hyperlink" Target="https://www.zotero.org/google-docs/?gXFHEG" TargetMode="External"/><Relationship Id="rId60" Type="http://schemas.openxmlformats.org/officeDocument/2006/relationships/hyperlink" Target="https://www.zotero.org/google-docs/?gXFHEG"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zotero.org/google-docs/?HHkNlX" TargetMode="External"/><Relationship Id="rId13" Type="http://schemas.openxmlformats.org/officeDocument/2006/relationships/hyperlink" Target="https://www.zotero.org/google-docs/?HYZxGq" TargetMode="External"/><Relationship Id="rId18" Type="http://schemas.openxmlformats.org/officeDocument/2006/relationships/hyperlink" Target="https://www.zotero.org/google-docs/?gXFHEG" TargetMode="External"/><Relationship Id="rId39" Type="http://schemas.openxmlformats.org/officeDocument/2006/relationships/hyperlink" Target="https://www.zotero.org/google-docs/?gXFHE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2782</Words>
  <Characters>15859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Nash Rochman</cp:lastModifiedBy>
  <cp:revision>3</cp:revision>
  <dcterms:created xsi:type="dcterms:W3CDTF">2025-06-23T22:43:00Z</dcterms:created>
  <dcterms:modified xsi:type="dcterms:W3CDTF">2025-06-23T22:49:00Z</dcterms:modified>
</cp:coreProperties>
</file>