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5E282" w14:textId="77777777" w:rsidR="006A7D0B" w:rsidRDefault="006A7D0B" w:rsidP="006A7D0B">
      <w:pPr>
        <w:pStyle w:val="Heading1"/>
      </w:pPr>
      <w:bookmarkStart w:id="0" w:name="_bgzwoide5uaz" w:colFirst="0" w:colLast="0"/>
      <w:bookmarkStart w:id="1" w:name="_gjdgxs" w:colFirst="0" w:colLast="0"/>
      <w:bookmarkEnd w:id="0"/>
      <w:bookmarkEnd w:id="1"/>
      <w:r>
        <w:t>Ecological determinants of altruism in prokaryote antivirus defense</w:t>
      </w:r>
    </w:p>
    <w:p w14:paraId="08A23267" w14:textId="2C6942EF" w:rsidR="006A7D0B" w:rsidRDefault="006A7D0B" w:rsidP="006A7D0B">
      <w:pPr>
        <w:pStyle w:val="Heading1"/>
      </w:pPr>
      <w:bookmarkStart w:id="2" w:name="_35nkun2" w:colFirst="0" w:colLast="0"/>
      <w:bookmarkEnd w:id="2"/>
      <w:r>
        <w:t>Supplementary Figures</w:t>
      </w:r>
    </w:p>
    <w:p w14:paraId="2E28D441" w14:textId="77777777" w:rsidR="008C77FB" w:rsidRDefault="00000000">
      <w:pPr>
        <w:pStyle w:val="Heading3"/>
      </w:pPr>
      <w:r>
        <w:t xml:space="preserve">Supplementary Figure 1: </w:t>
      </w:r>
      <w:proofErr w:type="spellStart"/>
      <w:r>
        <w:t>PCD</w:t>
      </w:r>
      <w:proofErr w:type="spellEnd"/>
      <w:r>
        <w:t>-sensitive landscapes</w:t>
      </w:r>
    </w:p>
    <w:p w14:paraId="5AFF066F" w14:textId="5D399CF2" w:rsidR="008C77FB" w:rsidRDefault="00000000" w:rsidP="006A7D0B">
      <w:r>
        <w:rPr>
          <w:noProof/>
        </w:rPr>
        <w:drawing>
          <wp:inline distT="114300" distB="114300" distL="114300" distR="114300" wp14:anchorId="256C2F8C" wp14:editId="4268C1B6">
            <wp:extent cx="5943600" cy="2159000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3" w:name="_oq6e9yz1tgi8" w:colFirst="0" w:colLast="0"/>
      <w:bookmarkEnd w:id="3"/>
      <w:r>
        <w:rPr>
          <w:b/>
        </w:rPr>
        <w:t>A</w:t>
      </w:r>
      <w:r>
        <w:t xml:space="preserve">. Fitness landscapes become more sensitive to </w:t>
      </w:r>
      <w:proofErr w:type="spellStart"/>
      <w:r>
        <w:t>PCD</w:t>
      </w:r>
      <w:proofErr w:type="spellEnd"/>
      <w:r>
        <w:t xml:space="preserve"> as population size (</w:t>
      </w:r>
      <m:oMath>
        <m:r>
          <w:rPr>
            <w:rFonts w:ascii="Cambria Math" w:hAnsi="Cambria Math"/>
          </w:rPr>
          <m:t>log(1/C)</m:t>
        </m:r>
      </m:oMath>
      <w:r>
        <w:t xml:space="preserve">) increases. </w:t>
      </w:r>
      <w:r>
        <w:rPr>
          <w:b/>
        </w:rPr>
        <w:t>B</w:t>
      </w:r>
      <w:r>
        <w:t xml:space="preserve">. Fitness landscapes become more sensitive to </w:t>
      </w:r>
      <w:proofErr w:type="spellStart"/>
      <w:r>
        <w:t>PCD</w:t>
      </w:r>
      <w:proofErr w:type="spellEnd"/>
      <w:r>
        <w:t xml:space="preserve"> as viral replication rate (</w:t>
      </w:r>
      <m:oMath>
        <m:r>
          <w:rPr>
            <w:rFonts w:ascii="Cambria Math" w:hAnsi="Cambria Math"/>
          </w:rPr>
          <m:t>F</m:t>
        </m:r>
      </m:oMath>
      <w:r>
        <w:t xml:space="preserve">) increases. </w:t>
      </w:r>
      <w:r>
        <w:rPr>
          <w:b/>
        </w:rPr>
        <w:t>C</w:t>
      </w:r>
      <w:r>
        <w:t xml:space="preserve">. Fitness landscapes become less sensitive to </w:t>
      </w:r>
      <w:proofErr w:type="spellStart"/>
      <w:r>
        <w:t>PCD</w:t>
      </w:r>
      <w:proofErr w:type="spellEnd"/>
      <w:r>
        <w:t xml:space="preserve"> as viral pressure (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ψ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t>) increases.</w:t>
      </w:r>
    </w:p>
    <w:p w14:paraId="04A6AA2B" w14:textId="77777777" w:rsidR="008C77FB" w:rsidRDefault="00000000">
      <w:pPr>
        <w:pStyle w:val="Heading3"/>
      </w:pPr>
      <w:bookmarkStart w:id="4" w:name="_9jp8d7i4mghy" w:colFirst="0" w:colLast="0"/>
      <w:bookmarkEnd w:id="4"/>
      <w:r>
        <w:lastRenderedPageBreak/>
        <w:t>Supplementary Figure 2: Burst size parameters</w:t>
      </w:r>
    </w:p>
    <w:p w14:paraId="08DADEEF" w14:textId="77777777" w:rsidR="008C77FB" w:rsidRDefault="00000000">
      <w:r>
        <w:rPr>
          <w:noProof/>
        </w:rPr>
        <w:drawing>
          <wp:inline distT="114300" distB="114300" distL="114300" distR="114300" wp14:anchorId="47DC3144" wp14:editId="655AE8D9">
            <wp:extent cx="5943600" cy="410210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A729DA" w14:textId="262D03B7" w:rsidR="008C77FB" w:rsidRDefault="00000000">
      <w:r>
        <w:rPr>
          <w:b/>
        </w:rPr>
        <w:t>A</w:t>
      </w:r>
      <w:r>
        <w:t>. Equilibrium burst size distribution in an example population (</w:t>
      </w:r>
      <m:oMath>
        <m:r>
          <w:rPr>
            <w:rFonts w:ascii="Cambria Math" w:hAnsi="Cambria Math"/>
          </w:rPr>
          <m:t>B=0.25, C=1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-6</m:t>
            </m:r>
          </m:sup>
        </m:sSup>
        <m:r>
          <w:rPr>
            <w:rFonts w:ascii="Cambria Math" w:hAnsi="Cambria Math"/>
          </w:rPr>
          <m:t>, D=0.0,</m:t>
        </m:r>
      </m:oMath>
      <w: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ψ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=6*1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  <m:r>
          <w:rPr>
            <w:rFonts w:ascii="Cambria Math" w:hAnsi="Cambria Math"/>
          </w:rPr>
          <m:t>, E=0.0125, F=1.25, T=1.0, G=0.5</m:t>
        </m:r>
      </m:oMath>
      <w:r>
        <w:t xml:space="preserve">). Burst size distribution is necessarily bimodal: the fact that the majority of the population is infected with few viruses leads to the peak near 0 while the fact that virus-induced death rate </w:t>
      </w:r>
      <w:r w:rsidR="00296491">
        <w:t xml:space="preserve">diverges as it approaches </w:t>
      </w:r>
      <w:r>
        <w:t xml:space="preserve">T leads to the peak at T. </w:t>
      </w:r>
      <w:r>
        <w:rPr>
          <w:b/>
        </w:rPr>
        <w:t>B</w:t>
      </w:r>
      <w:r>
        <w:t xml:space="preserve">. Typical fitness landscape for G=1 </w:t>
      </w:r>
      <w:r>
        <w:rPr>
          <w:b/>
        </w:rPr>
        <w:t>C</w:t>
      </w:r>
      <w:r>
        <w:t>. Typical fitness landscape for G=2</w:t>
      </w:r>
      <w:r w:rsidR="00296491">
        <w:t xml:space="preserve"> (not a </w:t>
      </w:r>
      <w:proofErr w:type="spellStart"/>
      <w:r>
        <w:t>PCD</w:t>
      </w:r>
      <w:proofErr w:type="spellEnd"/>
      <w:r>
        <w:t xml:space="preserve">-insensitive landscape as defined in the main text, </w:t>
      </w:r>
      <w:r w:rsidR="00296491">
        <w:t>due to</w:t>
      </w:r>
      <w:r>
        <w:t xml:space="preserve"> very low fitness at </w:t>
      </w:r>
      <m:oMath>
        <m:r>
          <w:rPr>
            <w:rFonts w:ascii="Cambria Math" w:hAnsi="Cambria Math"/>
          </w:rPr>
          <m:t>a=0, r=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opt</m:t>
            </m:r>
          </m:sub>
        </m:sSub>
      </m:oMath>
      <w:r>
        <w:t xml:space="preserve">. </w:t>
      </w:r>
      <w:r>
        <w:rPr>
          <w:b/>
        </w:rPr>
        <w:t>D</w:t>
      </w:r>
      <w:r>
        <w:t xml:space="preserve">. Difference in optimal immunity between </w:t>
      </w:r>
      <m:oMath>
        <m:r>
          <w:rPr>
            <w:rFonts w:ascii="Cambria Math" w:hAnsi="Cambria Math"/>
          </w:rPr>
          <m:t>T=1</m:t>
        </m:r>
      </m:oMath>
      <w:r>
        <w:t xml:space="preserve"> and </w:t>
      </w:r>
      <m:oMath>
        <m:r>
          <w:rPr>
            <w:rFonts w:ascii="Cambria Math" w:hAnsi="Cambria Math"/>
          </w:rPr>
          <m:t>T=0.2</m:t>
        </m:r>
      </m:oMath>
      <w:r>
        <w:t xml:space="preserve"> for different values of virus replication rate. </w:t>
      </w:r>
      <w:r>
        <w:rPr>
          <w:b/>
        </w:rPr>
        <w:t>E</w:t>
      </w:r>
      <w:r>
        <w:t xml:space="preserve">. Mean burst size of a naive population (a=0, r=0) at </w:t>
      </w:r>
      <m:oMath>
        <m:r>
          <w:rPr>
            <w:rFonts w:ascii="Cambria Math" w:hAnsi="Cambria Math"/>
          </w:rPr>
          <m:t>T=0.2</m:t>
        </m:r>
      </m:oMath>
      <w:r>
        <w:t xml:space="preserve">. </w:t>
      </w:r>
      <w:r>
        <w:rPr>
          <w:b/>
        </w:rPr>
        <w:t>F</w:t>
      </w:r>
      <w:r>
        <w:t xml:space="preserve">. Mean burst size of a naive population at </w:t>
      </w:r>
      <m:oMath>
        <m:r>
          <w:rPr>
            <w:rFonts w:ascii="Cambria Math" w:hAnsi="Cambria Math"/>
          </w:rPr>
          <m:t>T=1</m:t>
        </m:r>
      </m:oMath>
      <w:r>
        <w:t xml:space="preserve">. E and F collectively show that the </w:t>
      </w:r>
      <m:oMath>
        <m:r>
          <w:rPr>
            <w:rFonts w:ascii="Cambria Math" w:hAnsi="Cambria Math"/>
          </w:rPr>
          <m:t>T</m:t>
        </m:r>
      </m:oMath>
      <w:r>
        <w:t xml:space="preserve"> parameter</w:t>
      </w:r>
      <w:r w:rsidR="00296491">
        <w:t xml:space="preserve"> primarily</w:t>
      </w:r>
      <w:r>
        <w:t xml:space="preserve"> controls the mean burst size of the population and that the burst size distribution</w:t>
      </w:r>
      <w:r w:rsidR="00296491">
        <w:t>s</w:t>
      </w:r>
      <w:r>
        <w:t xml:space="preserve"> </w:t>
      </w:r>
      <w:r w:rsidR="00296491">
        <w:t>in the simulations presented in the main text</w:t>
      </w:r>
      <w:r>
        <w:t xml:space="preserve"> </w:t>
      </w:r>
      <w:r w:rsidR="00296491">
        <w:t>are</w:t>
      </w:r>
      <w:r>
        <w:t xml:space="preserve"> always heavily skewed to the </w:t>
      </w:r>
      <m:oMath>
        <m:r>
          <w:rPr>
            <w:rFonts w:ascii="Cambria Math" w:hAnsi="Cambria Math"/>
          </w:rPr>
          <m:t>T</m:t>
        </m:r>
      </m:oMath>
      <w:r>
        <w:t xml:space="preserve"> peak.</w:t>
      </w:r>
    </w:p>
    <w:p w14:paraId="5AFD5E6B" w14:textId="77777777" w:rsidR="008C77FB" w:rsidRDefault="00000000">
      <w:pPr>
        <w:pStyle w:val="Heading3"/>
      </w:pPr>
      <w:bookmarkStart w:id="5" w:name="_rde0jabufasd" w:colFirst="0" w:colLast="0"/>
      <w:bookmarkEnd w:id="5"/>
      <w:r>
        <w:lastRenderedPageBreak/>
        <w:t xml:space="preserve">Supplementary Figure 3: </w:t>
      </w:r>
      <w:proofErr w:type="spellStart"/>
      <w:r>
        <w:t>PCD</w:t>
      </w:r>
      <w:proofErr w:type="spellEnd"/>
      <w:r>
        <w:t xml:space="preserve"> dependence on 1/C for high E</w:t>
      </w:r>
    </w:p>
    <w:p w14:paraId="451C20FD" w14:textId="77777777" w:rsidR="008C77FB" w:rsidRDefault="00000000">
      <w:pPr>
        <w:spacing w:after="80"/>
      </w:pPr>
      <w:r>
        <w:rPr>
          <w:noProof/>
        </w:rPr>
        <w:drawing>
          <wp:inline distT="114300" distB="114300" distL="114300" distR="114300" wp14:anchorId="6BA3C34B" wp14:editId="0487F4C2">
            <wp:extent cx="5943600" cy="29718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>A</w:t>
      </w:r>
      <w:r>
        <w:t xml:space="preserve">. For high values of E (E=0.05, cheap repair) the distribution of differences in </w:t>
      </w:r>
      <w:proofErr w:type="spellStart"/>
      <w:r>
        <w:t>PCD</w:t>
      </w:r>
      <w:proofErr w:type="spellEnd"/>
      <w:r>
        <w:t xml:space="preserve"> investment between C-neighboring environments is the same as for low values of E (see </w:t>
      </w:r>
      <w:proofErr w:type="gramStart"/>
      <w:r>
        <w:t>the Figure</w:t>
      </w:r>
      <w:proofErr w:type="gramEnd"/>
      <w:r>
        <w:t xml:space="preserve"> 2 of main text). </w:t>
      </w:r>
      <w:r>
        <w:rPr>
          <w:b/>
        </w:rPr>
        <w:t>B</w:t>
      </w:r>
      <w:r>
        <w:t xml:space="preserve">. On the other hand, the differences in immunity investment between C-neighboring environments become smaller for high E. This indicates that for extremely cheap immunity we can observe no difference in immunity investment between high- and low-abundant species, but still observe the difference in </w:t>
      </w:r>
      <w:proofErr w:type="spellStart"/>
      <w:r>
        <w:t>PCD</w:t>
      </w:r>
      <w:proofErr w:type="spellEnd"/>
      <w:r>
        <w:t xml:space="preserve"> investment, compliant with the metagenomic data </w:t>
      </w:r>
      <w:proofErr w:type="spellStart"/>
      <w:r>
        <w:t>analysed</w:t>
      </w:r>
      <w:proofErr w:type="spellEnd"/>
      <w:r>
        <w:t xml:space="preserve"> in the main text. </w:t>
      </w:r>
    </w:p>
    <w:p w14:paraId="355509C9" w14:textId="77777777" w:rsidR="00132C17" w:rsidRDefault="00132C17">
      <w:pPr>
        <w:spacing w:after="80"/>
      </w:pPr>
    </w:p>
    <w:p w14:paraId="632A55E3" w14:textId="77777777" w:rsidR="008C77FB" w:rsidRDefault="00000000">
      <w:pPr>
        <w:pStyle w:val="Heading3"/>
      </w:pPr>
      <w:bookmarkStart w:id="6" w:name="_8cbjeuygnyuq" w:colFirst="0" w:colLast="0"/>
      <w:bookmarkEnd w:id="6"/>
      <w:r>
        <w:lastRenderedPageBreak/>
        <w:t>Supplementary Figure 4: genome size comparisons</w:t>
      </w:r>
    </w:p>
    <w:p w14:paraId="6A2DC658" w14:textId="77777777" w:rsidR="008C77FB" w:rsidRDefault="00000000">
      <w:r>
        <w:rPr>
          <w:noProof/>
        </w:rPr>
        <w:drawing>
          <wp:inline distT="114300" distB="114300" distL="114300" distR="114300" wp14:anchorId="6EC56827" wp14:editId="26398A6B">
            <wp:extent cx="5943600" cy="2971800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1F18D9" w14:textId="1A652D4D" w:rsidR="008C77FB" w:rsidRDefault="00000000">
      <w:r>
        <w:rPr>
          <w:b/>
        </w:rPr>
        <w:t>A</w:t>
      </w:r>
      <w:r>
        <w:t>. Distribution of genome sizes between bacteria with high content of immune genes (measured by their combined length in nucleotide</w:t>
      </w:r>
      <w:r w:rsidR="00132C17">
        <w:t>s</w:t>
      </w:r>
      <w:r>
        <w:t xml:space="preserve">) and low content. </w:t>
      </w:r>
      <w:r>
        <w:rPr>
          <w:b/>
        </w:rPr>
        <w:t>B</w:t>
      </w:r>
      <w:r>
        <w:t>.  Distribution of genome sizes in high-abundance and low-abundance species.</w:t>
      </w:r>
    </w:p>
    <w:p w14:paraId="390938D7" w14:textId="77777777" w:rsidR="008C77FB" w:rsidRDefault="00000000">
      <w:pPr>
        <w:pStyle w:val="Heading3"/>
      </w:pPr>
      <w:bookmarkStart w:id="7" w:name="_ebfwlif4fcri" w:colFirst="0" w:colLast="0"/>
      <w:bookmarkEnd w:id="7"/>
      <w:r>
        <w:lastRenderedPageBreak/>
        <w:t>Supplementary Figure 5: investment in pathways</w:t>
      </w:r>
    </w:p>
    <w:p w14:paraId="31D65B42" w14:textId="77777777" w:rsidR="008C77FB" w:rsidRDefault="00000000">
      <w:r>
        <w:rPr>
          <w:noProof/>
        </w:rPr>
        <w:drawing>
          <wp:inline distT="114300" distB="114300" distL="114300" distR="114300" wp14:anchorId="087FF43B" wp14:editId="2FC9283E">
            <wp:extent cx="5847462" cy="4312377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7462" cy="4312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77D3F0" w14:textId="5C4CB707" w:rsidR="008C77FB" w:rsidRDefault="008726C5">
      <w:r>
        <w:t>I</w:t>
      </w:r>
      <w:r w:rsidR="00000000">
        <w:t xml:space="preserve">nvestment in each system </w:t>
      </w:r>
      <w:r>
        <w:t>was simulated for both</w:t>
      </w:r>
      <w:r w:rsidR="00000000">
        <w:t xml:space="preserve"> high- and low-abundant species </w:t>
      </w:r>
      <w:r>
        <w:t>according to the respective</w:t>
      </w:r>
      <w:r w:rsidR="00000000">
        <w:t xml:space="preserve"> genome size distributions (see Methods). The plot shows the % of the simulations that produced larger differences in investment in </w:t>
      </w:r>
      <w:r w:rsidR="006105D4">
        <w:t>each</w:t>
      </w:r>
      <w:r w:rsidR="00000000">
        <w:t xml:space="preserve"> system. Random proteins show no deviation from </w:t>
      </w:r>
      <w:r w:rsidR="006105D4">
        <w:t>genome-size e</w:t>
      </w:r>
      <w:r w:rsidR="00000000">
        <w:t xml:space="preserve">xpectation (blue bar) whereas </w:t>
      </w:r>
      <w:proofErr w:type="spellStart"/>
      <w:r w:rsidR="00000000">
        <w:t>PCD</w:t>
      </w:r>
      <w:proofErr w:type="spellEnd"/>
      <w:r w:rsidR="00000000">
        <w:t xml:space="preserve"> systems are among those with highest deviations from expectation (green bar). </w:t>
      </w:r>
    </w:p>
    <w:p w14:paraId="1B0A5350" w14:textId="77777777" w:rsidR="008C77FB" w:rsidRDefault="008C77FB">
      <w:pPr>
        <w:pStyle w:val="Heading3"/>
      </w:pPr>
      <w:bookmarkStart w:id="8" w:name="_vwrf8hfrhjba" w:colFirst="0" w:colLast="0"/>
      <w:bookmarkEnd w:id="8"/>
    </w:p>
    <w:p w14:paraId="762AF595" w14:textId="77777777" w:rsidR="008C77FB" w:rsidRDefault="008C77FB">
      <w:pPr>
        <w:spacing w:after="80"/>
      </w:pPr>
    </w:p>
    <w:p w14:paraId="691C46F1" w14:textId="77777777" w:rsidR="008C77FB" w:rsidRDefault="00000000">
      <w:pPr>
        <w:pStyle w:val="Heading3"/>
      </w:pPr>
      <w:bookmarkStart w:id="9" w:name="_csymqiu6pbz9" w:colFirst="0" w:colLast="0"/>
      <w:bookmarkEnd w:id="9"/>
      <w:r>
        <w:lastRenderedPageBreak/>
        <w:t xml:space="preserve">Supplementary Figure 6: </w:t>
      </w:r>
      <w:proofErr w:type="spellStart"/>
      <w:r>
        <w:t>PCD</w:t>
      </w:r>
      <w:proofErr w:type="spellEnd"/>
      <w:r>
        <w:t xml:space="preserve"> as a neutral trait </w:t>
      </w:r>
    </w:p>
    <w:p w14:paraId="7CDA8874" w14:textId="53A9DDE0" w:rsidR="008C77FB" w:rsidRDefault="00000000">
      <w:r>
        <w:rPr>
          <w:noProof/>
        </w:rPr>
        <w:drawing>
          <wp:inline distT="114300" distB="114300" distL="114300" distR="114300" wp14:anchorId="53199DD3" wp14:editId="36B1CB5E">
            <wp:extent cx="5943600" cy="3962400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B1C279" w14:textId="4D7A2CA2" w:rsidR="008C77FB" w:rsidRDefault="00000000" w:rsidP="0010052D">
      <w:pPr>
        <w:jc w:val="both"/>
      </w:pPr>
      <w:r>
        <w:t xml:space="preserve">An equilibrium distribution of states </w:t>
      </w:r>
      <m:oMath>
        <m:r>
          <w:rPr>
            <w:rFonts w:ascii="Cambria Math" w:hAnsi="Cambria Math"/>
          </w:rPr>
          <m:t>p, q</m:t>
        </m:r>
      </m:oMath>
      <w:r>
        <w:t xml:space="preserve">  was obtained through simulation for </w:t>
      </w:r>
      <m:oMath>
        <m:r>
          <w:rPr>
            <w:rFonts w:ascii="Cambria Math" w:hAnsi="Cambria Math"/>
          </w:rPr>
          <m:t>a=0.00, 0.95, 0.99</m:t>
        </m:r>
      </m:oMath>
      <w:r>
        <w:t xml:space="preserve"> (simulations 1, 2, 3 respectively</w:t>
      </w:r>
      <w:r w:rsidR="0010052D">
        <w:t xml:space="preserve">, increasing </w:t>
      </w:r>
      <w:proofErr w:type="spellStart"/>
      <w:r w:rsidR="0010052D">
        <w:t>PCD</w:t>
      </w:r>
      <w:proofErr w:type="spellEnd"/>
      <w:r w:rsidR="0010052D">
        <w:t xml:space="preserve"> investment from 0</w:t>
      </w:r>
      <w:r>
        <w:t xml:space="preserve">) for a specific  environmental condition </w:t>
      </w:r>
      <m:oMath>
        <m:r>
          <w:rPr>
            <w:rFonts w:ascii="Cambria Math" w:hAnsi="Cambria Math"/>
          </w:rPr>
          <m:t>A=28.0, B=0.05, C=1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-8</m:t>
            </m:r>
          </m:sup>
        </m:sSup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ψ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=1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  <m:r>
          <w:rPr>
            <w:rFonts w:ascii="Cambria Math" w:hAnsi="Cambria Math"/>
          </w:rPr>
          <m:t>, E=0.0125, F=2.4, H=1.0, G=1.0, r=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opt</m:t>
            </m:r>
          </m:sub>
        </m:sSub>
        <m:r>
          <w:rPr>
            <w:rFonts w:ascii="Cambria Math" w:hAnsi="Cambria Math"/>
          </w:rPr>
          <m:t>= 0.004605.</m:t>
        </m:r>
      </m:oMath>
      <w:r w:rsidR="00FD3BDA">
        <w:t xml:space="preserve"> </w:t>
      </w:r>
      <w:r>
        <w:t xml:space="preserve">The top panel shows the difference in distribution between simulation 1 and simulation 2, the bottom panel shows the difference between simulation 1 and simulation 3. </w:t>
      </w:r>
      <w:r w:rsidR="0010052D">
        <w:t xml:space="preserve">If follows that these distributions display the total number of cells which would have divided at least </w:t>
      </w:r>
      <w:proofErr w:type="gramStart"/>
      <w:r w:rsidR="0010052D">
        <w:t>once</w:t>
      </w:r>
      <w:proofErr w:type="gramEnd"/>
      <w:r w:rsidR="0010052D">
        <w:t xml:space="preserve"> had they not committed </w:t>
      </w:r>
      <w:proofErr w:type="spellStart"/>
      <w:r w:rsidR="0010052D">
        <w:t>PCD</w:t>
      </w:r>
      <w:proofErr w:type="spellEnd"/>
      <w:r w:rsidR="0010052D">
        <w:t xml:space="preserve"> when determined per the environmental conditions and nonzero </w:t>
      </w:r>
      <w:proofErr w:type="spellStart"/>
      <w:r w:rsidR="0010052D">
        <w:t>PCD</w:t>
      </w:r>
      <w:proofErr w:type="spellEnd"/>
      <w:r w:rsidR="0010052D">
        <w:t xml:space="preserve"> investment. In the top panel, so few cells may be expected to divide, the result is within the range of numerical </w:t>
      </w:r>
      <w:proofErr w:type="gramStart"/>
      <w:r w:rsidR="0010052D">
        <w:t>error</w:t>
      </w:r>
      <w:proofErr w:type="gramEnd"/>
      <w:r w:rsidR="0010052D">
        <w:t xml:space="preserve">. Consequently, for </w:t>
      </w:r>
      <w:r w:rsidR="0010052D">
        <w:t>a=0.95 (</w:t>
      </w:r>
      <w:proofErr w:type="spellStart"/>
      <w:r w:rsidR="0010052D">
        <w:t>PCD</w:t>
      </w:r>
      <w:proofErr w:type="spellEnd"/>
      <w:r w:rsidR="0010052D">
        <w:t xml:space="preserve"> is committed at p/q = 0.05) </w:t>
      </w:r>
      <w:proofErr w:type="spellStart"/>
      <w:r w:rsidR="0010052D">
        <w:t>PCD</w:t>
      </w:r>
      <w:proofErr w:type="spellEnd"/>
      <w:r w:rsidR="0010052D">
        <w:t xml:space="preserve"> is a neutral trait</w:t>
      </w:r>
      <w:r w:rsidR="0010052D">
        <w:t xml:space="preserve">. In the bottom panel, a modest but significant number of cells (approximately 0.3% of the population) had division events inhibited </w:t>
      </w:r>
      <w:proofErr w:type="gramStart"/>
      <w:r w:rsidR="0010052D">
        <w:t>as a result of</w:t>
      </w:r>
      <w:proofErr w:type="gramEnd"/>
      <w:r w:rsidR="0010052D">
        <w:t xml:space="preserve"> </w:t>
      </w:r>
      <w:proofErr w:type="spellStart"/>
      <w:r w:rsidR="0010052D">
        <w:t>PCD</w:t>
      </w:r>
      <w:proofErr w:type="spellEnd"/>
      <w:r w:rsidR="0010052D">
        <w:t xml:space="preserve"> activation. Consequently, for </w:t>
      </w:r>
      <w:r>
        <w:t>a=0.99 (</w:t>
      </w:r>
      <w:proofErr w:type="spellStart"/>
      <w:r>
        <w:t>PCD</w:t>
      </w:r>
      <w:proofErr w:type="spellEnd"/>
      <w:r>
        <w:t xml:space="preserve"> is committed at p/q = 0.01) </w:t>
      </w:r>
      <w:proofErr w:type="spellStart"/>
      <w:r w:rsidR="0010052D">
        <w:t>PCD</w:t>
      </w:r>
      <w:proofErr w:type="spellEnd"/>
      <w:r w:rsidR="0010052D">
        <w:t xml:space="preserve"> is an altruistic trait.</w:t>
      </w:r>
    </w:p>
    <w:p w14:paraId="4C7E915F" w14:textId="2F677B17" w:rsidR="008C77FB" w:rsidRDefault="00000000">
      <w:pPr>
        <w:pStyle w:val="Heading3"/>
      </w:pPr>
      <w:bookmarkStart w:id="10" w:name="_acdgdy2jyohh" w:colFirst="0" w:colLast="0"/>
      <w:bookmarkEnd w:id="10"/>
      <w:r>
        <w:lastRenderedPageBreak/>
        <w:t>Supplementary Figure 7: Cheater fixation dynamics in a competition experiment</w:t>
      </w:r>
    </w:p>
    <w:p w14:paraId="2E9BB531" w14:textId="77777777" w:rsidR="008C77FB" w:rsidRDefault="00000000">
      <w:r>
        <w:rPr>
          <w:noProof/>
        </w:rPr>
        <w:drawing>
          <wp:inline distT="114300" distB="114300" distL="114300" distR="114300" wp14:anchorId="62444C1A" wp14:editId="71287A14">
            <wp:extent cx="5943600" cy="5943600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82DDD0" w14:textId="2FE9FFFE" w:rsidR="008C77FB" w:rsidRDefault="00000000">
      <w:r>
        <w:t>Cheaters and altruists have the same population size and state distribution with respect to cell size and number of viruses (</w:t>
      </w:r>
      <m:oMath>
        <m:r>
          <w:rPr>
            <w:rFonts w:ascii="Cambria Math" w:hAnsi="Cambria Math"/>
          </w:rPr>
          <m:t>p, q</m:t>
        </m:r>
      </m:oMath>
      <w:r>
        <w:t xml:space="preserve">) at the start of the simulation. </w:t>
      </w:r>
    </w:p>
    <w:p w14:paraId="05843335" w14:textId="77777777" w:rsidR="008C77FB" w:rsidRDefault="00000000">
      <w:pPr>
        <w:pStyle w:val="Heading3"/>
      </w:pPr>
      <w:bookmarkStart w:id="11" w:name="_eyc7gc3d1wyr" w:colFirst="0" w:colLast="0"/>
      <w:bookmarkEnd w:id="11"/>
      <w:r>
        <w:lastRenderedPageBreak/>
        <w:t>Supplementary Figure 8: nonmonotonic population size with F</w:t>
      </w:r>
    </w:p>
    <w:p w14:paraId="3BAD2609" w14:textId="77777777" w:rsidR="008C77FB" w:rsidRDefault="00000000">
      <w:r>
        <w:rPr>
          <w:noProof/>
        </w:rPr>
        <w:drawing>
          <wp:inline distT="114300" distB="114300" distL="114300" distR="114300" wp14:anchorId="38E03C0A" wp14:editId="0D6C1F55">
            <wp:extent cx="4455319" cy="4340545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5319" cy="4340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99006E" w14:textId="13C2261E" w:rsidR="008C77FB" w:rsidRDefault="00000000">
      <w:pPr>
        <w:pStyle w:val="Heading3"/>
        <w:rPr>
          <w:sz w:val="22"/>
          <w:szCs w:val="22"/>
        </w:rPr>
      </w:pPr>
      <w:bookmarkStart w:id="12" w:name="_bowncsw9bi05" w:colFirst="0" w:colLast="0"/>
      <w:bookmarkEnd w:id="12"/>
      <w:r>
        <w:rPr>
          <w:sz w:val="22"/>
          <w:szCs w:val="22"/>
        </w:rPr>
        <w:t xml:space="preserve">As the virus replication rate increases, a certain strategy (here a=0.99, r=0.0125) can exhibit </w:t>
      </w:r>
      <w:proofErr w:type="gramStart"/>
      <w:r>
        <w:rPr>
          <w:sz w:val="22"/>
          <w:szCs w:val="22"/>
        </w:rPr>
        <w:t>nonmonotonic</w:t>
      </w:r>
      <w:proofErr w:type="gramEnd"/>
      <w:r>
        <w:rPr>
          <w:sz w:val="22"/>
          <w:szCs w:val="22"/>
        </w:rPr>
        <w:t xml:space="preserve"> success. </w:t>
      </w:r>
      <w:proofErr w:type="gramStart"/>
      <w:r>
        <w:rPr>
          <w:sz w:val="22"/>
          <w:szCs w:val="22"/>
        </w:rPr>
        <w:t>At first</w:t>
      </w:r>
      <w:proofErr w:type="gramEnd"/>
      <w:r>
        <w:rPr>
          <w:sz w:val="22"/>
          <w:szCs w:val="22"/>
        </w:rPr>
        <w:t>, increasing viral replication rate decreases the fitness of the population. However, after some threshold</w:t>
      </w:r>
      <w:r w:rsidR="005B5152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increasing viral replication rate </w:t>
      </w:r>
      <w:r w:rsidR="005B5152">
        <w:rPr>
          <w:sz w:val="22"/>
          <w:szCs w:val="22"/>
        </w:rPr>
        <w:t>further increases fitness</w:t>
      </w:r>
      <w:r>
        <w:rPr>
          <w:sz w:val="22"/>
          <w:szCs w:val="22"/>
        </w:rPr>
        <w:t xml:space="preserve">, </w:t>
      </w:r>
      <w:r w:rsidR="005B5152">
        <w:rPr>
          <w:sz w:val="22"/>
          <w:szCs w:val="22"/>
        </w:rPr>
        <w:t>demonstrating</w:t>
      </w:r>
      <w:r>
        <w:rPr>
          <w:sz w:val="22"/>
          <w:szCs w:val="22"/>
        </w:rPr>
        <w:t xml:space="preserve"> PC</w:t>
      </w:r>
      <w:proofErr w:type="spellStart"/>
      <w:r>
        <w:rPr>
          <w:sz w:val="22"/>
          <w:szCs w:val="22"/>
        </w:rPr>
        <w:t>D</w:t>
      </w:r>
      <w:proofErr w:type="spellEnd"/>
      <w:r>
        <w:rPr>
          <w:sz w:val="22"/>
          <w:szCs w:val="22"/>
        </w:rPr>
        <w:t xml:space="preserve"> machinery </w:t>
      </w:r>
      <w:r w:rsidR="005B5152">
        <w:rPr>
          <w:sz w:val="22"/>
          <w:szCs w:val="22"/>
        </w:rPr>
        <w:t>efficiently eliminates</w:t>
      </w:r>
      <w:r>
        <w:rPr>
          <w:sz w:val="22"/>
          <w:szCs w:val="22"/>
        </w:rPr>
        <w:t xml:space="preserve"> against fast-replicating viruses.</w:t>
      </w:r>
    </w:p>
    <w:p w14:paraId="14B28203" w14:textId="77777777" w:rsidR="008C77FB" w:rsidRDefault="008C77FB"/>
    <w:p w14:paraId="1F325EEB" w14:textId="77777777" w:rsidR="008C77FB" w:rsidRDefault="008C77FB"/>
    <w:p w14:paraId="6A702F31" w14:textId="77777777" w:rsidR="008C77FB" w:rsidRDefault="00000000">
      <w:pPr>
        <w:pStyle w:val="Heading3"/>
      </w:pPr>
      <w:bookmarkStart w:id="13" w:name="_pgjhr0bb8b2d" w:colFirst="0" w:colLast="0"/>
      <w:bookmarkEnd w:id="13"/>
      <w:r>
        <w:lastRenderedPageBreak/>
        <w:t>Supplementary Figure 9: low/high abundance classification</w:t>
      </w:r>
    </w:p>
    <w:p w14:paraId="6CCF5220" w14:textId="77777777" w:rsidR="008C77FB" w:rsidRDefault="00000000">
      <w:r>
        <w:rPr>
          <w:noProof/>
        </w:rPr>
        <w:drawing>
          <wp:inline distT="114300" distB="114300" distL="114300" distR="114300" wp14:anchorId="07FAAF3D" wp14:editId="372162D8">
            <wp:extent cx="5943600" cy="29718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8E81F8" w14:textId="77777777" w:rsidR="008C77FB" w:rsidRDefault="00000000">
      <w:r>
        <w:t xml:space="preserve">Each distribution represents a single species rank abundance across individual human guts. The vertical lines represent the threshold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>
        <w:t xml:space="preserve"> we used to distinguish between high- and low-abundant species (see Methods).</w:t>
      </w:r>
    </w:p>
    <w:p w14:paraId="3E1CFA1C" w14:textId="77777777" w:rsidR="008C77FB" w:rsidRDefault="008C77FB"/>
    <w:p w14:paraId="78B3D70A" w14:textId="77777777" w:rsidR="008C77FB" w:rsidRDefault="008C77FB"/>
    <w:p w14:paraId="264D96CA" w14:textId="77777777" w:rsidR="008C77FB" w:rsidRDefault="008C77FB"/>
    <w:p w14:paraId="099E9C7A" w14:textId="77777777" w:rsidR="008C77FB" w:rsidRDefault="008C77FB"/>
    <w:p w14:paraId="24E5A6AD" w14:textId="77777777" w:rsidR="008C77FB" w:rsidRDefault="008C77FB"/>
    <w:p w14:paraId="1937F0B9" w14:textId="77777777" w:rsidR="008C77FB" w:rsidRDefault="008C77FB"/>
    <w:p w14:paraId="121AB3B0" w14:textId="77777777" w:rsidR="008C77FB" w:rsidRDefault="008C77FB"/>
    <w:sectPr w:rsidR="008C77FB">
      <w:head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79BBB8" w14:textId="77777777" w:rsidR="001A0782" w:rsidRDefault="001A0782">
      <w:pPr>
        <w:spacing w:line="240" w:lineRule="auto"/>
      </w:pPr>
      <w:r>
        <w:separator/>
      </w:r>
    </w:p>
  </w:endnote>
  <w:endnote w:type="continuationSeparator" w:id="0">
    <w:p w14:paraId="36A7521E" w14:textId="77777777" w:rsidR="001A0782" w:rsidRDefault="001A07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A594A" w14:textId="77777777" w:rsidR="001A0782" w:rsidRDefault="001A0782">
      <w:pPr>
        <w:spacing w:line="240" w:lineRule="auto"/>
      </w:pPr>
      <w:r>
        <w:separator/>
      </w:r>
    </w:p>
  </w:footnote>
  <w:footnote w:type="continuationSeparator" w:id="0">
    <w:p w14:paraId="047A3329" w14:textId="77777777" w:rsidR="001A0782" w:rsidRDefault="001A07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C980E" w14:textId="77777777" w:rsidR="008C77FB" w:rsidRDefault="008C77F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7FB"/>
    <w:rsid w:val="000F4600"/>
    <w:rsid w:val="0010052D"/>
    <w:rsid w:val="00132C17"/>
    <w:rsid w:val="001A0782"/>
    <w:rsid w:val="00250B5D"/>
    <w:rsid w:val="00296491"/>
    <w:rsid w:val="005B5152"/>
    <w:rsid w:val="006105D4"/>
    <w:rsid w:val="00655D27"/>
    <w:rsid w:val="00681094"/>
    <w:rsid w:val="006A7D0B"/>
    <w:rsid w:val="008726C5"/>
    <w:rsid w:val="008C77FB"/>
    <w:rsid w:val="00C00903"/>
    <w:rsid w:val="00C3345A"/>
    <w:rsid w:val="00D26E4E"/>
    <w:rsid w:val="00E57128"/>
    <w:rsid w:val="00FD3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9A450"/>
  <w15:docId w15:val="{DAF60197-1290-4A75-872B-5E06EF0A5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752</Words>
  <Characters>4289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Nash Rochman</cp:lastModifiedBy>
  <cp:revision>2</cp:revision>
  <dcterms:created xsi:type="dcterms:W3CDTF">2025-06-23T22:38:00Z</dcterms:created>
  <dcterms:modified xsi:type="dcterms:W3CDTF">2025-06-23T22:38:00Z</dcterms:modified>
</cp:coreProperties>
</file>