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50792" w14:textId="77777777" w:rsidR="00B434DE" w:rsidRDefault="00B434DE" w:rsidP="00B434DE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Appendix A.</w:t>
      </w:r>
    </w:p>
    <w:p w14:paraId="3CE03BD7" w14:textId="77777777" w:rsidR="00B434DE" w:rsidRDefault="00B434DE" w:rsidP="00B434DE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Variable Definitions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996"/>
        <w:gridCol w:w="6310"/>
      </w:tblGrid>
      <w:tr w:rsidR="00B434DE" w14:paraId="27A765D4" w14:textId="77777777" w:rsidTr="00DB32D6">
        <w:trPr>
          <w:trHeight w:val="90"/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1646BBE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Variable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4861A30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Definition</w:t>
            </w:r>
          </w:p>
        </w:tc>
      </w:tr>
      <w:tr w:rsidR="00B434DE" w14:paraId="1BDCA41C" w14:textId="77777777" w:rsidTr="00DB32D6">
        <w:trPr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BFA3270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Party_article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86DEAFD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PBAA in NSOEs: when the announcement of a non-state-owned listed company involves the amendment of the content of the party organization in the enterprise’s articles of association, take 1, and 0 otherwise</w:t>
            </w:r>
          </w:p>
        </w:tc>
      </w:tr>
      <w:tr w:rsidR="00B434DE" w14:paraId="10626D50" w14:textId="77777777" w:rsidTr="00DB32D6">
        <w:trPr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A90827C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Gov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4EAD7B8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Local party committee executive force: when the place of registration of NSOEs belongs to Gansu, Anhui, Tianjin, Hubei, and Sichuan, take 1, and 0 otherwise</w:t>
            </w:r>
          </w:p>
        </w:tc>
      </w:tr>
      <w:tr w:rsidR="00B434DE" w14:paraId="226952A5" w14:textId="77777777" w:rsidTr="00DB32D6">
        <w:trPr>
          <w:trHeight w:val="270"/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B0843C5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Identity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71CAEC2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Political identity: when the majority shareholder has the political status of the NPC and CPPCC, take 1, and 0 otherwise</w:t>
            </w:r>
          </w:p>
        </w:tc>
      </w:tr>
      <w:tr w:rsidR="00B434DE" w14:paraId="091341F8" w14:textId="77777777" w:rsidTr="00DB32D6">
        <w:trPr>
          <w:trHeight w:val="90"/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D945BAF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Equity_pledge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F8E16F2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The proportion of pledged shares of majority shareholders’ equity to their total shareholdings</w:t>
            </w:r>
          </w:p>
        </w:tc>
      </w:tr>
      <w:tr w:rsidR="00B434DE" w14:paraId="5D9CBFAB" w14:textId="77777777" w:rsidTr="00DB32D6">
        <w:trPr>
          <w:trHeight w:val="90"/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2D68AE7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AC2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B9BA885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The second type of agency cost: other receivables / total assets</w:t>
            </w:r>
          </w:p>
        </w:tc>
      </w:tr>
      <w:tr w:rsidR="00B434DE" w14:paraId="483F9FC6" w14:textId="77777777" w:rsidTr="00DB32D6">
        <w:trPr>
          <w:trHeight w:val="90"/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171FCA7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Minority_shareholders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CF68455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Number of minority shareholders participating in the General Meeting of Shareholders</w:t>
            </w:r>
          </w:p>
        </w:tc>
      </w:tr>
      <w:tr w:rsidR="00B434DE" w14:paraId="7836BA2B" w14:textId="77777777" w:rsidTr="00DB32D6">
        <w:trPr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BE1422D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Size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BB48A9F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The logarithm of the total assets scale</w:t>
            </w:r>
          </w:p>
        </w:tc>
      </w:tr>
      <w:tr w:rsidR="00B434DE" w14:paraId="261BFF9E" w14:textId="77777777" w:rsidTr="00DB32D6">
        <w:trPr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690FD9A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ROE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35DF20E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Return on net assets: net profit / year-end net assets</w:t>
            </w:r>
          </w:p>
        </w:tc>
      </w:tr>
      <w:tr w:rsidR="00B434DE" w14:paraId="03ADC21D" w14:textId="77777777" w:rsidTr="00DB32D6">
        <w:trPr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B2A25E5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LEV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AFC7F55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Asset-liability ratio: year-end total liabilities / year-end total assets</w:t>
            </w:r>
          </w:p>
        </w:tc>
      </w:tr>
      <w:tr w:rsidR="00B434DE" w14:paraId="45B4B2E7" w14:textId="77777777" w:rsidTr="00DB32D6">
        <w:trPr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BFC8B08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Set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26E8A18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Enterprise age: years of business operation</w:t>
            </w:r>
          </w:p>
        </w:tc>
      </w:tr>
      <w:tr w:rsidR="00B434DE" w14:paraId="245BBC84" w14:textId="77777777" w:rsidTr="00DB32D6">
        <w:trPr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0402F3F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Stockstate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96149DE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State-owned shares: when NSOEs have state-owned shares, take 1, and 0 otherwise</w:t>
            </w:r>
          </w:p>
        </w:tc>
      </w:tr>
      <w:tr w:rsidR="00B434DE" w14:paraId="7B8F22A7" w14:textId="77777777" w:rsidTr="00DB32D6">
        <w:trPr>
          <w:trHeight w:val="114"/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E5BD8F6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Dual_position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49F3A5F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Dual role of the board chairman: when the chairman and the general manager are combined, take 1, otherwise take 0.</w:t>
            </w:r>
          </w:p>
        </w:tc>
      </w:tr>
      <w:tr w:rsidR="00B434DE" w14:paraId="170B45B1" w14:textId="77777777" w:rsidTr="00DB32D6">
        <w:tblPrEx>
          <w:tblBorders>
            <w:bottom w:val="single" w:sz="6" w:space="0" w:color="auto"/>
          </w:tblBorders>
        </w:tblPrEx>
        <w:trPr>
          <w:trHeight w:val="90"/>
          <w:jc w:val="center"/>
        </w:trPr>
        <w:tc>
          <w:tcPr>
            <w:tcW w:w="20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D316032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Employee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A443E00" w14:textId="77777777" w:rsidR="00B434DE" w:rsidRDefault="00B434DE" w:rsidP="00DB32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The logarithm of the number of employees</w:t>
            </w:r>
          </w:p>
        </w:tc>
      </w:tr>
    </w:tbl>
    <w:p w14:paraId="267D59EA" w14:textId="77777777" w:rsidR="00B434DE" w:rsidRDefault="00B434DE" w:rsidP="00B434DE">
      <w:pPr>
        <w:overflowPunct w:val="0"/>
        <w:rPr>
          <w:rFonts w:ascii="Times New Roman" w:hAnsi="Times New Roman"/>
          <w:sz w:val="24"/>
        </w:rPr>
      </w:pPr>
    </w:p>
    <w:p w14:paraId="49987A20" w14:textId="77777777" w:rsidR="004E780C" w:rsidRDefault="004E780C"/>
    <w:sectPr w:rsidR="004E780C" w:rsidSect="00B434DE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79605401"/>
    </w:sdtPr>
    <w:sdtContent>
      <w:p w14:paraId="31EF2BD8" w14:textId="77777777" w:rsidR="00B434DE" w:rsidRDefault="00B434D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3F71BC09" w14:textId="77777777" w:rsidR="00B434DE" w:rsidRDefault="00B434DE">
    <w:pPr>
      <w:pStyle w:val="Footer"/>
    </w:pPr>
  </w:p>
  <w:p w14:paraId="09477273" w14:textId="77777777" w:rsidR="00B434DE" w:rsidRDefault="00B434DE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4DE"/>
    <w:rsid w:val="00282141"/>
    <w:rsid w:val="002978F5"/>
    <w:rsid w:val="003852CF"/>
    <w:rsid w:val="004E780C"/>
    <w:rsid w:val="00B434D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8FEC0"/>
  <w15:chartTrackingRefBased/>
  <w15:docId w15:val="{E94C8C14-E453-48C4-8C76-4530D7391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B434DE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34D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34D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34DE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34DE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34DE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34DE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34DE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34DE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34DE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34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34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34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34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34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34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34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34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34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34D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434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34DE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434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34DE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434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34DE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434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34D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34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34D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B434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B434DE"/>
    <w:rPr>
      <w:rFonts w:eastAsiaTheme="minorEastAsia"/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1166</Characters>
  <Application>Microsoft Office Word</Application>
  <DocSecurity>0</DocSecurity>
  <Lines>44</Lines>
  <Paragraphs>28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2025-12-03T12:50:00Z</dcterms:created>
  <dcterms:modified xsi:type="dcterms:W3CDTF">2025-12-03T12:50:00Z</dcterms:modified>
</cp:coreProperties>
</file>