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1A35D" w14:textId="77777777" w:rsidR="005626CB" w:rsidRPr="00554ECF" w:rsidRDefault="00F02639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>Supplementary figures</w:t>
      </w:r>
    </w:p>
    <w:p w14:paraId="7515782A" w14:textId="2CBEFA82" w:rsidR="007A4F4F" w:rsidRPr="00554ECF" w:rsidRDefault="007A4F4F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noProof/>
          <w:sz w:val="20"/>
          <w:szCs w:val="20"/>
        </w:rPr>
        <w:drawing>
          <wp:inline distT="0" distB="0" distL="0" distR="0" wp14:anchorId="1C2389B9" wp14:editId="5FF747CC">
            <wp:extent cx="3649386" cy="2700000"/>
            <wp:effectExtent l="0" t="0" r="0" b="5715"/>
            <wp:docPr id="1014286881" name="Picture 1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8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D8F8" w14:textId="3DF2D138" w:rsidR="0071627D" w:rsidRPr="00554ECF" w:rsidRDefault="007A4F4F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 xml:space="preserve">Supplementary Figure </w:t>
      </w:r>
      <w:r w:rsidR="0071627D" w:rsidRPr="00554ECF">
        <w:rPr>
          <w:b/>
          <w:sz w:val="20"/>
          <w:szCs w:val="20"/>
        </w:rPr>
        <w:t>1</w:t>
      </w:r>
      <w:r w:rsidRPr="00554ECF">
        <w:rPr>
          <w:b/>
          <w:sz w:val="20"/>
          <w:szCs w:val="20"/>
        </w:rPr>
        <w:t>: Number of reads per sample for each pre-treatment step.</w:t>
      </w:r>
    </w:p>
    <w:p w14:paraId="1ABEC65E" w14:textId="77777777" w:rsidR="0071627D" w:rsidRPr="00554ECF" w:rsidRDefault="0071627D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br w:type="page"/>
      </w:r>
    </w:p>
    <w:p w14:paraId="6E57714E" w14:textId="4D36D367" w:rsidR="007A4F4F" w:rsidRPr="00554ECF" w:rsidRDefault="007238C1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noProof/>
          <w:sz w:val="20"/>
          <w:szCs w:val="20"/>
        </w:rPr>
        <w:lastRenderedPageBreak/>
        <w:drawing>
          <wp:inline distT="0" distB="0" distL="0" distR="0" wp14:anchorId="4B58F25B" wp14:editId="01E8248C">
            <wp:extent cx="5943600" cy="3164840"/>
            <wp:effectExtent l="0" t="0" r="0" b="0"/>
            <wp:docPr id="243482026" name="Picture 1" descr="A comparison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82026" name="Picture 1" descr="A comparison of a diagram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5F8F" w14:textId="2751227E" w:rsidR="0081784F" w:rsidRPr="00554ECF" w:rsidRDefault="0071627D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 xml:space="preserve">Supplementary Figure 2: </w:t>
      </w:r>
      <w:r w:rsidR="007238C1" w:rsidRPr="00554ECF">
        <w:rPr>
          <w:b/>
          <w:sz w:val="20"/>
          <w:szCs w:val="20"/>
        </w:rPr>
        <w:t xml:space="preserve">A) </w:t>
      </w:r>
      <w:r w:rsidR="00DE6214" w:rsidRPr="00554ECF">
        <w:rPr>
          <w:b/>
          <w:sz w:val="20"/>
          <w:szCs w:val="20"/>
        </w:rPr>
        <w:t>Venn diagram illustrating the overlap of AMPs predicted using three different tools: Macrel, AMP Scanner v2, and AxPEP, from our metatranscriptome data</w:t>
      </w:r>
      <w:r w:rsidR="007238C1" w:rsidRPr="00554ECF">
        <w:rPr>
          <w:b/>
          <w:sz w:val="20"/>
          <w:szCs w:val="20"/>
        </w:rPr>
        <w:t>. B)</w:t>
      </w:r>
      <w:r w:rsidR="007238C1" w:rsidRPr="00554ECF">
        <w:rPr>
          <w:sz w:val="20"/>
          <w:szCs w:val="20"/>
        </w:rPr>
        <w:t xml:space="preserve"> </w:t>
      </w:r>
      <w:r w:rsidR="007238C1" w:rsidRPr="00554ECF">
        <w:rPr>
          <w:b/>
          <w:sz w:val="20"/>
          <w:szCs w:val="20"/>
        </w:rPr>
        <w:t>Identification and Taxonomic Origin of the 112 Predicted AMPs, as determined by BLASTN and MEGAN6 analysis of the AMP-encoding sequences.</w:t>
      </w:r>
    </w:p>
    <w:p w14:paraId="1FE24C58" w14:textId="3A3BF517" w:rsidR="00680FDA" w:rsidRPr="00554ECF" w:rsidRDefault="00680FDA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br w:type="page"/>
      </w:r>
    </w:p>
    <w:p w14:paraId="2FACC5B2" w14:textId="323D3B34" w:rsidR="00632F6D" w:rsidRPr="00554ECF" w:rsidRDefault="006F0E3B" w:rsidP="006F21BA">
      <w:pPr>
        <w:spacing w:line="480" w:lineRule="auto"/>
        <w:jc w:val="both"/>
        <w:rPr>
          <w:b/>
          <w:sz w:val="20"/>
          <w:szCs w:val="20"/>
        </w:rPr>
      </w:pPr>
      <w:r w:rsidRPr="006F0E3B">
        <w:rPr>
          <w:b/>
          <w:sz w:val="20"/>
          <w:szCs w:val="20"/>
        </w:rPr>
        <w:lastRenderedPageBreak/>
        <w:drawing>
          <wp:inline distT="0" distB="0" distL="0" distR="0" wp14:anchorId="721519F2" wp14:editId="25BCD446">
            <wp:extent cx="5943600" cy="7412990"/>
            <wp:effectExtent l="0" t="0" r="0" b="3810"/>
            <wp:docPr id="13641777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7775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62F0" w14:textId="77777777" w:rsidR="00680FDA" w:rsidRDefault="00680FDA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 xml:space="preserve">Supplementary Figure 3: </w:t>
      </w:r>
      <w:r w:rsidR="005007E8" w:rsidRPr="00554ECF">
        <w:rPr>
          <w:b/>
          <w:sz w:val="20"/>
          <w:szCs w:val="20"/>
        </w:rPr>
        <w:t>Phylogenetic analysis of putative AMPs encoded by bacteria. A) AMP 3076, B) AMP 2526, C) AMP 2096, D) AMP 5865, and E) AMP 2198.</w:t>
      </w:r>
    </w:p>
    <w:p w14:paraId="7E48BA4B" w14:textId="77777777" w:rsidR="006F0E3B" w:rsidRPr="00554ECF" w:rsidRDefault="006F0E3B" w:rsidP="006F21BA">
      <w:pPr>
        <w:spacing w:line="480" w:lineRule="auto"/>
        <w:jc w:val="both"/>
        <w:rPr>
          <w:b/>
          <w:sz w:val="20"/>
          <w:szCs w:val="20"/>
        </w:rPr>
      </w:pPr>
    </w:p>
    <w:p w14:paraId="258C42D2" w14:textId="5E491D02" w:rsidR="00F06656" w:rsidRPr="001A259B" w:rsidRDefault="006F0E3B" w:rsidP="006F21BA">
      <w:pPr>
        <w:spacing w:line="480" w:lineRule="auto"/>
        <w:jc w:val="both"/>
        <w:rPr>
          <w:b/>
          <w:sz w:val="20"/>
          <w:szCs w:val="20"/>
        </w:rPr>
      </w:pPr>
      <w:r w:rsidRPr="006F0E3B">
        <w:rPr>
          <w:b/>
          <w:sz w:val="20"/>
          <w:szCs w:val="20"/>
        </w:rPr>
        <w:drawing>
          <wp:inline distT="0" distB="0" distL="0" distR="0" wp14:anchorId="35EABA0E" wp14:editId="4070E489">
            <wp:extent cx="5943600" cy="5767070"/>
            <wp:effectExtent l="0" t="0" r="0" b="0"/>
            <wp:docPr id="2239639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6395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28EA" w14:textId="0FE9472D" w:rsidR="00F06656" w:rsidRPr="00554ECF" w:rsidRDefault="00F06656" w:rsidP="00F06656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 xml:space="preserve">Supplementary Figure </w:t>
      </w:r>
      <w:r>
        <w:rPr>
          <w:b/>
          <w:sz w:val="20"/>
          <w:szCs w:val="20"/>
        </w:rPr>
        <w:t>4</w:t>
      </w:r>
      <w:r w:rsidRPr="00554ECF">
        <w:rPr>
          <w:b/>
          <w:sz w:val="20"/>
          <w:szCs w:val="20"/>
        </w:rPr>
        <w:t>: Phylogenetic analysis of putative AMPs encoded by bacteria. A) AMP 3076, B) AMP 2526, C) AMP 2096, D) AMP 5865, and E) AMP 2198.</w:t>
      </w:r>
    </w:p>
    <w:p w14:paraId="59185CDB" w14:textId="75DC7548" w:rsidR="00680FDA" w:rsidRPr="00554ECF" w:rsidRDefault="00680FDA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br w:type="page"/>
      </w:r>
    </w:p>
    <w:p w14:paraId="0803F00E" w14:textId="77777777" w:rsidR="00680FDA" w:rsidRPr="00554ECF" w:rsidRDefault="00680FDA" w:rsidP="006F21BA">
      <w:pPr>
        <w:spacing w:line="480" w:lineRule="auto"/>
        <w:jc w:val="both"/>
        <w:rPr>
          <w:b/>
          <w:sz w:val="20"/>
          <w:szCs w:val="20"/>
        </w:rPr>
      </w:pPr>
    </w:p>
    <w:p w14:paraId="7032EAC1" w14:textId="1F4C90E6" w:rsidR="00A91F8E" w:rsidRPr="00554ECF" w:rsidRDefault="00A91F8E" w:rsidP="006F21BA">
      <w:pPr>
        <w:spacing w:line="480" w:lineRule="auto"/>
        <w:jc w:val="both"/>
        <w:rPr>
          <w:b/>
          <w:sz w:val="20"/>
          <w:szCs w:val="20"/>
        </w:rPr>
      </w:pPr>
    </w:p>
    <w:p w14:paraId="7B920A33" w14:textId="50F8B16A" w:rsidR="000365FD" w:rsidRPr="00554ECF" w:rsidRDefault="001A259B" w:rsidP="006F21BA">
      <w:pPr>
        <w:spacing w:line="480" w:lineRule="auto"/>
        <w:jc w:val="both"/>
        <w:rPr>
          <w:b/>
          <w:sz w:val="20"/>
          <w:szCs w:val="20"/>
        </w:rPr>
      </w:pPr>
      <w:r w:rsidRPr="001A259B">
        <w:rPr>
          <w:b/>
          <w:sz w:val="20"/>
          <w:szCs w:val="20"/>
        </w:rPr>
        <w:drawing>
          <wp:inline distT="0" distB="0" distL="0" distR="0" wp14:anchorId="6FBB102A" wp14:editId="2743FAFC">
            <wp:extent cx="5943600" cy="3523615"/>
            <wp:effectExtent l="0" t="0" r="0" b="0"/>
            <wp:docPr id="21112290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2903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EF06" w14:textId="753FA8E3" w:rsidR="007E5AF2" w:rsidRPr="00554ECF" w:rsidRDefault="00B82492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>Supplementary F</w:t>
      </w:r>
      <w:r w:rsidR="00A91F8E" w:rsidRPr="00554ECF">
        <w:rPr>
          <w:b/>
          <w:sz w:val="20"/>
          <w:szCs w:val="20"/>
        </w:rPr>
        <w:t xml:space="preserve">igure </w:t>
      </w:r>
      <w:r w:rsidR="00546C23">
        <w:rPr>
          <w:b/>
          <w:sz w:val="20"/>
          <w:szCs w:val="20"/>
        </w:rPr>
        <w:t>5</w:t>
      </w:r>
      <w:r w:rsidR="007E0407" w:rsidRPr="00554ECF">
        <w:rPr>
          <w:b/>
          <w:sz w:val="20"/>
          <w:szCs w:val="20"/>
        </w:rPr>
        <w:t>:</w:t>
      </w:r>
      <w:r w:rsidR="007E0407">
        <w:rPr>
          <w:b/>
          <w:sz w:val="20"/>
          <w:szCs w:val="20"/>
        </w:rPr>
        <w:t xml:space="preserve"> </w:t>
      </w:r>
      <w:r w:rsidR="00F139D6" w:rsidRPr="00F139D6">
        <w:rPr>
          <w:b/>
          <w:sz w:val="20"/>
          <w:szCs w:val="20"/>
        </w:rPr>
        <w:t xml:space="preserve">Coverage analysis of the </w:t>
      </w:r>
      <w:r w:rsidR="00F139D6">
        <w:rPr>
          <w:b/>
          <w:sz w:val="20"/>
          <w:szCs w:val="20"/>
        </w:rPr>
        <w:t>plasmid</w:t>
      </w:r>
      <w:r w:rsidR="00F139D6" w:rsidRPr="00F139D6">
        <w:rPr>
          <w:b/>
          <w:sz w:val="20"/>
          <w:szCs w:val="20"/>
        </w:rPr>
        <w:t xml:space="preserve"> encoding </w:t>
      </w:r>
      <w:r w:rsidR="007E0407" w:rsidRPr="00554ECF">
        <w:rPr>
          <w:b/>
          <w:sz w:val="20"/>
          <w:szCs w:val="20"/>
        </w:rPr>
        <w:t xml:space="preserve">AMP </w:t>
      </w:r>
      <w:r w:rsidR="007E0407">
        <w:rPr>
          <w:b/>
          <w:sz w:val="20"/>
          <w:szCs w:val="20"/>
        </w:rPr>
        <w:t>8200</w:t>
      </w:r>
      <w:r w:rsidR="00210426" w:rsidRPr="00554ECF">
        <w:rPr>
          <w:b/>
          <w:sz w:val="20"/>
          <w:szCs w:val="20"/>
        </w:rPr>
        <w:t xml:space="preserve">. A) </w:t>
      </w:r>
      <w:proofErr w:type="spellStart"/>
      <w:r w:rsidR="00210426" w:rsidRPr="00554ECF">
        <w:rPr>
          <w:b/>
          <w:i/>
          <w:iCs/>
          <w:sz w:val="20"/>
          <w:szCs w:val="20"/>
        </w:rPr>
        <w:t>Phocaeicola</w:t>
      </w:r>
      <w:proofErr w:type="spellEnd"/>
      <w:r w:rsidR="00210426" w:rsidRPr="00554ECF">
        <w:rPr>
          <w:b/>
          <w:i/>
          <w:iCs/>
          <w:sz w:val="20"/>
          <w:szCs w:val="20"/>
        </w:rPr>
        <w:t xml:space="preserve"> </w:t>
      </w:r>
      <w:proofErr w:type="spellStart"/>
      <w:r w:rsidR="00210426" w:rsidRPr="00554ECF">
        <w:rPr>
          <w:b/>
          <w:i/>
          <w:iCs/>
          <w:sz w:val="20"/>
          <w:szCs w:val="20"/>
        </w:rPr>
        <w:t>dorei</w:t>
      </w:r>
      <w:proofErr w:type="spellEnd"/>
      <w:r w:rsidR="00210426" w:rsidRPr="00554ECF">
        <w:rPr>
          <w:b/>
          <w:i/>
          <w:iCs/>
          <w:sz w:val="20"/>
          <w:szCs w:val="20"/>
        </w:rPr>
        <w:t xml:space="preserve"> </w:t>
      </w:r>
      <w:r w:rsidR="00210426" w:rsidRPr="00554ECF">
        <w:rPr>
          <w:b/>
          <w:sz w:val="20"/>
          <w:szCs w:val="20"/>
        </w:rPr>
        <w:t xml:space="preserve">plasmid to genome integration. </w:t>
      </w:r>
      <w:r w:rsidR="001A259B" w:rsidRPr="00554ECF">
        <w:rPr>
          <w:b/>
          <w:sz w:val="20"/>
          <w:szCs w:val="20"/>
        </w:rPr>
        <w:t>B)</w:t>
      </w:r>
      <w:r w:rsidR="001A259B">
        <w:rPr>
          <w:b/>
          <w:sz w:val="20"/>
          <w:szCs w:val="20"/>
        </w:rPr>
        <w:t xml:space="preserve"> </w:t>
      </w:r>
      <w:r w:rsidR="00210426" w:rsidRPr="00554ECF">
        <w:rPr>
          <w:b/>
          <w:sz w:val="20"/>
          <w:szCs w:val="20"/>
        </w:rPr>
        <w:t xml:space="preserve">Total coverage of </w:t>
      </w:r>
      <w:r w:rsidRPr="00554ECF">
        <w:rPr>
          <w:b/>
          <w:i/>
          <w:iCs/>
          <w:sz w:val="20"/>
          <w:szCs w:val="20"/>
        </w:rPr>
        <w:t>P</w:t>
      </w:r>
      <w:r w:rsidR="00210426" w:rsidRPr="00554ECF">
        <w:rPr>
          <w:b/>
          <w:i/>
          <w:iCs/>
          <w:sz w:val="20"/>
          <w:szCs w:val="20"/>
        </w:rPr>
        <w:t>.</w:t>
      </w:r>
      <w:r w:rsidRPr="00554ECF">
        <w:rPr>
          <w:b/>
          <w:i/>
          <w:iCs/>
          <w:sz w:val="20"/>
          <w:szCs w:val="20"/>
        </w:rPr>
        <w:t xml:space="preserve"> </w:t>
      </w:r>
      <w:proofErr w:type="spellStart"/>
      <w:r w:rsidRPr="00554ECF">
        <w:rPr>
          <w:b/>
          <w:i/>
          <w:iCs/>
          <w:sz w:val="20"/>
          <w:szCs w:val="20"/>
        </w:rPr>
        <w:t>dore</w:t>
      </w:r>
      <w:r w:rsidRPr="00554ECF">
        <w:rPr>
          <w:b/>
          <w:sz w:val="20"/>
          <w:szCs w:val="20"/>
        </w:rPr>
        <w:t>i</w:t>
      </w:r>
      <w:proofErr w:type="spellEnd"/>
      <w:r w:rsidRPr="00554ECF">
        <w:rPr>
          <w:b/>
          <w:sz w:val="20"/>
          <w:szCs w:val="20"/>
        </w:rPr>
        <w:t xml:space="preserve"> plasmid</w:t>
      </w:r>
      <w:r w:rsidR="001A259B">
        <w:rPr>
          <w:b/>
          <w:sz w:val="20"/>
          <w:szCs w:val="20"/>
        </w:rPr>
        <w:t xml:space="preserve"> genome</w:t>
      </w:r>
      <w:r w:rsidRPr="00554ECF">
        <w:rPr>
          <w:b/>
          <w:sz w:val="20"/>
          <w:szCs w:val="20"/>
        </w:rPr>
        <w:t>.</w:t>
      </w:r>
      <w:r w:rsidR="00EB1864" w:rsidRPr="00554ECF">
        <w:rPr>
          <w:b/>
          <w:sz w:val="20"/>
          <w:szCs w:val="20"/>
        </w:rPr>
        <w:t xml:space="preserve"> The AMP-coding region is highlighted in red.</w:t>
      </w:r>
    </w:p>
    <w:p w14:paraId="22FFB0B9" w14:textId="77777777" w:rsidR="007E5AF2" w:rsidRPr="00554ECF" w:rsidRDefault="007E5AF2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br w:type="page"/>
      </w:r>
    </w:p>
    <w:p w14:paraId="107A5D60" w14:textId="12AD407D" w:rsidR="00A91F8E" w:rsidRPr="00554ECF" w:rsidRDefault="001A259B" w:rsidP="006F21BA">
      <w:pPr>
        <w:spacing w:line="480" w:lineRule="auto"/>
        <w:jc w:val="both"/>
        <w:rPr>
          <w:b/>
          <w:sz w:val="20"/>
          <w:szCs w:val="20"/>
        </w:rPr>
      </w:pPr>
      <w:r w:rsidRPr="001A259B">
        <w:rPr>
          <w:b/>
          <w:sz w:val="20"/>
          <w:szCs w:val="20"/>
        </w:rPr>
        <w:lastRenderedPageBreak/>
        <w:drawing>
          <wp:inline distT="0" distB="0" distL="0" distR="0" wp14:anchorId="1B8FB110" wp14:editId="44447A00">
            <wp:extent cx="5943600" cy="3396615"/>
            <wp:effectExtent l="0" t="0" r="0" b="0"/>
            <wp:docPr id="98381156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1156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AFE8" w14:textId="7D518901" w:rsidR="007E5AF2" w:rsidRPr="00554ECF" w:rsidRDefault="007E5AF2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 xml:space="preserve">Supplementary Figure </w:t>
      </w:r>
      <w:r w:rsidR="00546C23">
        <w:rPr>
          <w:b/>
          <w:sz w:val="20"/>
          <w:szCs w:val="20"/>
        </w:rPr>
        <w:t>6</w:t>
      </w:r>
      <w:r w:rsidRPr="00554ECF">
        <w:rPr>
          <w:b/>
          <w:sz w:val="20"/>
          <w:szCs w:val="20"/>
        </w:rPr>
        <w:t>:</w:t>
      </w:r>
      <w:r w:rsidR="00546C23">
        <w:rPr>
          <w:b/>
          <w:sz w:val="20"/>
          <w:szCs w:val="20"/>
        </w:rPr>
        <w:t xml:space="preserve"> </w:t>
      </w:r>
      <w:r w:rsidR="00F139D6" w:rsidRPr="00F139D6">
        <w:rPr>
          <w:b/>
          <w:sz w:val="20"/>
          <w:szCs w:val="20"/>
        </w:rPr>
        <w:t xml:space="preserve">Coverage analysis of the phage encoding </w:t>
      </w:r>
      <w:r w:rsidR="00546C23" w:rsidRPr="00554ECF">
        <w:rPr>
          <w:b/>
          <w:sz w:val="20"/>
          <w:szCs w:val="20"/>
        </w:rPr>
        <w:t xml:space="preserve">AMP </w:t>
      </w:r>
      <w:r w:rsidR="00546C23">
        <w:rPr>
          <w:b/>
          <w:sz w:val="20"/>
          <w:szCs w:val="20"/>
        </w:rPr>
        <w:t>3020.</w:t>
      </w:r>
      <w:r w:rsidRPr="00554ECF">
        <w:rPr>
          <w:b/>
          <w:sz w:val="20"/>
          <w:szCs w:val="20"/>
        </w:rPr>
        <w:t xml:space="preserve"> </w:t>
      </w:r>
      <w:r w:rsidR="007E0407">
        <w:rPr>
          <w:b/>
          <w:sz w:val="20"/>
          <w:szCs w:val="20"/>
        </w:rPr>
        <w:t>A</w:t>
      </w:r>
      <w:r w:rsidR="007E0407" w:rsidRPr="00554ECF">
        <w:rPr>
          <w:b/>
          <w:sz w:val="20"/>
          <w:szCs w:val="20"/>
        </w:rPr>
        <w:t xml:space="preserve">) </w:t>
      </w:r>
      <w:r w:rsidR="007E0407">
        <w:rPr>
          <w:b/>
          <w:sz w:val="20"/>
          <w:szCs w:val="20"/>
        </w:rPr>
        <w:t>Phageome</w:t>
      </w:r>
      <w:r w:rsidR="007E0407" w:rsidRPr="00554ECF">
        <w:rPr>
          <w:b/>
          <w:sz w:val="20"/>
          <w:szCs w:val="20"/>
        </w:rPr>
        <w:t xml:space="preserve"> read coverage of the Caudoviricetes isolate.</w:t>
      </w:r>
      <w:r w:rsidR="007E0407">
        <w:rPr>
          <w:b/>
          <w:sz w:val="20"/>
          <w:szCs w:val="20"/>
        </w:rPr>
        <w:t xml:space="preserve"> </w:t>
      </w:r>
      <w:r w:rsidRPr="00554ECF">
        <w:rPr>
          <w:b/>
          <w:sz w:val="20"/>
          <w:szCs w:val="20"/>
        </w:rPr>
        <w:t xml:space="preserve">B) Metatranscriptome read coverage to the associated Caudoviricetes isolate. </w:t>
      </w:r>
      <w:r w:rsidR="00EB1864" w:rsidRPr="00554ECF">
        <w:rPr>
          <w:b/>
          <w:sz w:val="20"/>
          <w:szCs w:val="20"/>
        </w:rPr>
        <w:t xml:space="preserve">The AMP-coding region is highlighted in red. </w:t>
      </w:r>
      <w:r w:rsidR="000501DE" w:rsidRPr="00554ECF">
        <w:rPr>
          <w:b/>
          <w:sz w:val="20"/>
          <w:szCs w:val="20"/>
        </w:rPr>
        <w:t xml:space="preserve"> </w:t>
      </w:r>
      <w:r w:rsidR="007E0407">
        <w:rPr>
          <w:b/>
          <w:sz w:val="20"/>
          <w:szCs w:val="20"/>
        </w:rPr>
        <w:t>C</w:t>
      </w:r>
      <w:r w:rsidR="000501DE" w:rsidRPr="00554ECF">
        <w:rPr>
          <w:b/>
          <w:sz w:val="20"/>
          <w:szCs w:val="20"/>
        </w:rPr>
        <w:t>) Shared region between Anaerotignum sp. and Caudoviricetes isolate.</w:t>
      </w:r>
      <w:r w:rsidR="00EB1864" w:rsidRPr="00554ECF">
        <w:rPr>
          <w:b/>
          <w:sz w:val="20"/>
          <w:szCs w:val="20"/>
        </w:rPr>
        <w:t xml:space="preserve"> </w:t>
      </w:r>
    </w:p>
    <w:p w14:paraId="5B2794BE" w14:textId="77777777" w:rsidR="007E5AF2" w:rsidRPr="00554ECF" w:rsidRDefault="007E5AF2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br w:type="page"/>
      </w:r>
    </w:p>
    <w:p w14:paraId="5751DD75" w14:textId="5C1924E9" w:rsidR="007E5AF2" w:rsidRPr="00554ECF" w:rsidRDefault="001A259B" w:rsidP="006F21BA">
      <w:pPr>
        <w:spacing w:line="480" w:lineRule="auto"/>
        <w:jc w:val="both"/>
        <w:rPr>
          <w:b/>
          <w:sz w:val="20"/>
          <w:szCs w:val="20"/>
        </w:rPr>
      </w:pPr>
      <w:r w:rsidRPr="001A259B">
        <w:rPr>
          <w:b/>
          <w:sz w:val="20"/>
          <w:szCs w:val="20"/>
        </w:rPr>
        <w:lastRenderedPageBreak/>
        <w:drawing>
          <wp:inline distT="0" distB="0" distL="0" distR="0" wp14:anchorId="4BA9ECCA" wp14:editId="084541BE">
            <wp:extent cx="5943600" cy="3314700"/>
            <wp:effectExtent l="0" t="0" r="0" b="0"/>
            <wp:docPr id="10722245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2455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7116" w14:textId="106E12E9" w:rsidR="007E5AF2" w:rsidRPr="00554ECF" w:rsidRDefault="007E5AF2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 xml:space="preserve">Supplementary Figure </w:t>
      </w:r>
      <w:r w:rsidR="00546C23">
        <w:rPr>
          <w:b/>
          <w:sz w:val="20"/>
          <w:szCs w:val="20"/>
        </w:rPr>
        <w:t>7</w:t>
      </w:r>
      <w:r w:rsidR="007E0407" w:rsidRPr="00554ECF">
        <w:rPr>
          <w:b/>
          <w:sz w:val="20"/>
          <w:szCs w:val="20"/>
        </w:rPr>
        <w:t>:</w:t>
      </w:r>
      <w:r w:rsidR="007E0407">
        <w:rPr>
          <w:b/>
          <w:sz w:val="20"/>
          <w:szCs w:val="20"/>
        </w:rPr>
        <w:t xml:space="preserve"> </w:t>
      </w:r>
      <w:r w:rsidR="00F139D6" w:rsidRPr="00F139D6">
        <w:rPr>
          <w:b/>
          <w:sz w:val="20"/>
          <w:szCs w:val="20"/>
        </w:rPr>
        <w:t>Coverage analysis of the phage encoding AMP 8681.</w:t>
      </w:r>
      <w:r w:rsidR="00F139D6">
        <w:rPr>
          <w:b/>
          <w:sz w:val="20"/>
          <w:szCs w:val="20"/>
        </w:rPr>
        <w:t xml:space="preserve"> </w:t>
      </w:r>
      <w:r w:rsidR="007E0407">
        <w:rPr>
          <w:b/>
          <w:sz w:val="20"/>
          <w:szCs w:val="20"/>
        </w:rPr>
        <w:t>A</w:t>
      </w:r>
      <w:r w:rsidR="007E0407" w:rsidRPr="00554ECF">
        <w:rPr>
          <w:b/>
          <w:sz w:val="20"/>
          <w:szCs w:val="20"/>
        </w:rPr>
        <w:t xml:space="preserve">) </w:t>
      </w:r>
      <w:r w:rsidR="00173CE8">
        <w:rPr>
          <w:b/>
          <w:sz w:val="20"/>
          <w:szCs w:val="20"/>
        </w:rPr>
        <w:t>Phageome</w:t>
      </w:r>
      <w:r w:rsidR="00173CE8" w:rsidRPr="00554ECF">
        <w:rPr>
          <w:b/>
          <w:sz w:val="20"/>
          <w:szCs w:val="20"/>
        </w:rPr>
        <w:t xml:space="preserve"> </w:t>
      </w:r>
      <w:r w:rsidR="007E0407" w:rsidRPr="00554ECF">
        <w:rPr>
          <w:b/>
          <w:sz w:val="20"/>
          <w:szCs w:val="20"/>
        </w:rPr>
        <w:t xml:space="preserve">read coverage of the Caudoviricetes sp. Isolate ctlNO7. </w:t>
      </w:r>
      <w:r w:rsidRPr="00554ECF">
        <w:rPr>
          <w:b/>
          <w:sz w:val="20"/>
          <w:szCs w:val="20"/>
        </w:rPr>
        <w:t>B) Metatranscriptome read coverage to the associated Caudoviricetes sp. Isolate ctlNO7</w:t>
      </w:r>
      <w:r w:rsidR="000501DE" w:rsidRPr="00554ECF">
        <w:rPr>
          <w:b/>
          <w:sz w:val="20"/>
          <w:szCs w:val="20"/>
        </w:rPr>
        <w:t>.</w:t>
      </w:r>
      <w:r w:rsidRPr="00554ECF">
        <w:rPr>
          <w:b/>
          <w:sz w:val="20"/>
          <w:szCs w:val="20"/>
        </w:rPr>
        <w:t xml:space="preserve"> </w:t>
      </w:r>
      <w:r w:rsidR="00EB1864" w:rsidRPr="00554ECF">
        <w:rPr>
          <w:b/>
          <w:sz w:val="20"/>
          <w:szCs w:val="20"/>
        </w:rPr>
        <w:t>The AMP-coding region is highlighted in red.</w:t>
      </w:r>
      <w:r w:rsidR="000501DE" w:rsidRPr="00554ECF">
        <w:rPr>
          <w:b/>
          <w:sz w:val="20"/>
          <w:szCs w:val="20"/>
        </w:rPr>
        <w:t xml:space="preserve"> </w:t>
      </w:r>
      <w:r w:rsidR="007E0407">
        <w:rPr>
          <w:b/>
          <w:sz w:val="20"/>
          <w:szCs w:val="20"/>
        </w:rPr>
        <w:t>C</w:t>
      </w:r>
      <w:r w:rsidR="000501DE" w:rsidRPr="00554ECF">
        <w:rPr>
          <w:b/>
          <w:sz w:val="20"/>
          <w:szCs w:val="20"/>
        </w:rPr>
        <w:t>) Shared region between the Clostridiales bacterium and Caudoviricetes sp. Isolate ctlNO7.</w:t>
      </w:r>
      <w:r w:rsidR="00EB1864" w:rsidRPr="00554ECF">
        <w:rPr>
          <w:b/>
          <w:sz w:val="20"/>
          <w:szCs w:val="20"/>
        </w:rPr>
        <w:t xml:space="preserve"> </w:t>
      </w:r>
    </w:p>
    <w:p w14:paraId="107B86C1" w14:textId="77777777" w:rsidR="007E5AF2" w:rsidRPr="00554ECF" w:rsidRDefault="007E5AF2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br w:type="page"/>
      </w:r>
    </w:p>
    <w:p w14:paraId="6514C9E0" w14:textId="7358F056" w:rsidR="007E5AF2" w:rsidRPr="00554ECF" w:rsidRDefault="001A259B" w:rsidP="006F21BA">
      <w:pPr>
        <w:spacing w:line="480" w:lineRule="auto"/>
        <w:jc w:val="both"/>
        <w:rPr>
          <w:b/>
          <w:sz w:val="20"/>
          <w:szCs w:val="20"/>
        </w:rPr>
      </w:pPr>
      <w:r w:rsidRPr="001A259B">
        <w:rPr>
          <w:b/>
          <w:sz w:val="20"/>
          <w:szCs w:val="20"/>
        </w:rPr>
        <w:lastRenderedPageBreak/>
        <w:drawing>
          <wp:inline distT="0" distB="0" distL="0" distR="0" wp14:anchorId="360909DB" wp14:editId="03F01DA1">
            <wp:extent cx="5943600" cy="3396615"/>
            <wp:effectExtent l="0" t="0" r="0" b="0"/>
            <wp:docPr id="58869805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98052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0D5F" w14:textId="32CF586B" w:rsidR="000501DE" w:rsidRPr="00554ECF" w:rsidRDefault="007E5AF2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 xml:space="preserve">Supplementary Figure </w:t>
      </w:r>
      <w:r w:rsidR="00546C23">
        <w:rPr>
          <w:b/>
          <w:sz w:val="20"/>
          <w:szCs w:val="20"/>
        </w:rPr>
        <w:t>8</w:t>
      </w:r>
      <w:r w:rsidRPr="00554ECF">
        <w:rPr>
          <w:b/>
          <w:sz w:val="20"/>
          <w:szCs w:val="20"/>
        </w:rPr>
        <w:t xml:space="preserve">: </w:t>
      </w:r>
      <w:r w:rsidR="00F139D6" w:rsidRPr="00F139D6">
        <w:rPr>
          <w:b/>
          <w:sz w:val="20"/>
          <w:szCs w:val="20"/>
        </w:rPr>
        <w:t xml:space="preserve">Coverage analysis of the phage encoding </w:t>
      </w:r>
      <w:r w:rsidR="00173CE8" w:rsidRPr="00554ECF">
        <w:rPr>
          <w:b/>
          <w:sz w:val="20"/>
          <w:szCs w:val="20"/>
        </w:rPr>
        <w:t xml:space="preserve">AMP </w:t>
      </w:r>
      <w:r w:rsidR="00173CE8">
        <w:rPr>
          <w:b/>
          <w:sz w:val="20"/>
          <w:szCs w:val="20"/>
        </w:rPr>
        <w:t>5245</w:t>
      </w:r>
      <w:r w:rsidR="00173CE8">
        <w:rPr>
          <w:b/>
          <w:sz w:val="20"/>
          <w:szCs w:val="20"/>
        </w:rPr>
        <w:t>.</w:t>
      </w:r>
      <w:r w:rsidR="00173CE8" w:rsidRPr="00554ECF">
        <w:rPr>
          <w:b/>
          <w:sz w:val="20"/>
          <w:szCs w:val="20"/>
        </w:rPr>
        <w:t xml:space="preserve"> </w:t>
      </w:r>
      <w:r w:rsidR="00173CE8">
        <w:rPr>
          <w:b/>
          <w:sz w:val="20"/>
          <w:szCs w:val="20"/>
        </w:rPr>
        <w:t>A</w:t>
      </w:r>
      <w:r w:rsidR="00173CE8" w:rsidRPr="00554ECF">
        <w:rPr>
          <w:b/>
          <w:sz w:val="20"/>
          <w:szCs w:val="20"/>
        </w:rPr>
        <w:t xml:space="preserve">) </w:t>
      </w:r>
      <w:r w:rsidR="00173CE8">
        <w:rPr>
          <w:b/>
          <w:sz w:val="20"/>
          <w:szCs w:val="20"/>
        </w:rPr>
        <w:t>Phageome</w:t>
      </w:r>
      <w:r w:rsidR="00173CE8" w:rsidRPr="00554ECF">
        <w:rPr>
          <w:b/>
          <w:sz w:val="20"/>
          <w:szCs w:val="20"/>
        </w:rPr>
        <w:t xml:space="preserve"> read coverage of the Uncultured human fecal virus. </w:t>
      </w:r>
      <w:r w:rsidRPr="00554ECF">
        <w:rPr>
          <w:b/>
          <w:sz w:val="20"/>
          <w:szCs w:val="20"/>
        </w:rPr>
        <w:t xml:space="preserve">B) Metatranscriptome read coverage to the associated </w:t>
      </w:r>
      <w:r w:rsidR="00900A64" w:rsidRPr="00554ECF">
        <w:rPr>
          <w:b/>
          <w:sz w:val="20"/>
          <w:szCs w:val="20"/>
        </w:rPr>
        <w:t>the Uncultured human fecal virus</w:t>
      </w:r>
      <w:r w:rsidRPr="00554ECF">
        <w:rPr>
          <w:b/>
          <w:sz w:val="20"/>
          <w:szCs w:val="20"/>
        </w:rPr>
        <w:t xml:space="preserve">. </w:t>
      </w:r>
      <w:r w:rsidR="00EB1864" w:rsidRPr="00554ECF">
        <w:rPr>
          <w:b/>
          <w:sz w:val="20"/>
          <w:szCs w:val="20"/>
        </w:rPr>
        <w:t xml:space="preserve">The AMP-coding region is highlighted in red. </w:t>
      </w:r>
      <w:r w:rsidR="00173CE8">
        <w:rPr>
          <w:b/>
          <w:sz w:val="20"/>
          <w:szCs w:val="20"/>
        </w:rPr>
        <w:t>C</w:t>
      </w:r>
      <w:r w:rsidR="000501DE" w:rsidRPr="00554ECF">
        <w:rPr>
          <w:b/>
          <w:sz w:val="20"/>
          <w:szCs w:val="20"/>
        </w:rPr>
        <w:t xml:space="preserve">) Shared region between </w:t>
      </w:r>
      <w:r w:rsidR="000501DE" w:rsidRPr="00554ECF">
        <w:rPr>
          <w:b/>
          <w:i/>
          <w:iCs/>
          <w:sz w:val="20"/>
          <w:szCs w:val="20"/>
        </w:rPr>
        <w:t xml:space="preserve">Blautia wexlerae </w:t>
      </w:r>
      <w:r w:rsidR="000501DE" w:rsidRPr="00554ECF">
        <w:rPr>
          <w:b/>
          <w:sz w:val="20"/>
          <w:szCs w:val="20"/>
        </w:rPr>
        <w:t>DSM 19850 and the Uncultured human fecal virus.</w:t>
      </w:r>
    </w:p>
    <w:p w14:paraId="40983626" w14:textId="1B9FB02F" w:rsidR="007E5AF2" w:rsidRPr="00554ECF" w:rsidRDefault="007E5AF2" w:rsidP="006F21BA">
      <w:pPr>
        <w:spacing w:line="480" w:lineRule="auto"/>
        <w:jc w:val="both"/>
        <w:rPr>
          <w:b/>
          <w:sz w:val="20"/>
          <w:szCs w:val="20"/>
        </w:rPr>
      </w:pPr>
    </w:p>
    <w:p w14:paraId="39E3001E" w14:textId="77777777" w:rsidR="007E5AF2" w:rsidRPr="00554ECF" w:rsidRDefault="007E5AF2" w:rsidP="006F21BA">
      <w:pPr>
        <w:spacing w:line="480" w:lineRule="auto"/>
        <w:jc w:val="both"/>
        <w:rPr>
          <w:b/>
          <w:sz w:val="20"/>
          <w:szCs w:val="20"/>
        </w:rPr>
      </w:pPr>
    </w:p>
    <w:p w14:paraId="23485AE6" w14:textId="77777777" w:rsidR="001A259B" w:rsidRDefault="001A259B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1C95F7A" w14:textId="25C3235B" w:rsidR="00EB1864" w:rsidRPr="00554ECF" w:rsidRDefault="001A259B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noProof/>
          <w:sz w:val="20"/>
          <w:szCs w:val="20"/>
        </w:rPr>
        <w:lastRenderedPageBreak/>
        <w:drawing>
          <wp:inline distT="0" distB="0" distL="0" distR="0" wp14:anchorId="00B5B47E" wp14:editId="55D9F61A">
            <wp:extent cx="5943600" cy="3342005"/>
            <wp:effectExtent l="0" t="0" r="0" b="0"/>
            <wp:docPr id="1934059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5971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ECF">
        <w:rPr>
          <w:b/>
          <w:sz w:val="20"/>
          <w:szCs w:val="20"/>
        </w:rPr>
        <w:t xml:space="preserve">Supplementary Figure </w:t>
      </w:r>
      <w:r>
        <w:rPr>
          <w:b/>
          <w:sz w:val="20"/>
          <w:szCs w:val="20"/>
        </w:rPr>
        <w:t>9</w:t>
      </w:r>
      <w:r w:rsidRPr="00554ECF">
        <w:rPr>
          <w:b/>
          <w:sz w:val="20"/>
          <w:szCs w:val="20"/>
        </w:rPr>
        <w:t>: Heatmap with correlations between taxa abundance (16S) and Selected AMP Expression.  A) Positive correlations and B) negative correlations.</w:t>
      </w:r>
      <w:r w:rsidR="00EB1864" w:rsidRPr="00554ECF">
        <w:rPr>
          <w:b/>
          <w:sz w:val="20"/>
          <w:szCs w:val="20"/>
        </w:rPr>
        <w:br w:type="page"/>
      </w:r>
    </w:p>
    <w:p w14:paraId="70D86995" w14:textId="77777777" w:rsidR="00EB1864" w:rsidRPr="00554ECF" w:rsidRDefault="00EB1864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noProof/>
          <w:sz w:val="20"/>
          <w:szCs w:val="20"/>
        </w:rPr>
        <w:lastRenderedPageBreak/>
        <w:drawing>
          <wp:inline distT="0" distB="0" distL="0" distR="0" wp14:anchorId="7C3043AD" wp14:editId="3D00B106">
            <wp:extent cx="2854295" cy="2994875"/>
            <wp:effectExtent l="0" t="0" r="0" b="2540"/>
            <wp:docPr id="166783769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3769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87" cy="30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961D" w14:textId="79A90B16" w:rsidR="00EB1864" w:rsidRPr="00554ECF" w:rsidRDefault="00EB1864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 xml:space="preserve">Supplementary Figure </w:t>
      </w:r>
      <w:r w:rsidR="001A259B">
        <w:rPr>
          <w:b/>
          <w:sz w:val="20"/>
          <w:szCs w:val="20"/>
        </w:rPr>
        <w:t>10</w:t>
      </w:r>
      <w:r w:rsidRPr="00554ECF">
        <w:rPr>
          <w:b/>
          <w:sz w:val="20"/>
          <w:szCs w:val="20"/>
        </w:rPr>
        <w:t xml:space="preserve">: </w:t>
      </w:r>
      <w:r w:rsidR="00202705" w:rsidRPr="00554ECF">
        <w:rPr>
          <w:b/>
          <w:sz w:val="20"/>
          <w:szCs w:val="20"/>
        </w:rPr>
        <w:t>Evaluation of the effects of synthetic peptides ADR1 and ADR2 on human T lymphocytes. Absolute number of CD3⁺, CD4⁺, and CD8⁺ T cells following exposure to peptide A) ADR1 and B) ADR2 respectively at (20 µg/mL). No statistically significant differences were observed between peptide-treated groups and the media control.</w:t>
      </w:r>
    </w:p>
    <w:p w14:paraId="3E8DFB76" w14:textId="0DBC7415" w:rsidR="00EB1864" w:rsidRPr="00554ECF" w:rsidRDefault="00546C23" w:rsidP="006F21BA">
      <w:pPr>
        <w:spacing w:line="480" w:lineRule="auto"/>
        <w:jc w:val="both"/>
        <w:rPr>
          <w:b/>
          <w:sz w:val="20"/>
          <w:szCs w:val="20"/>
        </w:rPr>
      </w:pPr>
      <w:r w:rsidRPr="00546C23">
        <w:rPr>
          <w:b/>
          <w:noProof/>
          <w:sz w:val="20"/>
          <w:szCs w:val="20"/>
        </w:rPr>
        <w:lastRenderedPageBreak/>
        <w:drawing>
          <wp:inline distT="0" distB="0" distL="0" distR="0" wp14:anchorId="7A6B4E88" wp14:editId="1A5C385D">
            <wp:extent cx="5943600" cy="5731510"/>
            <wp:effectExtent l="0" t="0" r="0" b="0"/>
            <wp:docPr id="1103872456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72456" name="Picture 1" descr="A collage of images of cell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36BA" w14:textId="4B3425AA" w:rsidR="000648D9" w:rsidRPr="00554ECF" w:rsidRDefault="00EB1864" w:rsidP="006F21BA">
      <w:pPr>
        <w:spacing w:line="480" w:lineRule="auto"/>
        <w:jc w:val="both"/>
        <w:rPr>
          <w:b/>
          <w:sz w:val="20"/>
          <w:szCs w:val="20"/>
        </w:rPr>
      </w:pPr>
      <w:r w:rsidRPr="00554ECF">
        <w:rPr>
          <w:b/>
          <w:sz w:val="20"/>
          <w:szCs w:val="20"/>
        </w:rPr>
        <w:t xml:space="preserve">Supplementary Figure </w:t>
      </w:r>
      <w:r w:rsidR="00546C23">
        <w:rPr>
          <w:b/>
          <w:sz w:val="20"/>
          <w:szCs w:val="20"/>
        </w:rPr>
        <w:t>1</w:t>
      </w:r>
      <w:r w:rsidR="001A259B">
        <w:rPr>
          <w:b/>
          <w:sz w:val="20"/>
          <w:szCs w:val="20"/>
        </w:rPr>
        <w:t>1</w:t>
      </w:r>
      <w:r w:rsidRPr="00554ECF">
        <w:rPr>
          <w:b/>
          <w:sz w:val="20"/>
          <w:szCs w:val="20"/>
        </w:rPr>
        <w:t xml:space="preserve">: </w:t>
      </w:r>
      <w:r w:rsidR="006F21BA" w:rsidRPr="00554ECF">
        <w:rPr>
          <w:b/>
          <w:sz w:val="20"/>
          <w:szCs w:val="20"/>
        </w:rPr>
        <w:t xml:space="preserve"> Gating strategy for flow cytometric analysis of T lymphocyte viability. Peripheral blood mononuclear cells (PBMCs) were isolated from three healthy donors and stained using the BD </w:t>
      </w:r>
      <w:proofErr w:type="spellStart"/>
      <w:r w:rsidR="006F21BA" w:rsidRPr="00554ECF">
        <w:rPr>
          <w:b/>
          <w:sz w:val="20"/>
          <w:szCs w:val="20"/>
        </w:rPr>
        <w:t>TriTest</w:t>
      </w:r>
      <w:proofErr w:type="spellEnd"/>
      <w:r w:rsidR="006F21BA" w:rsidRPr="00554ECF">
        <w:rPr>
          <w:b/>
          <w:sz w:val="20"/>
          <w:szCs w:val="20"/>
        </w:rPr>
        <w:t xml:space="preserve">™ reagent to identify CD3⁺ T cells and their CD4⁺ and CD8⁺ subpopulations. Cell viability was assessed using the LIVE/DEAD™ Fixable Near-IR Dead Cell Stain Kit, and absolute cell counts were determined with BD™ Liquid Counting Beads. Representative plots show the sequential gating strategy: initial identification of lymphocytes based on forward and side scatter, followed by gating on CD3⁺ cells, and further discrimination into CD4⁺ and CD8⁺ subsets. The lower panels illustrate the viability of each subset under different experimental conditions: untreated (Media), PMA/IONO stimulation (positive control), and treatment with </w:t>
      </w:r>
      <w:r w:rsidR="006F21BA" w:rsidRPr="00554ECF">
        <w:rPr>
          <w:b/>
          <w:sz w:val="20"/>
          <w:szCs w:val="20"/>
        </w:rPr>
        <w:lastRenderedPageBreak/>
        <w:t xml:space="preserve">synthetic peptides ADR-1 and ADR-2. Flow cytometric acquisition was performed using a BD FACS Canto™ cytometer, and data were analyzed with </w:t>
      </w:r>
      <w:proofErr w:type="spellStart"/>
      <w:r w:rsidR="006F21BA" w:rsidRPr="00554ECF">
        <w:rPr>
          <w:b/>
          <w:sz w:val="20"/>
          <w:szCs w:val="20"/>
        </w:rPr>
        <w:t>FlowJo</w:t>
      </w:r>
      <w:proofErr w:type="spellEnd"/>
      <w:r w:rsidR="006F21BA" w:rsidRPr="00554ECF">
        <w:rPr>
          <w:b/>
          <w:sz w:val="20"/>
          <w:szCs w:val="20"/>
        </w:rPr>
        <w:t>™ software.</w:t>
      </w:r>
    </w:p>
    <w:sectPr w:rsidR="000648D9" w:rsidRPr="00554ECF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6CB"/>
    <w:rsid w:val="000009B9"/>
    <w:rsid w:val="000365FD"/>
    <w:rsid w:val="000501DE"/>
    <w:rsid w:val="000648D9"/>
    <w:rsid w:val="00080E05"/>
    <w:rsid w:val="00084B00"/>
    <w:rsid w:val="000C5245"/>
    <w:rsid w:val="000F4E57"/>
    <w:rsid w:val="00100A60"/>
    <w:rsid w:val="00160DDD"/>
    <w:rsid w:val="0017328C"/>
    <w:rsid w:val="00173CE8"/>
    <w:rsid w:val="001A259B"/>
    <w:rsid w:val="001D5477"/>
    <w:rsid w:val="001D7651"/>
    <w:rsid w:val="00202705"/>
    <w:rsid w:val="00210426"/>
    <w:rsid w:val="00241654"/>
    <w:rsid w:val="00246D86"/>
    <w:rsid w:val="00293A81"/>
    <w:rsid w:val="002A6DE9"/>
    <w:rsid w:val="002C3CBC"/>
    <w:rsid w:val="00314EF6"/>
    <w:rsid w:val="00340663"/>
    <w:rsid w:val="00351141"/>
    <w:rsid w:val="00374ED3"/>
    <w:rsid w:val="0038065D"/>
    <w:rsid w:val="00391139"/>
    <w:rsid w:val="003D0FDA"/>
    <w:rsid w:val="004030BA"/>
    <w:rsid w:val="00424020"/>
    <w:rsid w:val="0048728B"/>
    <w:rsid w:val="004A5AF6"/>
    <w:rsid w:val="004A7CA8"/>
    <w:rsid w:val="004E0E54"/>
    <w:rsid w:val="004E2883"/>
    <w:rsid w:val="004E51BA"/>
    <w:rsid w:val="005007E8"/>
    <w:rsid w:val="00541BF7"/>
    <w:rsid w:val="00546C23"/>
    <w:rsid w:val="00554ECF"/>
    <w:rsid w:val="005626CB"/>
    <w:rsid w:val="00611822"/>
    <w:rsid w:val="00623799"/>
    <w:rsid w:val="00632F6D"/>
    <w:rsid w:val="00680FDA"/>
    <w:rsid w:val="006A5D2B"/>
    <w:rsid w:val="006B55EE"/>
    <w:rsid w:val="006F0A14"/>
    <w:rsid w:val="006F0E3B"/>
    <w:rsid w:val="006F21BA"/>
    <w:rsid w:val="006F5466"/>
    <w:rsid w:val="00700784"/>
    <w:rsid w:val="007124DC"/>
    <w:rsid w:val="0071627D"/>
    <w:rsid w:val="007238C1"/>
    <w:rsid w:val="00766FED"/>
    <w:rsid w:val="007764E0"/>
    <w:rsid w:val="0079196E"/>
    <w:rsid w:val="007A4F4F"/>
    <w:rsid w:val="007A6CA9"/>
    <w:rsid w:val="007E0407"/>
    <w:rsid w:val="007E4635"/>
    <w:rsid w:val="007E5AF2"/>
    <w:rsid w:val="00812E9C"/>
    <w:rsid w:val="0081784F"/>
    <w:rsid w:val="00827F1A"/>
    <w:rsid w:val="008336BA"/>
    <w:rsid w:val="008A7B23"/>
    <w:rsid w:val="008D4ADE"/>
    <w:rsid w:val="008F5E46"/>
    <w:rsid w:val="00900A64"/>
    <w:rsid w:val="00904B9C"/>
    <w:rsid w:val="00912760"/>
    <w:rsid w:val="00996D53"/>
    <w:rsid w:val="009A31F4"/>
    <w:rsid w:val="009A6D1D"/>
    <w:rsid w:val="009C01CA"/>
    <w:rsid w:val="009C5FD3"/>
    <w:rsid w:val="009F0113"/>
    <w:rsid w:val="00A106F5"/>
    <w:rsid w:val="00A91F8E"/>
    <w:rsid w:val="00A94E0C"/>
    <w:rsid w:val="00AA2A66"/>
    <w:rsid w:val="00AB6F41"/>
    <w:rsid w:val="00AE6DD5"/>
    <w:rsid w:val="00B04988"/>
    <w:rsid w:val="00B1486E"/>
    <w:rsid w:val="00B151A4"/>
    <w:rsid w:val="00B20EDE"/>
    <w:rsid w:val="00B57D35"/>
    <w:rsid w:val="00B63BD1"/>
    <w:rsid w:val="00B82492"/>
    <w:rsid w:val="00BB110A"/>
    <w:rsid w:val="00BE440E"/>
    <w:rsid w:val="00C27419"/>
    <w:rsid w:val="00C80C54"/>
    <w:rsid w:val="00CA0A3C"/>
    <w:rsid w:val="00CA3E58"/>
    <w:rsid w:val="00CA7B57"/>
    <w:rsid w:val="00CC0B98"/>
    <w:rsid w:val="00CD244F"/>
    <w:rsid w:val="00CD5363"/>
    <w:rsid w:val="00D02D66"/>
    <w:rsid w:val="00D57E58"/>
    <w:rsid w:val="00D72968"/>
    <w:rsid w:val="00D9661F"/>
    <w:rsid w:val="00DD6F31"/>
    <w:rsid w:val="00DE6214"/>
    <w:rsid w:val="00E13074"/>
    <w:rsid w:val="00E53646"/>
    <w:rsid w:val="00EB1864"/>
    <w:rsid w:val="00EC2A11"/>
    <w:rsid w:val="00F02639"/>
    <w:rsid w:val="00F06656"/>
    <w:rsid w:val="00F139D6"/>
    <w:rsid w:val="00F7631E"/>
    <w:rsid w:val="00F9044D"/>
    <w:rsid w:val="00F9220B"/>
    <w:rsid w:val="00FC11E1"/>
    <w:rsid w:val="00FD1DDC"/>
    <w:rsid w:val="00FD711D"/>
    <w:rsid w:val="00FF1546"/>
    <w:rsid w:val="0E9D5683"/>
    <w:rsid w:val="2A60404C"/>
    <w:rsid w:val="2E133E8C"/>
    <w:rsid w:val="50D62A04"/>
    <w:rsid w:val="5A9D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73C79"/>
  <w15:docId w15:val="{EAA9E341-DE00-1646-97D1-B177889BF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44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12E9C"/>
    <w:pPr>
      <w:ind w:left="720"/>
      <w:contextualSpacing/>
    </w:pPr>
  </w:style>
  <w:style w:type="table" w:styleId="TableGrid">
    <w:name w:val="Table Grid"/>
    <w:basedOn w:val="TableNormal"/>
    <w:uiPriority w:val="39"/>
    <w:rsid w:val="00FC1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60DDD"/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F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FD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sv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12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LUIGUI MICHEL GALLARDO BECERRA</cp:lastModifiedBy>
  <cp:revision>19</cp:revision>
  <dcterms:created xsi:type="dcterms:W3CDTF">2025-06-11T20:22:00Z</dcterms:created>
  <dcterms:modified xsi:type="dcterms:W3CDTF">2025-06-28T03:44:00Z</dcterms:modified>
</cp:coreProperties>
</file>