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D4715" w14:textId="2B895D87" w:rsidR="00A250A2" w:rsidRPr="00C8316E" w:rsidRDefault="006D7B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C8316E">
        <w:rPr>
          <w:rFonts w:ascii="Arial" w:hAnsi="Arial" w:cs="Arial"/>
          <w:b/>
        </w:rPr>
        <w:t xml:space="preserve">upplementary </w:t>
      </w:r>
      <w:r>
        <w:rPr>
          <w:rFonts w:ascii="Arial" w:hAnsi="Arial" w:cs="Arial"/>
          <w:b/>
        </w:rPr>
        <w:t>material</w:t>
      </w:r>
    </w:p>
    <w:p w14:paraId="1A7CDD0E" w14:textId="7142E8C7" w:rsidR="00584FD0" w:rsidRPr="00C8316E" w:rsidRDefault="00941B54">
      <w:pPr>
        <w:rPr>
          <w:rFonts w:ascii="Arial" w:hAnsi="Arial" w:cs="Arial"/>
          <w:b/>
        </w:rPr>
      </w:pPr>
      <w:r w:rsidRPr="00C8316E">
        <w:rPr>
          <w:rFonts w:ascii="Arial" w:hAnsi="Arial" w:cs="Arial"/>
          <w:b/>
        </w:rPr>
        <w:t xml:space="preserve">Online </w:t>
      </w:r>
      <w:r w:rsidR="00584FD0" w:rsidRPr="00C8316E">
        <w:rPr>
          <w:rFonts w:ascii="Arial" w:hAnsi="Arial" w:cs="Arial"/>
          <w:b/>
        </w:rPr>
        <w:t>Methods</w:t>
      </w:r>
    </w:p>
    <w:p w14:paraId="43390F31" w14:textId="6A09EA22" w:rsidR="00584FD0" w:rsidRPr="00C8316E" w:rsidRDefault="00584FD0" w:rsidP="00584FD0">
      <w:pPr>
        <w:rPr>
          <w:rFonts w:ascii="Arial" w:hAnsi="Arial" w:cs="Arial"/>
        </w:rPr>
      </w:pPr>
      <w:r w:rsidRPr="00C8316E">
        <w:rPr>
          <w:rFonts w:ascii="Arial" w:hAnsi="Arial" w:cs="Arial"/>
        </w:rPr>
        <w:t xml:space="preserve">The study was approved by the </w:t>
      </w:r>
      <w:r w:rsidR="00F06BE8">
        <w:rPr>
          <w:rFonts w:ascii="Arial" w:hAnsi="Arial" w:cs="Arial"/>
        </w:rPr>
        <w:t>I</w:t>
      </w:r>
      <w:r w:rsidRPr="00C8316E">
        <w:rPr>
          <w:rFonts w:ascii="Arial" w:hAnsi="Arial" w:cs="Arial"/>
        </w:rPr>
        <w:t xml:space="preserve">nstitutional </w:t>
      </w:r>
      <w:r w:rsidR="00F06BE8">
        <w:rPr>
          <w:rFonts w:ascii="Arial" w:hAnsi="Arial" w:cs="Arial"/>
        </w:rPr>
        <w:t>R</w:t>
      </w:r>
      <w:r w:rsidRPr="00C8316E">
        <w:rPr>
          <w:rFonts w:ascii="Arial" w:hAnsi="Arial" w:cs="Arial"/>
        </w:rPr>
        <w:t xml:space="preserve">eview </w:t>
      </w:r>
      <w:r w:rsidR="00F06BE8">
        <w:rPr>
          <w:rFonts w:ascii="Arial" w:hAnsi="Arial" w:cs="Arial"/>
        </w:rPr>
        <w:t>B</w:t>
      </w:r>
      <w:r w:rsidRPr="00C8316E">
        <w:rPr>
          <w:rFonts w:ascii="Arial" w:hAnsi="Arial" w:cs="Arial"/>
        </w:rPr>
        <w:t xml:space="preserve">oards of Mass General Brigham (MGB) and the Icahn School of Medicine at Mount Sinai and was conducted per the Declaration of Helsinki. </w:t>
      </w:r>
    </w:p>
    <w:p w14:paraId="403456E5" w14:textId="6C97D695" w:rsidR="00584FD0" w:rsidRPr="00C8316E" w:rsidRDefault="00584FD0" w:rsidP="00584FD0">
      <w:pPr>
        <w:rPr>
          <w:rFonts w:ascii="Arial" w:hAnsi="Arial" w:cs="Arial"/>
        </w:rPr>
      </w:pPr>
      <w:r w:rsidRPr="00C8316E">
        <w:rPr>
          <w:rFonts w:ascii="Arial" w:hAnsi="Arial" w:cs="Arial"/>
          <w:u w:val="single"/>
        </w:rPr>
        <w:t>Study population:</w:t>
      </w:r>
      <w:r w:rsidR="000A2215">
        <w:rPr>
          <w:rFonts w:ascii="Arial" w:hAnsi="Arial" w:cs="Arial"/>
        </w:rPr>
        <w:t xml:space="preserve"> </w:t>
      </w:r>
      <w:r w:rsidRPr="00C8316E">
        <w:rPr>
          <w:rFonts w:ascii="Arial" w:hAnsi="Arial" w:cs="Arial"/>
        </w:rPr>
        <w:t xml:space="preserve">We used data from two hospital-based </w:t>
      </w:r>
      <w:proofErr w:type="spellStart"/>
      <w:r w:rsidRPr="00C8316E">
        <w:rPr>
          <w:rFonts w:ascii="Arial" w:hAnsi="Arial" w:cs="Arial"/>
        </w:rPr>
        <w:t>biobanks</w:t>
      </w:r>
      <w:proofErr w:type="spellEnd"/>
      <w:r w:rsidR="00347088" w:rsidRPr="00C8316E">
        <w:rPr>
          <w:rFonts w:ascii="Arial" w:hAnsi="Arial" w:cs="Arial"/>
        </w:rPr>
        <w:t xml:space="preserve">, Mass General Brigham </w:t>
      </w:r>
      <w:proofErr w:type="spellStart"/>
      <w:r w:rsidR="00347088" w:rsidRPr="00C8316E">
        <w:rPr>
          <w:rFonts w:ascii="Arial" w:hAnsi="Arial" w:cs="Arial"/>
        </w:rPr>
        <w:t>Biobank</w:t>
      </w:r>
      <w:proofErr w:type="spellEnd"/>
      <w:r w:rsidR="00347088" w:rsidRPr="00C8316E">
        <w:rPr>
          <w:rFonts w:ascii="Arial" w:hAnsi="Arial" w:cs="Arial"/>
        </w:rPr>
        <w:t xml:space="preserve"> (MGBB) and Mount Sinai </w:t>
      </w:r>
      <w:proofErr w:type="spellStart"/>
      <w:r w:rsidR="00347088" w:rsidRPr="00C8316E">
        <w:rPr>
          <w:rFonts w:ascii="Arial" w:hAnsi="Arial" w:cs="Arial"/>
        </w:rPr>
        <w:t>Bio</w:t>
      </w:r>
      <w:r w:rsidR="00347088" w:rsidRPr="003C7FF7">
        <w:rPr>
          <w:rFonts w:ascii="Arial" w:hAnsi="Arial" w:cs="Arial"/>
          <w:i/>
          <w:iCs/>
        </w:rPr>
        <w:t>Me</w:t>
      </w:r>
      <w:proofErr w:type="spellEnd"/>
      <w:r w:rsidR="00347088" w:rsidRPr="00C8316E">
        <w:rPr>
          <w:rFonts w:ascii="Arial" w:hAnsi="Arial" w:cs="Arial"/>
        </w:rPr>
        <w:t xml:space="preserve"> </w:t>
      </w:r>
      <w:proofErr w:type="spellStart"/>
      <w:r w:rsidR="00347088" w:rsidRPr="00C8316E">
        <w:rPr>
          <w:rFonts w:ascii="Arial" w:hAnsi="Arial" w:cs="Arial"/>
        </w:rPr>
        <w:t>Biobank</w:t>
      </w:r>
      <w:proofErr w:type="spellEnd"/>
      <w:r w:rsidRPr="00C8316E">
        <w:rPr>
          <w:rFonts w:ascii="Arial" w:hAnsi="Arial" w:cs="Arial"/>
        </w:rPr>
        <w:t xml:space="preserve">. </w:t>
      </w:r>
    </w:p>
    <w:p w14:paraId="33D7562E" w14:textId="55339C39" w:rsidR="00584FD0" w:rsidRPr="007315DA" w:rsidRDefault="00584FD0" w:rsidP="007315DA">
      <w:pPr>
        <w:rPr>
          <w:rFonts w:ascii="Arial" w:hAnsi="Arial" w:cs="Arial"/>
        </w:rPr>
      </w:pPr>
      <w:r w:rsidRPr="00C8316E">
        <w:rPr>
          <w:rFonts w:ascii="Arial" w:hAnsi="Arial" w:cs="Arial"/>
          <w:i/>
          <w:iCs/>
        </w:rPr>
        <w:t xml:space="preserve">Mass General Brigham </w:t>
      </w:r>
      <w:proofErr w:type="spellStart"/>
      <w:r w:rsidRPr="00C8316E">
        <w:rPr>
          <w:rFonts w:ascii="Arial" w:hAnsi="Arial" w:cs="Arial"/>
          <w:i/>
          <w:iCs/>
        </w:rPr>
        <w:t>Biobank</w:t>
      </w:r>
      <w:proofErr w:type="spellEnd"/>
      <w:r w:rsidRPr="00C8316E">
        <w:rPr>
          <w:rFonts w:ascii="Arial" w:hAnsi="Arial" w:cs="Arial"/>
          <w:i/>
          <w:iCs/>
        </w:rPr>
        <w:t>:</w:t>
      </w:r>
      <w:r w:rsidR="00E07A0B" w:rsidRPr="00C8316E">
        <w:rPr>
          <w:rFonts w:ascii="Arial" w:hAnsi="Arial" w:cs="Arial"/>
          <w:i/>
          <w:iCs/>
        </w:rPr>
        <w:t xml:space="preserve"> </w:t>
      </w:r>
      <w:r w:rsidRPr="00C8316E">
        <w:rPr>
          <w:rFonts w:ascii="Arial" w:hAnsi="Arial" w:cs="Arial"/>
        </w:rPr>
        <w:t xml:space="preserve">The MGB </w:t>
      </w:r>
      <w:proofErr w:type="spellStart"/>
      <w:r w:rsidRPr="00C8316E">
        <w:rPr>
          <w:rFonts w:ascii="Arial" w:hAnsi="Arial" w:cs="Arial"/>
        </w:rPr>
        <w:t>Biobank</w:t>
      </w:r>
      <w:proofErr w:type="spellEnd"/>
      <w:r w:rsidRPr="00C8316E">
        <w:rPr>
          <w:rFonts w:ascii="Arial" w:hAnsi="Arial" w:cs="Arial"/>
        </w:rPr>
        <w:t xml:space="preserve"> (MGBB) consists of over 135,000 participants from the MGB healthcare system in the greater Boston area</w:t>
      </w:r>
      <w:r w:rsidR="00E47533">
        <w:rPr>
          <w:rFonts w:ascii="Arial" w:hAnsi="Arial" w:cs="Arial"/>
        </w:rPr>
        <w:t xml:space="preserve"> (Boutin, 2022)</w:t>
      </w:r>
      <w:r w:rsidRPr="00C8316E">
        <w:rPr>
          <w:rFonts w:ascii="Arial" w:hAnsi="Arial" w:cs="Arial"/>
        </w:rPr>
        <w:t xml:space="preserve">. A total of 36,217 participants were genotyped using the </w:t>
      </w:r>
      <w:proofErr w:type="spellStart"/>
      <w:r w:rsidRPr="00C8316E">
        <w:rPr>
          <w:rFonts w:ascii="Arial" w:hAnsi="Arial" w:cs="Arial"/>
        </w:rPr>
        <w:t>Illumina</w:t>
      </w:r>
      <w:proofErr w:type="spellEnd"/>
      <w:r w:rsidRPr="00C8316E">
        <w:rPr>
          <w:rFonts w:ascii="Arial" w:hAnsi="Arial" w:cs="Arial"/>
        </w:rPr>
        <w:t xml:space="preserve"> Multi-Ethnic Genotyping Array</w:t>
      </w:r>
      <w:r w:rsidR="00E07A0B" w:rsidRPr="00C8316E">
        <w:rPr>
          <w:rFonts w:ascii="Arial" w:hAnsi="Arial" w:cs="Arial"/>
        </w:rPr>
        <w:t xml:space="preserve"> (MEGA) as previously described</w:t>
      </w:r>
      <w:r w:rsidR="000A68D3">
        <w:rPr>
          <w:rFonts w:ascii="Arial" w:hAnsi="Arial" w:cs="Arial"/>
        </w:rPr>
        <w:t xml:space="preserve"> (</w:t>
      </w:r>
      <w:r w:rsidR="00AC454A">
        <w:rPr>
          <w:rFonts w:ascii="Arial" w:hAnsi="Arial" w:cs="Arial"/>
        </w:rPr>
        <w:t>Tran et al., 2024</w:t>
      </w:r>
      <w:r w:rsidR="000A68D3" w:rsidRPr="007315DA">
        <w:rPr>
          <w:rFonts w:ascii="Arial" w:hAnsi="Arial" w:cs="Arial"/>
        </w:rPr>
        <w:t>)</w:t>
      </w:r>
      <w:r w:rsidR="00E07A0B" w:rsidRPr="007315DA">
        <w:rPr>
          <w:rFonts w:ascii="Arial" w:hAnsi="Arial" w:cs="Arial"/>
        </w:rPr>
        <w:t>.</w:t>
      </w:r>
    </w:p>
    <w:p w14:paraId="27007795" w14:textId="401ABFB0" w:rsidR="00584FD0" w:rsidRPr="00C8316E" w:rsidRDefault="00584FD0" w:rsidP="00584FD0">
      <w:pPr>
        <w:rPr>
          <w:rFonts w:ascii="Arial" w:hAnsi="Arial" w:cs="Arial"/>
        </w:rPr>
      </w:pPr>
      <w:r w:rsidRPr="00C8316E">
        <w:rPr>
          <w:rFonts w:ascii="Arial" w:hAnsi="Arial" w:cs="Arial"/>
          <w:i/>
          <w:iCs/>
        </w:rPr>
        <w:t xml:space="preserve">Mount Sinai </w:t>
      </w:r>
      <w:proofErr w:type="spellStart"/>
      <w:r w:rsidRPr="00C8316E">
        <w:rPr>
          <w:rFonts w:ascii="Arial" w:hAnsi="Arial" w:cs="Arial"/>
          <w:i/>
          <w:iCs/>
        </w:rPr>
        <w:t>BioMe</w:t>
      </w:r>
      <w:proofErr w:type="spellEnd"/>
      <w:r w:rsidRPr="00C8316E">
        <w:rPr>
          <w:rFonts w:ascii="Arial" w:hAnsi="Arial" w:cs="Arial"/>
          <w:i/>
          <w:iCs/>
        </w:rPr>
        <w:t xml:space="preserve"> </w:t>
      </w:r>
      <w:proofErr w:type="spellStart"/>
      <w:r w:rsidRPr="00C8316E">
        <w:rPr>
          <w:rFonts w:ascii="Arial" w:hAnsi="Arial" w:cs="Arial"/>
          <w:i/>
          <w:iCs/>
        </w:rPr>
        <w:t>Biobank</w:t>
      </w:r>
      <w:proofErr w:type="spellEnd"/>
      <w:r w:rsidRPr="00C8316E">
        <w:rPr>
          <w:rFonts w:ascii="Arial" w:hAnsi="Arial" w:cs="Arial"/>
          <w:i/>
          <w:iCs/>
        </w:rPr>
        <w:t>:</w:t>
      </w:r>
      <w:r w:rsidR="00E07A0B" w:rsidRPr="00C8316E">
        <w:rPr>
          <w:rFonts w:ascii="Arial" w:hAnsi="Arial" w:cs="Arial"/>
          <w:i/>
          <w:iCs/>
        </w:rPr>
        <w:t xml:space="preserve"> </w:t>
      </w:r>
      <w:r w:rsidRPr="00C8316E">
        <w:rPr>
          <w:rFonts w:ascii="Arial" w:hAnsi="Arial" w:cs="Arial"/>
        </w:rPr>
        <w:t xml:space="preserve">The Mount Sinai </w:t>
      </w:r>
      <w:proofErr w:type="spellStart"/>
      <w:r w:rsidRPr="00C8316E">
        <w:rPr>
          <w:rFonts w:ascii="Arial" w:hAnsi="Arial" w:cs="Arial"/>
        </w:rPr>
        <w:t>Bio</w:t>
      </w:r>
      <w:r w:rsidRPr="00173A51">
        <w:rPr>
          <w:rFonts w:ascii="Arial" w:hAnsi="Arial" w:cs="Arial"/>
          <w:i/>
          <w:iCs/>
        </w:rPr>
        <w:t>Me</w:t>
      </w:r>
      <w:proofErr w:type="spellEnd"/>
      <w:r w:rsidRPr="00C8316E">
        <w:rPr>
          <w:rFonts w:ascii="Arial" w:hAnsi="Arial" w:cs="Arial"/>
        </w:rPr>
        <w:t xml:space="preserve"> </w:t>
      </w:r>
      <w:proofErr w:type="spellStart"/>
      <w:r w:rsidRPr="00C8316E">
        <w:rPr>
          <w:rFonts w:ascii="Arial" w:hAnsi="Arial" w:cs="Arial"/>
        </w:rPr>
        <w:t>Biobank</w:t>
      </w:r>
      <w:proofErr w:type="spellEnd"/>
      <w:r w:rsidRPr="00C8316E">
        <w:rPr>
          <w:rFonts w:ascii="Arial" w:hAnsi="Arial" w:cs="Arial"/>
        </w:rPr>
        <w:t xml:space="preserve"> includes over 54,000 participants from the Mount Sinai Health System in New York City and the greater metropolitan area. All participants were genotyped using the </w:t>
      </w:r>
      <w:proofErr w:type="spellStart"/>
      <w:r w:rsidRPr="00C8316E">
        <w:rPr>
          <w:rFonts w:ascii="Arial" w:hAnsi="Arial" w:cs="Arial"/>
        </w:rPr>
        <w:t>Illumina</w:t>
      </w:r>
      <w:proofErr w:type="spellEnd"/>
      <w:r w:rsidRPr="00C8316E">
        <w:rPr>
          <w:rFonts w:ascii="Arial" w:hAnsi="Arial" w:cs="Arial"/>
        </w:rPr>
        <w:t xml:space="preserve"> Global Screening Array and </w:t>
      </w:r>
      <w:proofErr w:type="spellStart"/>
      <w:r w:rsidRPr="00C8316E">
        <w:rPr>
          <w:rFonts w:ascii="Arial" w:hAnsi="Arial" w:cs="Arial"/>
        </w:rPr>
        <w:t>Illumina</w:t>
      </w:r>
      <w:proofErr w:type="spellEnd"/>
      <w:r w:rsidRPr="00C8316E">
        <w:rPr>
          <w:rFonts w:ascii="Arial" w:hAnsi="Arial" w:cs="Arial"/>
        </w:rPr>
        <w:t xml:space="preserve"> Global Diversity Array</w:t>
      </w:r>
      <w:r w:rsidR="00E07A0B" w:rsidRPr="00C8316E">
        <w:rPr>
          <w:rFonts w:ascii="Arial" w:hAnsi="Arial" w:cs="Arial"/>
        </w:rPr>
        <w:t xml:space="preserve"> as previously described</w:t>
      </w:r>
      <w:r w:rsidR="00462B2A">
        <w:rPr>
          <w:rFonts w:ascii="Arial" w:hAnsi="Arial" w:cs="Arial"/>
        </w:rPr>
        <w:t xml:space="preserve"> (Chen et al., 2025)</w:t>
      </w:r>
      <w:r w:rsidRPr="00C8316E">
        <w:rPr>
          <w:rFonts w:ascii="Arial" w:hAnsi="Arial" w:cs="Arial"/>
        </w:rPr>
        <w:t xml:space="preserve">. </w:t>
      </w:r>
    </w:p>
    <w:p w14:paraId="25D83822" w14:textId="292C0E7C" w:rsidR="00584FD0" w:rsidRPr="00C8316E" w:rsidRDefault="00584FD0" w:rsidP="00584FD0">
      <w:pPr>
        <w:rPr>
          <w:rFonts w:ascii="Arial" w:hAnsi="Arial" w:cs="Arial"/>
        </w:rPr>
      </w:pPr>
      <w:r w:rsidRPr="00C8316E">
        <w:rPr>
          <w:rFonts w:ascii="Arial" w:hAnsi="Arial" w:cs="Arial"/>
          <w:u w:val="single"/>
        </w:rPr>
        <w:t>Genotype quality control:</w:t>
      </w:r>
      <w:r w:rsidR="00E07A0B" w:rsidRPr="00C8316E">
        <w:rPr>
          <w:rFonts w:ascii="Arial" w:hAnsi="Arial" w:cs="Arial"/>
          <w:u w:val="single"/>
        </w:rPr>
        <w:t xml:space="preserve">  </w:t>
      </w:r>
      <w:r w:rsidR="004A742E">
        <w:rPr>
          <w:rFonts w:ascii="Arial" w:hAnsi="Arial" w:cs="Arial"/>
        </w:rPr>
        <w:t xml:space="preserve">Best practice </w:t>
      </w:r>
      <w:r w:rsidRPr="00C8316E">
        <w:rPr>
          <w:rFonts w:ascii="Arial" w:hAnsi="Arial" w:cs="Arial"/>
        </w:rPr>
        <w:t xml:space="preserve">genotype quality control (QC) filtering process was applied using PLINK 1.9/PLINK 2 on directly genotyped and imputed variants at both the sample and variant levels within each </w:t>
      </w:r>
      <w:proofErr w:type="spellStart"/>
      <w:r w:rsidRPr="00C8316E">
        <w:rPr>
          <w:rFonts w:ascii="Arial" w:hAnsi="Arial" w:cs="Arial"/>
        </w:rPr>
        <w:t>biobank</w:t>
      </w:r>
      <w:proofErr w:type="spellEnd"/>
      <w:r w:rsidRPr="00C8316E">
        <w:rPr>
          <w:rFonts w:ascii="Arial" w:hAnsi="Arial" w:cs="Arial"/>
        </w:rPr>
        <w:t>.</w:t>
      </w:r>
      <w:r w:rsidR="00E07A0B" w:rsidRPr="00C8316E">
        <w:rPr>
          <w:rFonts w:ascii="Arial" w:hAnsi="Arial" w:cs="Arial"/>
        </w:rPr>
        <w:t xml:space="preserve">  Quality control for each </w:t>
      </w:r>
      <w:proofErr w:type="spellStart"/>
      <w:r w:rsidR="00E07A0B" w:rsidRPr="00C8316E">
        <w:rPr>
          <w:rFonts w:ascii="Arial" w:hAnsi="Arial" w:cs="Arial"/>
        </w:rPr>
        <w:t>biobank</w:t>
      </w:r>
      <w:proofErr w:type="spellEnd"/>
      <w:r w:rsidR="00E07A0B" w:rsidRPr="00C8316E">
        <w:rPr>
          <w:rFonts w:ascii="Arial" w:hAnsi="Arial" w:cs="Arial"/>
        </w:rPr>
        <w:t xml:space="preserve"> was a</w:t>
      </w:r>
      <w:r w:rsidR="007E4BF5">
        <w:rPr>
          <w:rFonts w:ascii="Arial" w:hAnsi="Arial" w:cs="Arial"/>
        </w:rPr>
        <w:t>s</w:t>
      </w:r>
      <w:r w:rsidR="00E07A0B" w:rsidRPr="00C8316E">
        <w:rPr>
          <w:rFonts w:ascii="Arial" w:hAnsi="Arial" w:cs="Arial"/>
        </w:rPr>
        <w:t xml:space="preserve"> follows:</w:t>
      </w:r>
    </w:p>
    <w:p w14:paraId="61B63F2C" w14:textId="25C62A80" w:rsidR="00584FD0" w:rsidRPr="00C8316E" w:rsidRDefault="00584FD0" w:rsidP="00584FD0">
      <w:pPr>
        <w:rPr>
          <w:rFonts w:ascii="Arial" w:hAnsi="Arial" w:cs="Arial"/>
        </w:rPr>
      </w:pPr>
      <w:r w:rsidRPr="00C8316E">
        <w:rPr>
          <w:rFonts w:ascii="Arial" w:hAnsi="Arial" w:cs="Arial"/>
          <w:i/>
          <w:iCs/>
        </w:rPr>
        <w:t>MGBB</w:t>
      </w:r>
      <w:r w:rsidR="00E07A0B" w:rsidRPr="00C8316E">
        <w:rPr>
          <w:rFonts w:ascii="Arial" w:hAnsi="Arial" w:cs="Arial"/>
          <w:i/>
          <w:iCs/>
        </w:rPr>
        <w:t xml:space="preserve">: </w:t>
      </w:r>
      <w:r w:rsidR="00E07A0B" w:rsidRPr="00C8316E">
        <w:rPr>
          <w:rFonts w:ascii="Arial" w:hAnsi="Arial" w:cs="Arial"/>
        </w:rPr>
        <w:t>Samples were removed</w:t>
      </w:r>
      <w:r w:rsidRPr="00C8316E">
        <w:rPr>
          <w:rFonts w:ascii="Arial" w:hAnsi="Arial" w:cs="Arial"/>
        </w:rPr>
        <w:t xml:space="preserve"> with call rates &lt;98%, </w:t>
      </w:r>
      <w:proofErr w:type="spellStart"/>
      <w:r w:rsidRPr="00C8316E">
        <w:rPr>
          <w:rFonts w:ascii="Arial" w:hAnsi="Arial" w:cs="Arial"/>
        </w:rPr>
        <w:t>missingness</w:t>
      </w:r>
      <w:proofErr w:type="spellEnd"/>
      <w:r w:rsidRPr="00C8316E">
        <w:rPr>
          <w:rFonts w:ascii="Arial" w:hAnsi="Arial" w:cs="Arial"/>
        </w:rPr>
        <w:t xml:space="preserve"> rate &gt;2%, and mismatched genotype-inferred and self-reported sex and ancestry. Duplicate samples were also removed. At </w:t>
      </w:r>
      <w:proofErr w:type="gramStart"/>
      <w:r w:rsidRPr="00C8316E">
        <w:rPr>
          <w:rFonts w:ascii="Arial" w:hAnsi="Arial" w:cs="Arial"/>
        </w:rPr>
        <w:t>the</w:t>
      </w:r>
      <w:proofErr w:type="gramEnd"/>
      <w:r w:rsidRPr="00C8316E">
        <w:rPr>
          <w:rFonts w:ascii="Arial" w:hAnsi="Arial" w:cs="Arial"/>
        </w:rPr>
        <w:t xml:space="preserve"> variant level, </w:t>
      </w:r>
      <w:r w:rsidR="00E07A0B" w:rsidRPr="00C8316E">
        <w:rPr>
          <w:rFonts w:ascii="Arial" w:hAnsi="Arial" w:cs="Arial"/>
        </w:rPr>
        <w:t>variants were removed</w:t>
      </w:r>
      <w:r w:rsidRPr="00C8316E">
        <w:rPr>
          <w:rFonts w:ascii="Arial" w:hAnsi="Arial" w:cs="Arial"/>
        </w:rPr>
        <w:t xml:space="preserve"> </w:t>
      </w:r>
      <w:r w:rsidR="00E07A0B" w:rsidRPr="00C8316E">
        <w:rPr>
          <w:rFonts w:ascii="Arial" w:hAnsi="Arial" w:cs="Arial"/>
        </w:rPr>
        <w:t>with</w:t>
      </w:r>
      <w:r w:rsidRPr="00C8316E">
        <w:rPr>
          <w:rFonts w:ascii="Arial" w:hAnsi="Arial" w:cs="Arial"/>
        </w:rPr>
        <w:t xml:space="preserve"> low imputation quality with </w:t>
      </w:r>
      <w:r w:rsidR="00207838">
        <w:rPr>
          <w:rFonts w:ascii="Arial" w:hAnsi="Arial" w:cs="Arial"/>
        </w:rPr>
        <w:t xml:space="preserve">a </w:t>
      </w:r>
      <w:r w:rsidRPr="00C8316E">
        <w:rPr>
          <w:rFonts w:ascii="Arial" w:hAnsi="Arial" w:cs="Arial"/>
        </w:rPr>
        <w:t xml:space="preserve">cutoff INFO &lt; 0.6, and </w:t>
      </w:r>
      <w:r w:rsidR="00EF5454">
        <w:rPr>
          <w:rFonts w:ascii="Arial" w:hAnsi="Arial" w:cs="Arial"/>
        </w:rPr>
        <w:t xml:space="preserve">a </w:t>
      </w:r>
      <w:proofErr w:type="spellStart"/>
      <w:r w:rsidRPr="00C8316E">
        <w:rPr>
          <w:rFonts w:ascii="Arial" w:hAnsi="Arial" w:cs="Arial"/>
        </w:rPr>
        <w:t>missingness</w:t>
      </w:r>
      <w:proofErr w:type="spellEnd"/>
      <w:r w:rsidRPr="00C8316E">
        <w:rPr>
          <w:rFonts w:ascii="Arial" w:hAnsi="Arial" w:cs="Arial"/>
        </w:rPr>
        <w:t xml:space="preserve"> rate &gt; 2%. </w:t>
      </w:r>
      <w:r w:rsidR="00C84AC8" w:rsidRPr="00C8316E">
        <w:rPr>
          <w:rFonts w:ascii="Arial" w:hAnsi="Arial" w:cs="Arial"/>
        </w:rPr>
        <w:t>Heterozygous sites on the non-</w:t>
      </w:r>
      <w:proofErr w:type="spellStart"/>
      <w:r w:rsidR="00C84AC8">
        <w:rPr>
          <w:rFonts w:ascii="Arial" w:hAnsi="Arial" w:cs="Arial"/>
        </w:rPr>
        <w:t>pseudoautosomal</w:t>
      </w:r>
      <w:proofErr w:type="spellEnd"/>
      <w:r w:rsidR="00C84AC8">
        <w:rPr>
          <w:rFonts w:ascii="Arial" w:hAnsi="Arial" w:cs="Arial"/>
        </w:rPr>
        <w:t xml:space="preserve"> region </w:t>
      </w:r>
      <w:r w:rsidR="00551E5C">
        <w:rPr>
          <w:rFonts w:ascii="Arial" w:hAnsi="Arial" w:cs="Arial"/>
        </w:rPr>
        <w:t>(</w:t>
      </w:r>
      <w:r w:rsidR="00C84AC8" w:rsidRPr="00C8316E">
        <w:rPr>
          <w:rFonts w:ascii="Arial" w:hAnsi="Arial" w:cs="Arial"/>
        </w:rPr>
        <w:t>PAR</w:t>
      </w:r>
      <w:proofErr w:type="gramStart"/>
      <w:r w:rsidR="00551E5C">
        <w:rPr>
          <w:rFonts w:ascii="Arial" w:hAnsi="Arial" w:cs="Arial"/>
        </w:rPr>
        <w:t>)</w:t>
      </w:r>
      <w:r w:rsidR="00C84AC8" w:rsidRPr="00C8316E">
        <w:rPr>
          <w:rFonts w:ascii="Arial" w:hAnsi="Arial" w:cs="Arial"/>
        </w:rPr>
        <w:t xml:space="preserve">  of</w:t>
      </w:r>
      <w:proofErr w:type="gramEnd"/>
      <w:r w:rsidR="00C84AC8" w:rsidRPr="00C8316E">
        <w:rPr>
          <w:rFonts w:ascii="Arial" w:hAnsi="Arial" w:cs="Arial"/>
        </w:rPr>
        <w:t xml:space="preserve"> chromosome X in males were set as missing. </w:t>
      </w:r>
      <w:r w:rsidRPr="00C8316E">
        <w:rPr>
          <w:rFonts w:ascii="Arial" w:hAnsi="Arial" w:cs="Arial"/>
        </w:rPr>
        <w:t xml:space="preserve">Furthermore, </w:t>
      </w:r>
      <w:r w:rsidR="00E07A0B" w:rsidRPr="00C8316E">
        <w:rPr>
          <w:rFonts w:ascii="Arial" w:hAnsi="Arial" w:cs="Arial"/>
        </w:rPr>
        <w:t xml:space="preserve">shared </w:t>
      </w:r>
      <w:r w:rsidR="00E914A5">
        <w:rPr>
          <w:rFonts w:ascii="Arial" w:hAnsi="Arial" w:cs="Arial"/>
        </w:rPr>
        <w:t>single nucleotide polymorphisms (</w:t>
      </w:r>
      <w:r w:rsidR="00E07A0B" w:rsidRPr="00C8316E">
        <w:rPr>
          <w:rFonts w:ascii="Arial" w:hAnsi="Arial" w:cs="Arial"/>
        </w:rPr>
        <w:t>SNPs</w:t>
      </w:r>
      <w:r w:rsidR="00E914A5">
        <w:rPr>
          <w:rFonts w:ascii="Arial" w:hAnsi="Arial" w:cs="Arial"/>
        </w:rPr>
        <w:t>)</w:t>
      </w:r>
      <w:r w:rsidR="00E07A0B" w:rsidRPr="00C8316E">
        <w:rPr>
          <w:rFonts w:ascii="Arial" w:hAnsi="Arial" w:cs="Arial"/>
        </w:rPr>
        <w:t xml:space="preserve"> were removed </w:t>
      </w:r>
      <w:r w:rsidR="00DB4804">
        <w:rPr>
          <w:rFonts w:ascii="Arial" w:hAnsi="Arial" w:cs="Arial"/>
        </w:rPr>
        <w:t>based on the following c</w:t>
      </w:r>
      <w:r w:rsidR="00972C10">
        <w:rPr>
          <w:rFonts w:ascii="Arial" w:hAnsi="Arial" w:cs="Arial"/>
        </w:rPr>
        <w:t>r</w:t>
      </w:r>
      <w:r w:rsidR="00DB4804">
        <w:rPr>
          <w:rFonts w:ascii="Arial" w:hAnsi="Arial" w:cs="Arial"/>
        </w:rPr>
        <w:t xml:space="preserve">iteria: </w:t>
      </w:r>
      <w:r w:rsidR="007A311A">
        <w:rPr>
          <w:rFonts w:ascii="Arial" w:hAnsi="Arial" w:cs="Arial"/>
        </w:rPr>
        <w:t>Minor Allele frequency (</w:t>
      </w:r>
      <w:r w:rsidRPr="00C8316E">
        <w:rPr>
          <w:rFonts w:ascii="Arial" w:hAnsi="Arial" w:cs="Arial"/>
        </w:rPr>
        <w:t>MAF</w:t>
      </w:r>
      <w:r w:rsidR="007A311A">
        <w:rPr>
          <w:rFonts w:ascii="Arial" w:hAnsi="Arial" w:cs="Arial"/>
        </w:rPr>
        <w:t>)</w:t>
      </w:r>
      <w:r w:rsidRPr="00C8316E">
        <w:rPr>
          <w:rFonts w:ascii="Arial" w:hAnsi="Arial" w:cs="Arial"/>
        </w:rPr>
        <w:t xml:space="preserve"> </w:t>
      </w:r>
      <w:r w:rsidR="00DB4804">
        <w:rPr>
          <w:rFonts w:ascii="Arial" w:hAnsi="Arial" w:cs="Arial"/>
        </w:rPr>
        <w:t>&lt;</w:t>
      </w:r>
      <w:r w:rsidRPr="00C8316E">
        <w:rPr>
          <w:rFonts w:ascii="Arial" w:hAnsi="Arial" w:cs="Arial"/>
        </w:rPr>
        <w:t xml:space="preserve"> </w:t>
      </w:r>
      <w:r w:rsidR="00DB4804">
        <w:rPr>
          <w:rFonts w:ascii="Arial" w:hAnsi="Arial" w:cs="Arial"/>
        </w:rPr>
        <w:t>0.0</w:t>
      </w:r>
      <w:r w:rsidRPr="00C8316E">
        <w:rPr>
          <w:rFonts w:ascii="Arial" w:hAnsi="Arial" w:cs="Arial"/>
        </w:rPr>
        <w:t>1</w:t>
      </w:r>
      <w:r w:rsidR="00DB4804">
        <w:rPr>
          <w:rFonts w:ascii="Arial" w:hAnsi="Arial" w:cs="Arial"/>
        </w:rPr>
        <w:t>,</w:t>
      </w:r>
      <w:r w:rsidRPr="00C8316E">
        <w:rPr>
          <w:rFonts w:ascii="Arial" w:hAnsi="Arial" w:cs="Arial"/>
        </w:rPr>
        <w:t xml:space="preserve"> failed allele frequency association tests across batches (P &lt; 0.05</w:t>
      </w:r>
      <w:proofErr w:type="gramStart"/>
      <w:r w:rsidRPr="00C8316E">
        <w:rPr>
          <w:rFonts w:ascii="Arial" w:hAnsi="Arial" w:cs="Arial"/>
        </w:rPr>
        <w:t>/(</w:t>
      </w:r>
      <w:proofErr w:type="gramEnd"/>
      <w:r w:rsidRPr="00C8316E">
        <w:rPr>
          <w:rFonts w:ascii="Arial" w:hAnsi="Arial" w:cs="Arial"/>
        </w:rPr>
        <w:t>8* number of shared SNPs), monomorphic sites, and SNPs with Hardy Weinberg Equilibrium (HWE) p</w:t>
      </w:r>
      <w:r w:rsidR="00C84AC8">
        <w:rPr>
          <w:rFonts w:ascii="Arial" w:hAnsi="Arial" w:cs="Arial"/>
        </w:rPr>
        <w:t xml:space="preserve"> </w:t>
      </w:r>
      <w:r w:rsidRPr="00C8316E">
        <w:rPr>
          <w:rFonts w:ascii="Arial" w:hAnsi="Arial" w:cs="Arial"/>
        </w:rPr>
        <w:t xml:space="preserve">&lt; </w:t>
      </w:r>
      <w:r w:rsidR="007315DA">
        <w:rPr>
          <w:rFonts w:ascii="Arial" w:hAnsi="Arial" w:cs="Arial"/>
        </w:rPr>
        <w:t>1</w:t>
      </w:r>
      <w:r w:rsidR="007315DA">
        <w:rPr>
          <w:rFonts w:ascii="Arial" w:hAnsi="Arial" w:cs="Arial"/>
        </w:rPr>
        <w:sym w:font="Symbol" w:char="F0B4"/>
      </w:r>
      <w:r w:rsidR="007315DA" w:rsidRPr="00C8316E">
        <w:rPr>
          <w:rFonts w:ascii="Arial" w:hAnsi="Arial" w:cs="Arial"/>
        </w:rPr>
        <w:t>1</w:t>
      </w:r>
      <w:r w:rsidR="007315DA">
        <w:rPr>
          <w:rFonts w:ascii="Arial" w:hAnsi="Arial" w:cs="Arial"/>
        </w:rPr>
        <w:t>0</w:t>
      </w:r>
      <w:r w:rsidR="0098271E">
        <w:rPr>
          <w:rFonts w:ascii="Arial" w:hAnsi="Arial" w:cs="Arial"/>
          <w:vertAlign w:val="superscript"/>
        </w:rPr>
        <w:t>-8</w:t>
      </w:r>
      <w:r w:rsidR="007315DA">
        <w:rPr>
          <w:rFonts w:ascii="Arial" w:hAnsi="Arial" w:cs="Arial"/>
        </w:rPr>
        <w:t xml:space="preserve"> in any of the population groups</w:t>
      </w:r>
      <w:r w:rsidR="00DB4804">
        <w:rPr>
          <w:rFonts w:ascii="Arial" w:hAnsi="Arial" w:cs="Arial"/>
        </w:rPr>
        <w:t xml:space="preserve"> tested</w:t>
      </w:r>
      <w:r w:rsidR="007315DA">
        <w:rPr>
          <w:rFonts w:ascii="Arial" w:hAnsi="Arial" w:cs="Arial"/>
        </w:rPr>
        <w:t>.</w:t>
      </w:r>
      <w:r w:rsidRPr="00C8316E">
        <w:rPr>
          <w:rFonts w:ascii="Arial" w:hAnsi="Arial" w:cs="Arial"/>
        </w:rPr>
        <w:t xml:space="preserve"> A total of 36,217 samples and </w:t>
      </w:r>
      <w:proofErr w:type="gramStart"/>
      <w:r w:rsidR="00564D39">
        <w:rPr>
          <w:rFonts w:ascii="Arial" w:hAnsi="Arial" w:cs="Arial"/>
        </w:rPr>
        <w:t>8,109,830</w:t>
      </w:r>
      <w:r w:rsidR="00564D39" w:rsidRPr="00C8316E">
        <w:rPr>
          <w:rFonts w:ascii="Arial" w:hAnsi="Arial" w:cs="Arial"/>
        </w:rPr>
        <w:t xml:space="preserve"> </w:t>
      </w:r>
      <w:r w:rsidRPr="00C8316E">
        <w:rPr>
          <w:rFonts w:ascii="Arial" w:hAnsi="Arial" w:cs="Arial"/>
        </w:rPr>
        <w:t xml:space="preserve"> variants</w:t>
      </w:r>
      <w:proofErr w:type="gramEnd"/>
      <w:r w:rsidRPr="00C8316E">
        <w:rPr>
          <w:rFonts w:ascii="Arial" w:hAnsi="Arial" w:cs="Arial"/>
        </w:rPr>
        <w:t xml:space="preserve"> remained after QC.</w:t>
      </w:r>
    </w:p>
    <w:p w14:paraId="0FDCC028" w14:textId="54DD973D" w:rsidR="00584FD0" w:rsidRPr="00C8316E" w:rsidRDefault="00584FD0" w:rsidP="00584FD0">
      <w:pPr>
        <w:rPr>
          <w:rFonts w:ascii="Arial" w:hAnsi="Arial" w:cs="Arial"/>
        </w:rPr>
      </w:pPr>
      <w:r w:rsidRPr="00C8316E">
        <w:rPr>
          <w:rFonts w:ascii="Arial" w:hAnsi="Arial" w:cs="Arial"/>
          <w:i/>
          <w:iCs/>
        </w:rPr>
        <w:t xml:space="preserve">Mount Sinai </w:t>
      </w:r>
      <w:proofErr w:type="spellStart"/>
      <w:r w:rsidRPr="00C8316E">
        <w:rPr>
          <w:rFonts w:ascii="Arial" w:hAnsi="Arial" w:cs="Arial"/>
          <w:i/>
          <w:iCs/>
        </w:rPr>
        <w:t>BioMe</w:t>
      </w:r>
      <w:proofErr w:type="spellEnd"/>
      <w:r w:rsidRPr="00C8316E">
        <w:rPr>
          <w:rFonts w:ascii="Arial" w:hAnsi="Arial" w:cs="Arial"/>
          <w:i/>
          <w:iCs/>
        </w:rPr>
        <w:t xml:space="preserve"> </w:t>
      </w:r>
      <w:proofErr w:type="spellStart"/>
      <w:r w:rsidRPr="00C8316E">
        <w:rPr>
          <w:rFonts w:ascii="Arial" w:hAnsi="Arial" w:cs="Arial"/>
          <w:i/>
          <w:iCs/>
        </w:rPr>
        <w:t>Biobank</w:t>
      </w:r>
      <w:proofErr w:type="spellEnd"/>
      <w:r w:rsidR="00E07A0B" w:rsidRPr="00C8316E">
        <w:rPr>
          <w:rFonts w:ascii="Arial" w:hAnsi="Arial" w:cs="Arial"/>
          <w:i/>
          <w:iCs/>
        </w:rPr>
        <w:t xml:space="preserve">: </w:t>
      </w:r>
      <w:r w:rsidRPr="00C8316E">
        <w:rPr>
          <w:rFonts w:ascii="Arial" w:hAnsi="Arial" w:cs="Arial"/>
        </w:rPr>
        <w:t xml:space="preserve">Samples with call rates </w:t>
      </w:r>
      <w:r w:rsidR="00DB4804">
        <w:rPr>
          <w:rFonts w:ascii="Arial" w:hAnsi="Arial" w:cs="Arial"/>
        </w:rPr>
        <w:t>&lt;</w:t>
      </w:r>
      <w:r w:rsidRPr="00C8316E">
        <w:rPr>
          <w:rFonts w:ascii="Arial" w:hAnsi="Arial" w:cs="Arial"/>
        </w:rPr>
        <w:t xml:space="preserve">95%, unresolved differences between genotype-inferred and self-reported sex, </w:t>
      </w:r>
      <w:proofErr w:type="spellStart"/>
      <w:r w:rsidRPr="00C8316E">
        <w:rPr>
          <w:rFonts w:ascii="Arial" w:hAnsi="Arial" w:cs="Arial"/>
        </w:rPr>
        <w:t>heterozygosity</w:t>
      </w:r>
      <w:proofErr w:type="spellEnd"/>
      <w:r w:rsidRPr="00C8316E">
        <w:rPr>
          <w:rFonts w:ascii="Arial" w:hAnsi="Arial" w:cs="Arial"/>
        </w:rPr>
        <w:t xml:space="preserve"> rate beyond three standard deviations (SD) per ancestry, and duplicate samples were removed. At the variant level, those with </w:t>
      </w:r>
      <w:r w:rsidR="00EF5454">
        <w:rPr>
          <w:rFonts w:ascii="Arial" w:hAnsi="Arial" w:cs="Arial"/>
        </w:rPr>
        <w:t xml:space="preserve">a </w:t>
      </w:r>
      <w:proofErr w:type="spellStart"/>
      <w:r w:rsidRPr="00C8316E">
        <w:rPr>
          <w:rFonts w:ascii="Arial" w:hAnsi="Arial" w:cs="Arial"/>
        </w:rPr>
        <w:t>missingness</w:t>
      </w:r>
      <w:proofErr w:type="spellEnd"/>
      <w:r w:rsidRPr="00C8316E">
        <w:rPr>
          <w:rFonts w:ascii="Arial" w:hAnsi="Arial" w:cs="Arial"/>
        </w:rPr>
        <w:t xml:space="preserve"> rate &gt;5%, HWE for autosomes with p&lt;</w:t>
      </w:r>
      <w:r w:rsidR="00DB4804">
        <w:rPr>
          <w:rFonts w:ascii="Arial" w:hAnsi="Arial" w:cs="Arial"/>
        </w:rPr>
        <w:t>1</w:t>
      </w:r>
      <w:r w:rsidR="00DB4804">
        <w:rPr>
          <w:rFonts w:ascii="Arial" w:hAnsi="Arial" w:cs="Arial"/>
        </w:rPr>
        <w:sym w:font="Symbol" w:char="F0B4"/>
      </w:r>
      <w:r w:rsidR="00DB4804" w:rsidRPr="00C8316E">
        <w:rPr>
          <w:rFonts w:ascii="Arial" w:hAnsi="Arial" w:cs="Arial"/>
        </w:rPr>
        <w:t>1</w:t>
      </w:r>
      <w:r w:rsidR="00DB4804">
        <w:rPr>
          <w:rFonts w:ascii="Arial" w:hAnsi="Arial" w:cs="Arial"/>
        </w:rPr>
        <w:t>0</w:t>
      </w:r>
      <w:r w:rsidR="00DB4804">
        <w:rPr>
          <w:rFonts w:ascii="Arial" w:hAnsi="Arial" w:cs="Arial"/>
          <w:vertAlign w:val="superscript"/>
        </w:rPr>
        <w:t>-8</w:t>
      </w:r>
      <w:r w:rsidRPr="00C8316E">
        <w:rPr>
          <w:rFonts w:ascii="Arial" w:hAnsi="Arial" w:cs="Arial"/>
        </w:rPr>
        <w:t xml:space="preserve">, and </w:t>
      </w:r>
      <w:r w:rsidR="00EF5454">
        <w:rPr>
          <w:rFonts w:ascii="Arial" w:hAnsi="Arial" w:cs="Arial"/>
        </w:rPr>
        <w:t xml:space="preserve">an </w:t>
      </w:r>
      <w:r w:rsidRPr="00C8316E">
        <w:rPr>
          <w:rFonts w:ascii="Arial" w:hAnsi="Arial" w:cs="Arial"/>
        </w:rPr>
        <w:t xml:space="preserve">imputation score of </w:t>
      </w:r>
      <w:proofErr w:type="spellStart"/>
      <w:r w:rsidRPr="00C8316E">
        <w:rPr>
          <w:rFonts w:ascii="Arial" w:hAnsi="Arial" w:cs="Arial"/>
        </w:rPr>
        <w:t>Rsq</w:t>
      </w:r>
      <w:proofErr w:type="spellEnd"/>
      <w:r w:rsidRPr="00C8316E">
        <w:rPr>
          <w:rFonts w:ascii="Arial" w:hAnsi="Arial" w:cs="Arial"/>
        </w:rPr>
        <w:t xml:space="preserve"> &lt; 0.7 were removed. A total of 5</w:t>
      </w:r>
      <w:r w:rsidR="00FE68D8">
        <w:rPr>
          <w:rFonts w:ascii="Arial" w:hAnsi="Arial" w:cs="Arial"/>
        </w:rPr>
        <w:t>3,</w:t>
      </w:r>
      <w:r w:rsidR="00DA5116">
        <w:rPr>
          <w:rFonts w:ascii="Arial" w:hAnsi="Arial" w:cs="Arial"/>
        </w:rPr>
        <w:t>982</w:t>
      </w:r>
      <w:r w:rsidRPr="00C8316E">
        <w:rPr>
          <w:rFonts w:ascii="Arial" w:hAnsi="Arial" w:cs="Arial"/>
        </w:rPr>
        <w:t xml:space="preserve"> samples and ~9.4 million variants remained after QC.</w:t>
      </w:r>
    </w:p>
    <w:p w14:paraId="65568865" w14:textId="5D38974E" w:rsidR="00584FD0" w:rsidRPr="00C8316E" w:rsidRDefault="00584FD0" w:rsidP="00584FD0">
      <w:pPr>
        <w:rPr>
          <w:rFonts w:ascii="Arial" w:hAnsi="Arial" w:cs="Arial"/>
        </w:rPr>
      </w:pPr>
      <w:r w:rsidRPr="00C8316E">
        <w:rPr>
          <w:rFonts w:ascii="Arial" w:hAnsi="Arial" w:cs="Arial"/>
        </w:rPr>
        <w:t xml:space="preserve">For both </w:t>
      </w:r>
      <w:proofErr w:type="spellStart"/>
      <w:r w:rsidRPr="00C8316E">
        <w:rPr>
          <w:rFonts w:ascii="Arial" w:hAnsi="Arial" w:cs="Arial"/>
        </w:rPr>
        <w:t>biobanks</w:t>
      </w:r>
      <w:proofErr w:type="spellEnd"/>
      <w:r w:rsidRPr="00C8316E">
        <w:rPr>
          <w:rFonts w:ascii="Arial" w:hAnsi="Arial" w:cs="Arial"/>
        </w:rPr>
        <w:t>, Principal Component Analysis was applied to linkage disequilibrium-pruned (r</w:t>
      </w:r>
      <w:r w:rsidRPr="00173A51">
        <w:rPr>
          <w:rFonts w:ascii="Arial" w:hAnsi="Arial" w:cs="Arial"/>
          <w:vertAlign w:val="superscript"/>
        </w:rPr>
        <w:t>2</w:t>
      </w:r>
      <w:r w:rsidRPr="00C8316E">
        <w:rPr>
          <w:rFonts w:ascii="Arial" w:hAnsi="Arial" w:cs="Arial"/>
        </w:rPr>
        <w:t>&lt;0.2 in 200kb windows) genetic markers with MAF &gt;</w:t>
      </w:r>
      <w:r w:rsidR="00DB4804">
        <w:rPr>
          <w:rFonts w:ascii="Arial" w:hAnsi="Arial" w:cs="Arial"/>
        </w:rPr>
        <w:t>0.0</w:t>
      </w:r>
      <w:r w:rsidRPr="00C8316E">
        <w:rPr>
          <w:rFonts w:ascii="Arial" w:hAnsi="Arial" w:cs="Arial"/>
        </w:rPr>
        <w:t xml:space="preserve">5 and the k-nearest neighbors algorithm to predict the ancestral background of participants using informative markers from the 1000 Genomes Project Phase 3 reference panel. </w:t>
      </w:r>
    </w:p>
    <w:p w14:paraId="7DD43054" w14:textId="02747E0F" w:rsidR="00584FD0" w:rsidRPr="00C8316E" w:rsidRDefault="00584FD0" w:rsidP="00584FD0">
      <w:pPr>
        <w:rPr>
          <w:rFonts w:ascii="Arial" w:hAnsi="Arial" w:cs="Arial"/>
        </w:rPr>
      </w:pPr>
      <w:r w:rsidRPr="00C8316E">
        <w:rPr>
          <w:rFonts w:ascii="Arial" w:hAnsi="Arial" w:cs="Arial"/>
          <w:u w:val="single"/>
        </w:rPr>
        <w:t>PRS Construction:</w:t>
      </w:r>
      <w:r w:rsidRPr="00972C10">
        <w:rPr>
          <w:rFonts w:ascii="Arial" w:hAnsi="Arial" w:cs="Arial"/>
        </w:rPr>
        <w:t xml:space="preserve"> </w:t>
      </w:r>
      <w:r w:rsidR="00E07A0B" w:rsidRPr="00972C10">
        <w:rPr>
          <w:rFonts w:ascii="Arial" w:hAnsi="Arial" w:cs="Arial"/>
        </w:rPr>
        <w:t xml:space="preserve"> </w:t>
      </w:r>
      <w:r w:rsidRPr="00C8316E">
        <w:rPr>
          <w:rFonts w:ascii="Arial" w:hAnsi="Arial" w:cs="Arial"/>
        </w:rPr>
        <w:t xml:space="preserve">We computed a genome-wide POAG </w:t>
      </w:r>
      <w:r w:rsidR="00AA78D0">
        <w:rPr>
          <w:rFonts w:ascii="Arial" w:hAnsi="Arial" w:cs="Arial"/>
        </w:rPr>
        <w:t>polygenic risk score (</w:t>
      </w:r>
      <w:r w:rsidRPr="00C8316E">
        <w:rPr>
          <w:rFonts w:ascii="Arial" w:hAnsi="Arial" w:cs="Arial"/>
        </w:rPr>
        <w:t>PRS</w:t>
      </w:r>
      <w:r w:rsidR="00AA78D0">
        <w:rPr>
          <w:rFonts w:ascii="Arial" w:hAnsi="Arial" w:cs="Arial"/>
        </w:rPr>
        <w:t>)</w:t>
      </w:r>
      <w:r w:rsidRPr="00C8316E">
        <w:rPr>
          <w:rFonts w:ascii="Arial" w:hAnsi="Arial" w:cs="Arial"/>
        </w:rPr>
        <w:t xml:space="preserve"> based on summary statistics from a large cross-ancestry </w:t>
      </w:r>
      <w:r w:rsidR="001104DF">
        <w:rPr>
          <w:rFonts w:ascii="Arial" w:hAnsi="Arial" w:cs="Arial"/>
        </w:rPr>
        <w:t>genome-wide association study (</w:t>
      </w:r>
      <w:r w:rsidRPr="00C8316E">
        <w:rPr>
          <w:rFonts w:ascii="Arial" w:hAnsi="Arial" w:cs="Arial"/>
        </w:rPr>
        <w:t>GWAS</w:t>
      </w:r>
      <w:r w:rsidR="001104DF">
        <w:rPr>
          <w:rFonts w:ascii="Arial" w:hAnsi="Arial" w:cs="Arial"/>
        </w:rPr>
        <w:t>)</w:t>
      </w:r>
      <w:r w:rsidRPr="00C8316E">
        <w:rPr>
          <w:rFonts w:ascii="Arial" w:hAnsi="Arial" w:cs="Arial"/>
        </w:rPr>
        <w:t xml:space="preserve"> meta-analysis after the exclusion of the UK </w:t>
      </w:r>
      <w:proofErr w:type="spellStart"/>
      <w:r w:rsidRPr="00C8316E">
        <w:rPr>
          <w:rFonts w:ascii="Arial" w:hAnsi="Arial" w:cs="Arial"/>
        </w:rPr>
        <w:t>Biobank</w:t>
      </w:r>
      <w:proofErr w:type="spellEnd"/>
      <w:r w:rsidRPr="00C8316E">
        <w:rPr>
          <w:rFonts w:ascii="Arial" w:hAnsi="Arial" w:cs="Arial"/>
        </w:rPr>
        <w:t xml:space="preserve"> (UKBB) cohort (summary statistics available at </w:t>
      </w:r>
      <w:hyperlink r:id="rId6" w:history="1">
        <w:r w:rsidR="00FF340E" w:rsidRPr="00DA3DC3">
          <w:rPr>
            <w:rStyle w:val="Hyperlink"/>
            <w:rFonts w:ascii="Arial" w:hAnsi="Arial" w:cs="Arial"/>
          </w:rPr>
          <w:t>https://segrelab.meei.harvard.edu/data/</w:t>
        </w:r>
      </w:hyperlink>
      <w:r w:rsidRPr="00C8316E">
        <w:rPr>
          <w:rFonts w:ascii="Arial" w:hAnsi="Arial" w:cs="Arial"/>
        </w:rPr>
        <w:t>)</w:t>
      </w:r>
      <w:r w:rsidR="00FF340E">
        <w:rPr>
          <w:rFonts w:ascii="Arial" w:hAnsi="Arial" w:cs="Arial"/>
        </w:rPr>
        <w:t xml:space="preserve"> (Gharahkhani, 2021)</w:t>
      </w:r>
      <w:r w:rsidRPr="00C8316E">
        <w:rPr>
          <w:rFonts w:ascii="Arial" w:hAnsi="Arial" w:cs="Arial"/>
        </w:rPr>
        <w:t xml:space="preserve">. The PRS was first trained </w:t>
      </w:r>
      <w:r w:rsidR="00F95B1C">
        <w:rPr>
          <w:rFonts w:ascii="Arial" w:hAnsi="Arial" w:cs="Arial"/>
        </w:rPr>
        <w:t>with</w:t>
      </w:r>
      <w:r w:rsidRPr="00C8316E">
        <w:rPr>
          <w:rFonts w:ascii="Arial" w:hAnsi="Arial" w:cs="Arial"/>
        </w:rPr>
        <w:t xml:space="preserve"> </w:t>
      </w:r>
      <w:r w:rsidRPr="00C8316E">
        <w:rPr>
          <w:rFonts w:ascii="Arial" w:hAnsi="Arial" w:cs="Arial"/>
        </w:rPr>
        <w:lastRenderedPageBreak/>
        <w:t xml:space="preserve">imputed genotype data from the UKBB population using a </w:t>
      </w:r>
      <w:proofErr w:type="spellStart"/>
      <w:r w:rsidRPr="00C8316E">
        <w:rPr>
          <w:rFonts w:ascii="Arial" w:hAnsi="Arial" w:cs="Arial"/>
        </w:rPr>
        <w:t>Lassosum</w:t>
      </w:r>
      <w:proofErr w:type="spellEnd"/>
      <w:r w:rsidRPr="00C8316E">
        <w:rPr>
          <w:rFonts w:ascii="Arial" w:hAnsi="Arial" w:cs="Arial"/>
        </w:rPr>
        <w:t xml:space="preserve"> penalized regression framework</w:t>
      </w:r>
      <w:r w:rsidR="00FF340E">
        <w:rPr>
          <w:rFonts w:ascii="Arial" w:hAnsi="Arial" w:cs="Arial"/>
        </w:rPr>
        <w:t xml:space="preserve"> (</w:t>
      </w:r>
      <w:proofErr w:type="spellStart"/>
      <w:r w:rsidR="00FF340E">
        <w:rPr>
          <w:rFonts w:ascii="Arial" w:hAnsi="Arial" w:cs="Arial"/>
        </w:rPr>
        <w:t>Mak</w:t>
      </w:r>
      <w:proofErr w:type="spellEnd"/>
      <w:r w:rsidR="00FF340E">
        <w:rPr>
          <w:rFonts w:ascii="Arial" w:hAnsi="Arial" w:cs="Arial"/>
        </w:rPr>
        <w:t>, 2017)</w:t>
      </w:r>
      <w:r w:rsidRPr="00C8316E">
        <w:rPr>
          <w:rFonts w:ascii="Arial" w:hAnsi="Arial" w:cs="Arial"/>
        </w:rPr>
        <w:t xml:space="preserve"> as previously described</w:t>
      </w:r>
      <w:r w:rsidR="00FF340E">
        <w:rPr>
          <w:rFonts w:ascii="Arial" w:hAnsi="Arial" w:cs="Arial"/>
        </w:rPr>
        <w:t xml:space="preserve"> (Sekimitsu, 2023)</w:t>
      </w:r>
      <w:r w:rsidRPr="00C8316E">
        <w:rPr>
          <w:rFonts w:ascii="Arial" w:hAnsi="Arial" w:cs="Arial"/>
        </w:rPr>
        <w:t xml:space="preserve">. The array </w:t>
      </w:r>
      <w:proofErr w:type="spellStart"/>
      <w:r w:rsidRPr="00C8316E">
        <w:rPr>
          <w:rFonts w:ascii="Arial" w:hAnsi="Arial" w:cs="Arial"/>
        </w:rPr>
        <w:t>curation</w:t>
      </w:r>
      <w:proofErr w:type="spellEnd"/>
      <w:r w:rsidRPr="00C8316E">
        <w:rPr>
          <w:rFonts w:ascii="Arial" w:hAnsi="Arial" w:cs="Arial"/>
        </w:rPr>
        <w:t xml:space="preserve"> process for UKBB is described in detail elsewhere</w:t>
      </w:r>
      <w:r w:rsidR="00FF340E">
        <w:rPr>
          <w:rFonts w:ascii="Arial" w:hAnsi="Arial" w:cs="Arial"/>
        </w:rPr>
        <w:t xml:space="preserve"> (</w:t>
      </w:r>
      <w:proofErr w:type="spellStart"/>
      <w:r w:rsidR="00FF340E">
        <w:rPr>
          <w:rFonts w:ascii="Arial" w:hAnsi="Arial" w:cs="Arial"/>
        </w:rPr>
        <w:t>Bycroft</w:t>
      </w:r>
      <w:proofErr w:type="spellEnd"/>
      <w:r w:rsidR="00FF340E">
        <w:rPr>
          <w:rFonts w:ascii="Arial" w:hAnsi="Arial" w:cs="Arial"/>
        </w:rPr>
        <w:t>, 2017)</w:t>
      </w:r>
      <w:r w:rsidRPr="00C8316E">
        <w:rPr>
          <w:rFonts w:ascii="Arial" w:hAnsi="Arial" w:cs="Arial"/>
        </w:rPr>
        <w:t>. The model included 10,238,000 directly genotyped and imputed variants for 449,186 UKBB samples (14,171 POAG cases and 394,292 controls</w:t>
      </w:r>
      <w:r w:rsidRPr="00FD7203">
        <w:rPr>
          <w:rFonts w:ascii="Arial" w:hAnsi="Arial" w:cs="Arial"/>
        </w:rPr>
        <w:t>).</w:t>
      </w:r>
      <w:r w:rsidR="00FD7203" w:rsidRPr="00173A51">
        <w:rPr>
          <w:rFonts w:ascii="Arial" w:hAnsi="Arial" w:cs="Arial"/>
        </w:rPr>
        <w:t xml:space="preserve"> </w:t>
      </w:r>
      <w:r w:rsidR="00FD7203">
        <w:rPr>
          <w:rFonts w:ascii="Arial" w:hAnsi="Arial" w:cs="Arial"/>
        </w:rPr>
        <w:t xml:space="preserve">The reference panels </w:t>
      </w:r>
      <w:r w:rsidR="00FD7203" w:rsidRPr="00173A51">
        <w:rPr>
          <w:rFonts w:ascii="Arial" w:hAnsi="Arial" w:cs="Arial"/>
        </w:rPr>
        <w:t>1000 Genomes Project</w:t>
      </w:r>
      <w:r w:rsidR="00FD7203">
        <w:rPr>
          <w:rFonts w:ascii="Arial" w:hAnsi="Arial" w:cs="Arial"/>
        </w:rPr>
        <w:t xml:space="preserve"> Phase 3 merged with </w:t>
      </w:r>
      <w:r w:rsidR="00FD7203" w:rsidRPr="00173A51">
        <w:rPr>
          <w:rFonts w:ascii="Arial" w:hAnsi="Arial" w:cs="Arial"/>
        </w:rPr>
        <w:t xml:space="preserve">UK10K, and the Haplotype Reference </w:t>
      </w:r>
      <w:r w:rsidR="00FD7203">
        <w:rPr>
          <w:rFonts w:ascii="Arial" w:hAnsi="Arial" w:cs="Arial"/>
        </w:rPr>
        <w:t>Consortium (HRC) were used for imputation.</w:t>
      </w:r>
      <w:r w:rsidRPr="00C8316E">
        <w:rPr>
          <w:rFonts w:ascii="Arial" w:hAnsi="Arial" w:cs="Arial"/>
        </w:rPr>
        <w:t xml:space="preserve"> A total of 144,009 SNPs with non-zero beta values remained across the autosomes plus selected </w:t>
      </w:r>
      <w:r w:rsidR="005B6AF9">
        <w:rPr>
          <w:rFonts w:ascii="Arial" w:hAnsi="Arial" w:cs="Arial"/>
        </w:rPr>
        <w:t xml:space="preserve">(non-PAR) </w:t>
      </w:r>
      <w:r w:rsidRPr="00C8316E">
        <w:rPr>
          <w:rFonts w:ascii="Arial" w:hAnsi="Arial" w:cs="Arial"/>
        </w:rPr>
        <w:t xml:space="preserve">X chromosome variants after the </w:t>
      </w:r>
      <w:proofErr w:type="spellStart"/>
      <w:r w:rsidR="00972C10">
        <w:rPr>
          <w:rFonts w:ascii="Arial" w:hAnsi="Arial" w:cs="Arial"/>
        </w:rPr>
        <w:t>L</w:t>
      </w:r>
      <w:r w:rsidRPr="00C8316E">
        <w:rPr>
          <w:rFonts w:ascii="Arial" w:hAnsi="Arial" w:cs="Arial"/>
        </w:rPr>
        <w:t>assosum</w:t>
      </w:r>
      <w:proofErr w:type="spellEnd"/>
      <w:r w:rsidRPr="00C8316E">
        <w:rPr>
          <w:rFonts w:ascii="Arial" w:hAnsi="Arial" w:cs="Arial"/>
        </w:rPr>
        <w:t xml:space="preserve"> regression. The calculated weights for these SNPs were used to compute a PRS for 36,217 participants in the MGBB and </w:t>
      </w:r>
      <w:r w:rsidR="00092BA8">
        <w:rPr>
          <w:rFonts w:ascii="Arial" w:hAnsi="Arial" w:cs="Arial"/>
        </w:rPr>
        <w:t>53,4</w:t>
      </w:r>
      <w:r w:rsidR="000D1BBA">
        <w:rPr>
          <w:rFonts w:ascii="Arial" w:hAnsi="Arial" w:cs="Arial"/>
        </w:rPr>
        <w:t>49</w:t>
      </w:r>
      <w:r w:rsidRPr="00C8316E">
        <w:rPr>
          <w:rFonts w:ascii="Arial" w:hAnsi="Arial" w:cs="Arial"/>
        </w:rPr>
        <w:t xml:space="preserve"> participants in the </w:t>
      </w:r>
      <w:proofErr w:type="spellStart"/>
      <w:r w:rsidRPr="00C8316E">
        <w:rPr>
          <w:rFonts w:ascii="Arial" w:hAnsi="Arial" w:cs="Arial"/>
        </w:rPr>
        <w:t>Bio</w:t>
      </w:r>
      <w:r w:rsidRPr="003C7FF7">
        <w:rPr>
          <w:rFonts w:ascii="Arial" w:hAnsi="Arial" w:cs="Arial"/>
          <w:i/>
          <w:iCs/>
        </w:rPr>
        <w:t>Me</w:t>
      </w:r>
      <w:proofErr w:type="spellEnd"/>
      <w:r w:rsidRPr="00C8316E">
        <w:rPr>
          <w:rFonts w:ascii="Arial" w:hAnsi="Arial" w:cs="Arial"/>
        </w:rPr>
        <w:t xml:space="preserve"> </w:t>
      </w:r>
      <w:proofErr w:type="spellStart"/>
      <w:r w:rsidRPr="00C8316E">
        <w:rPr>
          <w:rFonts w:ascii="Arial" w:hAnsi="Arial" w:cs="Arial"/>
        </w:rPr>
        <w:t>Biobank</w:t>
      </w:r>
      <w:proofErr w:type="spellEnd"/>
      <w:r w:rsidRPr="00C8316E">
        <w:rPr>
          <w:rFonts w:ascii="Arial" w:hAnsi="Arial" w:cs="Arial"/>
        </w:rPr>
        <w:t xml:space="preserve"> using the --score function in PLINK. We normalized our PRS to a mean of 0 and a standard deviation of 1 within each genotype-inferred ancestral group to reduce bias due to the higher frequency of certain alleles within an ancestry.</w:t>
      </w:r>
    </w:p>
    <w:p w14:paraId="504EF8DB" w14:textId="0CC409C0" w:rsidR="00584FD0" w:rsidRPr="00C8316E" w:rsidRDefault="008541A2" w:rsidP="00584FD0">
      <w:pPr>
        <w:rPr>
          <w:rFonts w:ascii="Arial" w:hAnsi="Arial" w:cs="Arial"/>
        </w:rPr>
      </w:pPr>
      <w:r w:rsidRPr="00C8316E">
        <w:rPr>
          <w:rFonts w:ascii="Arial" w:hAnsi="Arial" w:cs="Arial"/>
        </w:rPr>
        <w:t xml:space="preserve">This </w:t>
      </w:r>
      <w:r w:rsidR="00584FD0" w:rsidRPr="00C8316E">
        <w:rPr>
          <w:rFonts w:ascii="Arial" w:hAnsi="Arial" w:cs="Arial"/>
        </w:rPr>
        <w:t xml:space="preserve">PRS has been </w:t>
      </w:r>
      <w:r w:rsidRPr="00C8316E">
        <w:rPr>
          <w:rFonts w:ascii="Arial" w:hAnsi="Arial" w:cs="Arial"/>
        </w:rPr>
        <w:t xml:space="preserve">validated and </w:t>
      </w:r>
      <w:r w:rsidR="00584FD0" w:rsidRPr="00C8316E">
        <w:rPr>
          <w:rFonts w:ascii="Arial" w:hAnsi="Arial" w:cs="Arial"/>
        </w:rPr>
        <w:t xml:space="preserve">used in other studies with </w:t>
      </w:r>
      <w:r w:rsidR="00F518EF">
        <w:rPr>
          <w:rFonts w:ascii="Arial" w:hAnsi="Arial" w:cs="Arial"/>
        </w:rPr>
        <w:t>a</w:t>
      </w:r>
      <w:r w:rsidR="006D7BD6">
        <w:rPr>
          <w:rFonts w:ascii="Arial" w:hAnsi="Arial" w:cs="Arial"/>
        </w:rPr>
        <w:t>r</w:t>
      </w:r>
      <w:r w:rsidR="00F518EF">
        <w:rPr>
          <w:rFonts w:ascii="Arial" w:hAnsi="Arial" w:cs="Arial"/>
        </w:rPr>
        <w:t>ea under the curve (</w:t>
      </w:r>
      <w:r w:rsidR="00584FD0" w:rsidRPr="00C8316E">
        <w:rPr>
          <w:rFonts w:ascii="Arial" w:hAnsi="Arial" w:cs="Arial"/>
        </w:rPr>
        <w:t>AUC</w:t>
      </w:r>
      <w:r w:rsidR="00F518EF">
        <w:rPr>
          <w:rFonts w:ascii="Arial" w:hAnsi="Arial" w:cs="Arial"/>
        </w:rPr>
        <w:t>) value</w:t>
      </w:r>
      <w:r w:rsidR="00584FD0" w:rsidRPr="00C8316E">
        <w:rPr>
          <w:rFonts w:ascii="Arial" w:hAnsi="Arial" w:cs="Arial"/>
        </w:rPr>
        <w:t xml:space="preserve">s </w:t>
      </w:r>
      <w:r w:rsidRPr="00C8316E">
        <w:rPr>
          <w:rFonts w:ascii="Arial" w:hAnsi="Arial" w:cs="Arial"/>
        </w:rPr>
        <w:t xml:space="preserve">for glaucoma case discrimination </w:t>
      </w:r>
      <w:r w:rsidR="00584FD0" w:rsidRPr="00C8316E">
        <w:rPr>
          <w:rFonts w:ascii="Arial" w:hAnsi="Arial" w:cs="Arial"/>
        </w:rPr>
        <w:t xml:space="preserve">as high as </w:t>
      </w:r>
      <w:r w:rsidR="00FF340E">
        <w:rPr>
          <w:rFonts w:ascii="Arial" w:hAnsi="Arial" w:cs="Arial"/>
        </w:rPr>
        <w:t>0.82</w:t>
      </w:r>
      <w:r w:rsidR="00584FD0" w:rsidRPr="00C8316E">
        <w:rPr>
          <w:rFonts w:ascii="Arial" w:hAnsi="Arial" w:cs="Arial"/>
        </w:rPr>
        <w:t xml:space="preserve"> in European Caucasians</w:t>
      </w:r>
      <w:r w:rsidR="00FF340E">
        <w:rPr>
          <w:rFonts w:ascii="Arial" w:hAnsi="Arial" w:cs="Arial"/>
        </w:rPr>
        <w:t xml:space="preserve"> (de Vries, 2025)</w:t>
      </w:r>
      <w:r w:rsidR="00584FD0" w:rsidRPr="00C8316E">
        <w:rPr>
          <w:rFonts w:ascii="Arial" w:hAnsi="Arial" w:cs="Arial"/>
        </w:rPr>
        <w:t xml:space="preserve"> and </w:t>
      </w:r>
      <w:r w:rsidR="00052A73">
        <w:rPr>
          <w:rFonts w:ascii="Arial" w:hAnsi="Arial" w:cs="Arial"/>
        </w:rPr>
        <w:t>0.7</w:t>
      </w:r>
      <w:r w:rsidR="00584FD0" w:rsidRPr="00C8316E">
        <w:rPr>
          <w:rFonts w:ascii="Arial" w:hAnsi="Arial" w:cs="Arial"/>
        </w:rPr>
        <w:t xml:space="preserve"> in African ancestries (</w:t>
      </w:r>
      <w:r w:rsidR="00052A73">
        <w:rPr>
          <w:rFonts w:ascii="Arial" w:hAnsi="Arial" w:cs="Arial"/>
        </w:rPr>
        <w:t>Singh, 2024</w:t>
      </w:r>
      <w:r w:rsidR="00584FD0" w:rsidRPr="00C8316E">
        <w:rPr>
          <w:rFonts w:ascii="Arial" w:hAnsi="Arial" w:cs="Arial"/>
        </w:rPr>
        <w:t>).</w:t>
      </w:r>
    </w:p>
    <w:p w14:paraId="0465C9A8" w14:textId="6ABE0B83" w:rsidR="006F7229" w:rsidRPr="00C8316E" w:rsidRDefault="008541A2" w:rsidP="006F7229">
      <w:pPr>
        <w:pStyle w:val="NoSpacing"/>
        <w:rPr>
          <w:rFonts w:ascii="Arial" w:hAnsi="Arial" w:cs="Arial"/>
          <w:sz w:val="22"/>
          <w:szCs w:val="22"/>
        </w:rPr>
      </w:pPr>
      <w:r w:rsidRPr="00C8316E">
        <w:rPr>
          <w:rFonts w:ascii="Arial" w:hAnsi="Arial" w:cs="Arial"/>
          <w:sz w:val="22"/>
          <w:szCs w:val="22"/>
          <w:u w:val="single"/>
        </w:rPr>
        <w:t>Clinical exam</w:t>
      </w:r>
      <w:r w:rsidRPr="00C8316E">
        <w:rPr>
          <w:rFonts w:ascii="Arial" w:hAnsi="Arial" w:cs="Arial"/>
          <w:sz w:val="22"/>
          <w:szCs w:val="22"/>
        </w:rPr>
        <w:t xml:space="preserve">: </w:t>
      </w:r>
      <w:r w:rsidR="006F7229" w:rsidRPr="00C8316E">
        <w:rPr>
          <w:rFonts w:ascii="Arial" w:hAnsi="Arial" w:cs="Arial"/>
          <w:sz w:val="22"/>
          <w:szCs w:val="22"/>
        </w:rPr>
        <w:t xml:space="preserve">Using standard protocols the study visit included 1) </w:t>
      </w:r>
      <w:proofErr w:type="spellStart"/>
      <w:r w:rsidR="00CF508B">
        <w:rPr>
          <w:rFonts w:ascii="Arial" w:hAnsi="Arial" w:cs="Arial"/>
          <w:sz w:val="22"/>
          <w:szCs w:val="22"/>
        </w:rPr>
        <w:t>LogM</w:t>
      </w:r>
      <w:r w:rsidR="00642B34">
        <w:rPr>
          <w:rFonts w:ascii="Arial" w:hAnsi="Arial" w:cs="Arial"/>
          <w:sz w:val="22"/>
          <w:szCs w:val="22"/>
        </w:rPr>
        <w:t>AR</w:t>
      </w:r>
      <w:proofErr w:type="spellEnd"/>
      <w:r w:rsidR="00CF508B">
        <w:rPr>
          <w:rFonts w:ascii="Arial" w:hAnsi="Arial" w:cs="Arial"/>
          <w:sz w:val="22"/>
          <w:szCs w:val="22"/>
        </w:rPr>
        <w:t xml:space="preserve"> </w:t>
      </w:r>
      <w:r w:rsidR="00E41FF4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E41FF4">
        <w:rPr>
          <w:rFonts w:ascii="Arial" w:hAnsi="Arial" w:cs="Arial"/>
          <w:sz w:val="22"/>
          <w:szCs w:val="22"/>
        </w:rPr>
        <w:t>Sellen</w:t>
      </w:r>
      <w:proofErr w:type="spellEnd"/>
      <w:r w:rsidR="00E41FF4">
        <w:rPr>
          <w:rFonts w:ascii="Arial" w:hAnsi="Arial" w:cs="Arial"/>
          <w:sz w:val="22"/>
          <w:szCs w:val="22"/>
        </w:rPr>
        <w:t xml:space="preserve"> </w:t>
      </w:r>
      <w:r w:rsidR="00524A0B">
        <w:rPr>
          <w:rFonts w:ascii="Arial" w:hAnsi="Arial" w:cs="Arial"/>
          <w:sz w:val="22"/>
          <w:szCs w:val="22"/>
        </w:rPr>
        <w:t>v</w:t>
      </w:r>
      <w:r w:rsidR="006F7229" w:rsidRPr="00C8316E">
        <w:rPr>
          <w:rFonts w:ascii="Arial" w:hAnsi="Arial" w:cs="Arial"/>
          <w:sz w:val="22"/>
          <w:szCs w:val="22"/>
        </w:rPr>
        <w:t xml:space="preserve">isual acuity; </w:t>
      </w:r>
      <w:r w:rsidR="001C3E3C">
        <w:rPr>
          <w:rFonts w:ascii="Arial" w:hAnsi="Arial" w:cs="Arial"/>
          <w:sz w:val="22"/>
          <w:szCs w:val="22"/>
        </w:rPr>
        <w:t xml:space="preserve">2) </w:t>
      </w:r>
      <w:proofErr w:type="spellStart"/>
      <w:r w:rsidR="001C3E3C">
        <w:rPr>
          <w:rFonts w:ascii="Arial" w:hAnsi="Arial" w:cs="Arial"/>
          <w:sz w:val="22"/>
          <w:szCs w:val="22"/>
        </w:rPr>
        <w:t>Autorefraction</w:t>
      </w:r>
      <w:proofErr w:type="spellEnd"/>
      <w:r w:rsidR="001C3E3C">
        <w:rPr>
          <w:rFonts w:ascii="Arial" w:hAnsi="Arial" w:cs="Arial"/>
          <w:sz w:val="22"/>
          <w:szCs w:val="22"/>
        </w:rPr>
        <w:t>; 3</w:t>
      </w:r>
      <w:r w:rsidR="006F7229" w:rsidRPr="00C8316E">
        <w:rPr>
          <w:rFonts w:ascii="Arial" w:hAnsi="Arial" w:cs="Arial"/>
          <w:sz w:val="22"/>
          <w:szCs w:val="22"/>
        </w:rPr>
        <w:t xml:space="preserve">) Intraocular pressure measurement (IOP) with </w:t>
      </w:r>
      <w:proofErr w:type="spellStart"/>
      <w:r w:rsidR="006F7229" w:rsidRPr="00C8316E">
        <w:rPr>
          <w:rFonts w:ascii="Arial" w:hAnsi="Arial" w:cs="Arial"/>
          <w:sz w:val="22"/>
          <w:szCs w:val="22"/>
        </w:rPr>
        <w:t>Goldmann</w:t>
      </w:r>
      <w:proofErr w:type="spellEnd"/>
      <w:r w:rsidR="006F7229" w:rsidRPr="00C831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7229" w:rsidRPr="00C8316E">
        <w:rPr>
          <w:rFonts w:ascii="Arial" w:hAnsi="Arial" w:cs="Arial"/>
          <w:sz w:val="22"/>
          <w:szCs w:val="22"/>
        </w:rPr>
        <w:t>applanation</w:t>
      </w:r>
      <w:proofErr w:type="spellEnd"/>
      <w:r w:rsidR="006F7229" w:rsidRPr="00C8316E">
        <w:rPr>
          <w:rFonts w:ascii="Arial" w:hAnsi="Arial" w:cs="Arial"/>
          <w:sz w:val="22"/>
          <w:szCs w:val="22"/>
        </w:rPr>
        <w:t xml:space="preserve"> tonometry (me</w:t>
      </w:r>
      <w:r w:rsidR="00867EC5">
        <w:rPr>
          <w:rFonts w:ascii="Arial" w:hAnsi="Arial" w:cs="Arial"/>
          <w:sz w:val="22"/>
          <w:szCs w:val="22"/>
        </w:rPr>
        <w:t>an</w:t>
      </w:r>
      <w:r w:rsidR="006F7229" w:rsidRPr="00C8316E">
        <w:rPr>
          <w:rFonts w:ascii="Arial" w:hAnsi="Arial" w:cs="Arial"/>
          <w:sz w:val="22"/>
          <w:szCs w:val="22"/>
        </w:rPr>
        <w:t xml:space="preserve"> of </w:t>
      </w:r>
      <w:r w:rsidR="001D1D49">
        <w:rPr>
          <w:rFonts w:ascii="Arial" w:hAnsi="Arial" w:cs="Arial"/>
          <w:sz w:val="22"/>
          <w:szCs w:val="22"/>
        </w:rPr>
        <w:t>2</w:t>
      </w:r>
      <w:r w:rsidR="006F7229" w:rsidRPr="00C8316E">
        <w:rPr>
          <w:rFonts w:ascii="Arial" w:hAnsi="Arial" w:cs="Arial"/>
          <w:sz w:val="22"/>
          <w:szCs w:val="22"/>
        </w:rPr>
        <w:t xml:space="preserve"> </w:t>
      </w:r>
      <w:r w:rsidR="00867EC5">
        <w:rPr>
          <w:rFonts w:ascii="Arial" w:hAnsi="Arial" w:cs="Arial"/>
          <w:sz w:val="22"/>
          <w:szCs w:val="22"/>
        </w:rPr>
        <w:t xml:space="preserve">or 3 </w:t>
      </w:r>
      <w:r w:rsidR="006F7229" w:rsidRPr="00C8316E">
        <w:rPr>
          <w:rFonts w:ascii="Arial" w:hAnsi="Arial" w:cs="Arial"/>
          <w:sz w:val="22"/>
          <w:szCs w:val="22"/>
        </w:rPr>
        <w:t xml:space="preserve">masked measures); </w:t>
      </w:r>
      <w:r w:rsidR="001C3E3C">
        <w:rPr>
          <w:rFonts w:ascii="Arial" w:hAnsi="Arial" w:cs="Arial"/>
          <w:sz w:val="22"/>
          <w:szCs w:val="22"/>
        </w:rPr>
        <w:t>4</w:t>
      </w:r>
      <w:r w:rsidR="006F7229" w:rsidRPr="00C8316E">
        <w:rPr>
          <w:rFonts w:ascii="Arial" w:hAnsi="Arial" w:cs="Arial"/>
          <w:sz w:val="22"/>
          <w:szCs w:val="22"/>
        </w:rPr>
        <w:t xml:space="preserve">) Ocular Response Analyzer IOP and corneal hysteresis; 5) Visual field assessment using the Humphrey visual field (HVF), SITA 24-2 standard testing; 6) Spectral domain </w:t>
      </w:r>
      <w:r w:rsidR="00BC7420">
        <w:rPr>
          <w:rFonts w:ascii="Arial" w:hAnsi="Arial" w:cs="Arial"/>
          <w:sz w:val="22"/>
          <w:szCs w:val="22"/>
        </w:rPr>
        <w:t>o</w:t>
      </w:r>
      <w:r w:rsidR="006F7229" w:rsidRPr="00C8316E">
        <w:rPr>
          <w:rFonts w:ascii="Arial" w:hAnsi="Arial" w:cs="Arial"/>
          <w:sz w:val="22"/>
          <w:szCs w:val="22"/>
        </w:rPr>
        <w:t>ptical coherence tomography (OCT) of the macula</w:t>
      </w:r>
      <w:r w:rsidR="001D1D4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D1D49">
        <w:rPr>
          <w:rFonts w:ascii="Arial" w:hAnsi="Arial" w:cs="Arial"/>
          <w:sz w:val="22"/>
          <w:szCs w:val="22"/>
        </w:rPr>
        <w:t>circumpapillary</w:t>
      </w:r>
      <w:proofErr w:type="spellEnd"/>
      <w:r w:rsidR="001D1D49">
        <w:rPr>
          <w:rFonts w:ascii="Arial" w:hAnsi="Arial" w:cs="Arial"/>
          <w:sz w:val="22"/>
          <w:szCs w:val="22"/>
        </w:rPr>
        <w:t xml:space="preserve"> retina</w:t>
      </w:r>
      <w:r w:rsidR="00DF224A">
        <w:rPr>
          <w:rFonts w:ascii="Arial" w:hAnsi="Arial" w:cs="Arial"/>
          <w:sz w:val="22"/>
          <w:szCs w:val="22"/>
        </w:rPr>
        <w:t xml:space="preserve">, </w:t>
      </w:r>
      <w:r w:rsidR="006F7229" w:rsidRPr="00C8316E">
        <w:rPr>
          <w:rFonts w:ascii="Arial" w:hAnsi="Arial" w:cs="Arial"/>
          <w:sz w:val="22"/>
          <w:szCs w:val="22"/>
        </w:rPr>
        <w:t>optic nerve</w:t>
      </w:r>
      <w:r w:rsidR="00DF224A">
        <w:rPr>
          <w:rFonts w:ascii="Arial" w:hAnsi="Arial" w:cs="Arial"/>
          <w:sz w:val="22"/>
          <w:szCs w:val="22"/>
        </w:rPr>
        <w:t>, and retinal vesse</w:t>
      </w:r>
      <w:r w:rsidR="00972C10">
        <w:rPr>
          <w:rFonts w:ascii="Arial" w:hAnsi="Arial" w:cs="Arial"/>
          <w:sz w:val="22"/>
          <w:szCs w:val="22"/>
        </w:rPr>
        <w:t>ls</w:t>
      </w:r>
      <w:r w:rsidR="006F7229" w:rsidRPr="00C8316E">
        <w:rPr>
          <w:rFonts w:ascii="Arial" w:hAnsi="Arial" w:cs="Arial"/>
          <w:sz w:val="22"/>
          <w:szCs w:val="22"/>
        </w:rPr>
        <w:t xml:space="preserve"> (Heidelberg); 7) Optic nerve centered fundus photography</w:t>
      </w:r>
      <w:r w:rsidR="00A72B53">
        <w:rPr>
          <w:rFonts w:ascii="Arial" w:hAnsi="Arial" w:cs="Arial"/>
          <w:sz w:val="22"/>
          <w:szCs w:val="22"/>
        </w:rPr>
        <w:t xml:space="preserve">; 8) </w:t>
      </w:r>
      <w:r w:rsidR="00B31606">
        <w:rPr>
          <w:rFonts w:ascii="Arial" w:hAnsi="Arial" w:cs="Arial"/>
          <w:sz w:val="22"/>
          <w:szCs w:val="22"/>
        </w:rPr>
        <w:t>S</w:t>
      </w:r>
      <w:r w:rsidR="00A72B53">
        <w:rPr>
          <w:rFonts w:ascii="Arial" w:hAnsi="Arial" w:cs="Arial"/>
          <w:sz w:val="22"/>
          <w:szCs w:val="22"/>
        </w:rPr>
        <w:t xml:space="preserve">lit lamp </w:t>
      </w:r>
      <w:proofErr w:type="spellStart"/>
      <w:r w:rsidR="00A72B53">
        <w:rPr>
          <w:rFonts w:ascii="Arial" w:hAnsi="Arial" w:cs="Arial"/>
          <w:sz w:val="22"/>
          <w:szCs w:val="22"/>
        </w:rPr>
        <w:t>biomicroscopy</w:t>
      </w:r>
      <w:proofErr w:type="spellEnd"/>
      <w:r w:rsidR="00F7730C">
        <w:rPr>
          <w:rFonts w:ascii="Arial" w:hAnsi="Arial" w:cs="Arial"/>
          <w:sz w:val="22"/>
          <w:szCs w:val="22"/>
        </w:rPr>
        <w:t xml:space="preserve">; 9) </w:t>
      </w:r>
      <w:proofErr w:type="spellStart"/>
      <w:r w:rsidR="00B31606">
        <w:rPr>
          <w:rFonts w:ascii="Arial" w:hAnsi="Arial" w:cs="Arial"/>
          <w:sz w:val="22"/>
          <w:szCs w:val="22"/>
        </w:rPr>
        <w:t>G</w:t>
      </w:r>
      <w:r w:rsidR="00F7730C">
        <w:rPr>
          <w:rFonts w:ascii="Arial" w:hAnsi="Arial" w:cs="Arial"/>
          <w:sz w:val="22"/>
          <w:szCs w:val="22"/>
        </w:rPr>
        <w:t>onioscopy</w:t>
      </w:r>
      <w:proofErr w:type="spellEnd"/>
      <w:r w:rsidR="00F7730C">
        <w:rPr>
          <w:rFonts w:ascii="Arial" w:hAnsi="Arial" w:cs="Arial"/>
          <w:sz w:val="22"/>
          <w:szCs w:val="22"/>
        </w:rPr>
        <w:t xml:space="preserve">; 10) </w:t>
      </w:r>
      <w:r w:rsidR="00B31606">
        <w:rPr>
          <w:rFonts w:ascii="Arial" w:hAnsi="Arial" w:cs="Arial"/>
          <w:sz w:val="22"/>
          <w:szCs w:val="22"/>
        </w:rPr>
        <w:t>F</w:t>
      </w:r>
      <w:r w:rsidR="00F7730C">
        <w:rPr>
          <w:rFonts w:ascii="Arial" w:hAnsi="Arial" w:cs="Arial"/>
          <w:sz w:val="22"/>
          <w:szCs w:val="22"/>
        </w:rPr>
        <w:t>undus examination</w:t>
      </w:r>
      <w:r w:rsidR="00065E02">
        <w:rPr>
          <w:rFonts w:ascii="Arial" w:hAnsi="Arial" w:cs="Arial"/>
          <w:sz w:val="22"/>
          <w:szCs w:val="22"/>
        </w:rPr>
        <w:t>;</w:t>
      </w:r>
      <w:r w:rsidR="00B93BCE">
        <w:rPr>
          <w:rFonts w:ascii="Arial" w:hAnsi="Arial" w:cs="Arial"/>
          <w:sz w:val="22"/>
          <w:szCs w:val="22"/>
        </w:rPr>
        <w:t xml:space="preserve"> 11) Central corneal thickness measured with ultrasound</w:t>
      </w:r>
      <w:r w:rsidR="000E7070">
        <w:rPr>
          <w:rFonts w:ascii="Arial" w:hAnsi="Arial" w:cs="Arial"/>
          <w:sz w:val="22"/>
          <w:szCs w:val="22"/>
        </w:rPr>
        <w:t>, and</w:t>
      </w:r>
      <w:r w:rsidR="00051D8E">
        <w:rPr>
          <w:rFonts w:ascii="Arial" w:hAnsi="Arial" w:cs="Arial"/>
          <w:sz w:val="22"/>
          <w:szCs w:val="22"/>
        </w:rPr>
        <w:t>;</w:t>
      </w:r>
      <w:r w:rsidR="000E7070">
        <w:rPr>
          <w:rFonts w:ascii="Arial" w:hAnsi="Arial" w:cs="Arial"/>
          <w:sz w:val="22"/>
          <w:szCs w:val="22"/>
        </w:rPr>
        <w:t xml:space="preserve"> 12) Ocular biometry</w:t>
      </w:r>
      <w:r w:rsidR="00430BDA">
        <w:rPr>
          <w:rFonts w:ascii="Arial" w:hAnsi="Arial" w:cs="Arial"/>
          <w:sz w:val="22"/>
          <w:szCs w:val="22"/>
        </w:rPr>
        <w:t>.</w:t>
      </w:r>
    </w:p>
    <w:p w14:paraId="512574A8" w14:textId="77777777" w:rsidR="006F7229" w:rsidRPr="00C8316E" w:rsidRDefault="006F7229" w:rsidP="00584FD0">
      <w:pPr>
        <w:rPr>
          <w:rFonts w:ascii="Arial" w:hAnsi="Arial" w:cs="Arial"/>
          <w:i/>
        </w:rPr>
      </w:pPr>
    </w:p>
    <w:p w14:paraId="5142BFA6" w14:textId="28326D15" w:rsidR="008541A2" w:rsidRPr="00C8316E" w:rsidRDefault="008541A2" w:rsidP="00584FD0">
      <w:pPr>
        <w:rPr>
          <w:rFonts w:ascii="Arial" w:hAnsi="Arial" w:cs="Arial"/>
        </w:rPr>
      </w:pPr>
      <w:r w:rsidRPr="00173A51">
        <w:rPr>
          <w:rFonts w:ascii="Arial" w:hAnsi="Arial" w:cs="Arial"/>
          <w:i/>
          <w:u w:val="single"/>
        </w:rPr>
        <w:t>Glaucoma definitions</w:t>
      </w:r>
      <w:r w:rsidRPr="00C8316E">
        <w:rPr>
          <w:rFonts w:ascii="Arial" w:hAnsi="Arial" w:cs="Arial"/>
        </w:rPr>
        <w:t>:</w:t>
      </w:r>
    </w:p>
    <w:p w14:paraId="1A8E8A56" w14:textId="7E99908B" w:rsidR="006F7229" w:rsidRPr="00C8316E" w:rsidRDefault="006F7229" w:rsidP="006F7229">
      <w:pPr>
        <w:rPr>
          <w:rFonts w:ascii="Arial" w:hAnsi="Arial" w:cs="Arial"/>
          <w:color w:val="212121"/>
        </w:rPr>
      </w:pPr>
      <w:r w:rsidRPr="00C8316E">
        <w:rPr>
          <w:rFonts w:ascii="Arial" w:hAnsi="Arial" w:cs="Arial"/>
          <w:b/>
          <w:bCs/>
          <w:color w:val="212121"/>
          <w:shd w:val="clear" w:color="auto" w:fill="FFFFFF"/>
        </w:rPr>
        <w:t>Definite POAG:</w:t>
      </w:r>
      <w:r w:rsidRPr="00C8316E">
        <w:rPr>
          <w:rFonts w:ascii="Arial" w:hAnsi="Arial" w:cs="Arial"/>
          <w:color w:val="212121"/>
          <w:shd w:val="clear" w:color="auto" w:fill="FFFFFF"/>
        </w:rPr>
        <w:t> </w:t>
      </w:r>
      <w:proofErr w:type="spellStart"/>
      <w:r w:rsidR="00C8316E" w:rsidRPr="00C8316E">
        <w:rPr>
          <w:rFonts w:ascii="Arial" w:hAnsi="Arial" w:cs="Arial"/>
        </w:rPr>
        <w:t>circumpapillary</w:t>
      </w:r>
      <w:proofErr w:type="spellEnd"/>
      <w:r w:rsidR="00C8316E" w:rsidRPr="00C8316E">
        <w:rPr>
          <w:rFonts w:ascii="Arial" w:hAnsi="Arial" w:cs="Arial"/>
        </w:rPr>
        <w:t xml:space="preserve"> retinal nerve fiber layer (</w:t>
      </w:r>
      <w:proofErr w:type="spellStart"/>
      <w:r w:rsidRPr="00C8316E">
        <w:rPr>
          <w:rFonts w:ascii="Arial" w:hAnsi="Arial" w:cs="Arial"/>
          <w:color w:val="212121"/>
          <w:shd w:val="clear" w:color="auto" w:fill="FFFFFF"/>
        </w:rPr>
        <w:t>cpRNFL</w:t>
      </w:r>
      <w:proofErr w:type="spellEnd"/>
      <w:r w:rsidR="00C8316E" w:rsidRPr="00C8316E">
        <w:rPr>
          <w:rFonts w:ascii="Arial" w:hAnsi="Arial" w:cs="Arial"/>
          <w:color w:val="212121"/>
          <w:shd w:val="clear" w:color="auto" w:fill="FFFFFF"/>
        </w:rPr>
        <w:t>)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 with a classification of outside normal limits (ONL) (p&lt;0.01) confirmed with </w:t>
      </w:r>
      <w:r w:rsidR="004B6943">
        <w:rPr>
          <w:rFonts w:ascii="Arial" w:hAnsi="Arial" w:cs="Arial"/>
        </w:rPr>
        <w:t>m</w:t>
      </w:r>
      <w:r w:rsidR="00C8316E" w:rsidRPr="00C8316E">
        <w:rPr>
          <w:rFonts w:ascii="Arial" w:hAnsi="Arial" w:cs="Arial"/>
        </w:rPr>
        <w:t>inimal rim width analysis (</w:t>
      </w:r>
      <w:r w:rsidRPr="00C8316E">
        <w:rPr>
          <w:rFonts w:ascii="Arial" w:hAnsi="Arial" w:cs="Arial"/>
          <w:color w:val="212121"/>
          <w:shd w:val="clear" w:color="auto" w:fill="FFFFFF"/>
        </w:rPr>
        <w:t>MRWA</w:t>
      </w:r>
      <w:r w:rsidR="00C8316E" w:rsidRPr="00C8316E">
        <w:rPr>
          <w:rFonts w:ascii="Arial" w:hAnsi="Arial" w:cs="Arial"/>
          <w:color w:val="212121"/>
          <w:shd w:val="clear" w:color="auto" w:fill="FFFFFF"/>
        </w:rPr>
        <w:t>)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 with correlating </w:t>
      </w:r>
      <w:r w:rsidR="00C8316E" w:rsidRPr="00C8316E">
        <w:rPr>
          <w:rFonts w:ascii="Arial" w:hAnsi="Arial" w:cs="Arial"/>
          <w:color w:val="212121"/>
          <w:shd w:val="clear" w:color="auto" w:fill="FFFFFF"/>
        </w:rPr>
        <w:t>visual field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 loss and/or optic nerve photo consistent with glaucoma per two independent graders.</w:t>
      </w:r>
      <w:r w:rsidR="005C31D9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695DC9CD" w14:textId="6979B892" w:rsidR="006F7229" w:rsidRPr="00C8316E" w:rsidRDefault="006F7229" w:rsidP="006F7229">
      <w:pPr>
        <w:rPr>
          <w:rFonts w:ascii="Arial" w:hAnsi="Arial" w:cs="Arial"/>
          <w:color w:val="212121"/>
        </w:rPr>
      </w:pPr>
      <w:r w:rsidRPr="00C8316E">
        <w:rPr>
          <w:rFonts w:ascii="Arial" w:hAnsi="Arial" w:cs="Arial"/>
          <w:b/>
          <w:bCs/>
          <w:color w:val="212121"/>
          <w:shd w:val="clear" w:color="auto" w:fill="FFFFFF"/>
        </w:rPr>
        <w:t>Probable POAG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: either the </w:t>
      </w:r>
      <w:proofErr w:type="spellStart"/>
      <w:r w:rsidRPr="00C8316E">
        <w:rPr>
          <w:rFonts w:ascii="Arial" w:hAnsi="Arial" w:cs="Arial"/>
          <w:color w:val="212121"/>
          <w:shd w:val="clear" w:color="auto" w:fill="FFFFFF"/>
        </w:rPr>
        <w:t>cpRNFL</w:t>
      </w:r>
      <w:proofErr w:type="spellEnd"/>
      <w:r w:rsidRPr="00C8316E">
        <w:rPr>
          <w:rFonts w:ascii="Arial" w:hAnsi="Arial" w:cs="Arial"/>
          <w:color w:val="212121"/>
          <w:shd w:val="clear" w:color="auto" w:fill="FFFFFF"/>
        </w:rPr>
        <w:t xml:space="preserve"> or MRWA report provides a classification of ONL with suggestive visual field loss and probable glaucoma when viewing the optic nerve, per two independent graders</w:t>
      </w:r>
      <w:r w:rsidR="008F1ED5">
        <w:rPr>
          <w:rFonts w:ascii="Arial" w:hAnsi="Arial" w:cs="Arial"/>
          <w:color w:val="212121"/>
          <w:shd w:val="clear" w:color="auto" w:fill="FFFFFF"/>
        </w:rPr>
        <w:t>.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4E139F07" w14:textId="0ECF5653" w:rsidR="006F7229" w:rsidRPr="00C8316E" w:rsidRDefault="006F7229" w:rsidP="006F7229">
      <w:pPr>
        <w:rPr>
          <w:rFonts w:ascii="Arial" w:hAnsi="Arial" w:cs="Arial"/>
          <w:color w:val="212121"/>
        </w:rPr>
      </w:pPr>
      <w:r w:rsidRPr="00C8316E">
        <w:rPr>
          <w:rFonts w:ascii="Arial" w:hAnsi="Arial" w:cs="Arial"/>
          <w:b/>
          <w:bCs/>
          <w:color w:val="212121"/>
          <w:shd w:val="clear" w:color="auto" w:fill="FFFFFF"/>
        </w:rPr>
        <w:t>Possible POAG (Glaucoma suspect): 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either the </w:t>
      </w:r>
      <w:proofErr w:type="spellStart"/>
      <w:r w:rsidRPr="00C8316E">
        <w:rPr>
          <w:rFonts w:ascii="Arial" w:hAnsi="Arial" w:cs="Arial"/>
          <w:color w:val="212121"/>
          <w:shd w:val="clear" w:color="auto" w:fill="FFFFFF"/>
        </w:rPr>
        <w:t>cpRNFL</w:t>
      </w:r>
      <w:proofErr w:type="spellEnd"/>
      <w:r w:rsidRPr="00C8316E">
        <w:rPr>
          <w:rFonts w:ascii="Arial" w:hAnsi="Arial" w:cs="Arial"/>
          <w:color w:val="212121"/>
          <w:shd w:val="clear" w:color="auto" w:fill="FFFFFF"/>
        </w:rPr>
        <w:t xml:space="preserve"> or MRWA report provides a classification of borderline (p&lt;0.05)</w:t>
      </w:r>
      <w:r w:rsidR="007C625B">
        <w:rPr>
          <w:rFonts w:ascii="Arial" w:hAnsi="Arial" w:cs="Arial"/>
          <w:color w:val="212121"/>
          <w:shd w:val="clear" w:color="auto" w:fill="FFFFFF"/>
        </w:rPr>
        <w:t>,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 or the optic nerve appears possibly glaucomatous by two independent graders based on optic nerve photos.</w:t>
      </w:r>
    </w:p>
    <w:p w14:paraId="61C8BC69" w14:textId="3ACC67F7" w:rsidR="006F7229" w:rsidRPr="00C8316E" w:rsidRDefault="006F7229" w:rsidP="006F7229">
      <w:pPr>
        <w:rPr>
          <w:rFonts w:ascii="Arial" w:hAnsi="Arial" w:cs="Arial"/>
          <w:color w:val="212121"/>
        </w:rPr>
      </w:pPr>
      <w:r w:rsidRPr="00C8316E">
        <w:rPr>
          <w:rFonts w:ascii="Arial" w:hAnsi="Arial" w:cs="Arial"/>
          <w:b/>
          <w:bCs/>
          <w:color w:val="212121"/>
          <w:shd w:val="clear" w:color="auto" w:fill="FFFFFF"/>
        </w:rPr>
        <w:t>Not Glaucoma: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 The </w:t>
      </w:r>
      <w:proofErr w:type="spellStart"/>
      <w:r w:rsidRPr="00C8316E">
        <w:rPr>
          <w:rFonts w:ascii="Arial" w:hAnsi="Arial" w:cs="Arial"/>
          <w:color w:val="212121"/>
          <w:shd w:val="clear" w:color="auto" w:fill="FFFFFF"/>
        </w:rPr>
        <w:t>cpRNFL</w:t>
      </w:r>
      <w:proofErr w:type="spellEnd"/>
      <w:r w:rsidRPr="00C8316E">
        <w:rPr>
          <w:rFonts w:ascii="Arial" w:hAnsi="Arial" w:cs="Arial"/>
          <w:color w:val="212121"/>
          <w:shd w:val="clear" w:color="auto" w:fill="FFFFFF"/>
        </w:rPr>
        <w:t xml:space="preserve"> and the MRWA reports reveal a classification of within normal limits (p&gt;0.05)</w:t>
      </w:r>
      <w:r w:rsidR="007C625B">
        <w:rPr>
          <w:rFonts w:ascii="Arial" w:hAnsi="Arial" w:cs="Arial"/>
          <w:color w:val="212121"/>
          <w:shd w:val="clear" w:color="auto" w:fill="FFFFFF"/>
        </w:rPr>
        <w:t>,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 and the optic nerve appears healthy</w:t>
      </w:r>
      <w:r w:rsidR="001A5A9E">
        <w:rPr>
          <w:rFonts w:ascii="Arial" w:hAnsi="Arial" w:cs="Arial"/>
          <w:color w:val="212121"/>
          <w:shd w:val="clear" w:color="auto" w:fill="FFFFFF"/>
        </w:rPr>
        <w:t>,</w:t>
      </w:r>
      <w:r w:rsidR="00791215">
        <w:rPr>
          <w:rFonts w:ascii="Arial" w:hAnsi="Arial" w:cs="Arial"/>
          <w:color w:val="212121"/>
          <w:shd w:val="clear" w:color="auto" w:fill="FFFFFF"/>
        </w:rPr>
        <w:t xml:space="preserve"> determined by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 two independent graders reviewing optic nerve photos.</w:t>
      </w:r>
    </w:p>
    <w:p w14:paraId="6CF1056C" w14:textId="5F11C7B3" w:rsidR="006F7229" w:rsidRPr="00C8316E" w:rsidRDefault="006F7229" w:rsidP="006F7229">
      <w:pPr>
        <w:rPr>
          <w:rFonts w:ascii="Arial" w:hAnsi="Arial" w:cs="Arial"/>
          <w:color w:val="212121"/>
        </w:rPr>
      </w:pPr>
      <w:r w:rsidRPr="00C8316E">
        <w:rPr>
          <w:rFonts w:ascii="Arial" w:hAnsi="Arial" w:cs="Arial"/>
          <w:b/>
          <w:bCs/>
          <w:color w:val="212121"/>
          <w:shd w:val="clear" w:color="auto" w:fill="FFFFFF"/>
        </w:rPr>
        <w:t>Censored: 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Unable to grade because OCT and optic nerve photo findings could be due to secondary conditions, and insufficient past ocular history is available to rule out secondary glaucoma or non-glaucomatous optic nerve disease. When the OCT </w:t>
      </w:r>
      <w:r w:rsidR="00982815">
        <w:rPr>
          <w:rFonts w:ascii="Arial" w:hAnsi="Arial" w:cs="Arial"/>
          <w:color w:val="212121"/>
          <w:shd w:val="clear" w:color="auto" w:fill="FFFFFF"/>
        </w:rPr>
        <w:t>wa</w:t>
      </w:r>
      <w:r w:rsidRPr="00C8316E">
        <w:rPr>
          <w:rFonts w:ascii="Arial" w:hAnsi="Arial" w:cs="Arial"/>
          <w:color w:val="212121"/>
          <w:shd w:val="clear" w:color="auto" w:fill="FFFFFF"/>
        </w:rPr>
        <w:t xml:space="preserve">s not useful, we graded glaucoma status based on available fundus photographs and HVF data. </w:t>
      </w:r>
    </w:p>
    <w:p w14:paraId="475F8988" w14:textId="77777777" w:rsidR="00E07A0B" w:rsidRDefault="00E07A0B" w:rsidP="00584FD0">
      <w:pPr>
        <w:rPr>
          <w:rFonts w:ascii="Arial" w:hAnsi="Arial" w:cs="Arial"/>
        </w:rPr>
      </w:pPr>
    </w:p>
    <w:p w14:paraId="715EE813" w14:textId="77777777" w:rsidR="00700FF1" w:rsidRDefault="00700FF1" w:rsidP="00584FD0">
      <w:pPr>
        <w:rPr>
          <w:rFonts w:ascii="Arial" w:hAnsi="Arial" w:cs="Arial"/>
        </w:rPr>
      </w:pPr>
    </w:p>
    <w:p w14:paraId="747C210C" w14:textId="77777777" w:rsidR="00700FF1" w:rsidRDefault="00700FF1" w:rsidP="00700FF1">
      <w:pPr>
        <w:spacing w:after="240" w:line="360" w:lineRule="auto"/>
        <w:jc w:val="both"/>
        <w:rPr>
          <w:rFonts w:ascii="Arial" w:hAnsi="Arial" w:cs="Arial"/>
          <w:b/>
        </w:rPr>
      </w:pPr>
      <w:r w:rsidRPr="007A4D08">
        <w:rPr>
          <w:rFonts w:ascii="Arial" w:hAnsi="Arial" w:cs="Arial"/>
          <w:b/>
        </w:rPr>
        <w:t>Supplemental Figure 1.  Selection of study participants for recall and glaucoma assessment</w:t>
      </w:r>
    </w:p>
    <w:p w14:paraId="53BE2204" w14:textId="33DA283E" w:rsidR="006D7BD6" w:rsidRPr="007A4D08" w:rsidRDefault="00B54865" w:rsidP="00700FF1">
      <w:pPr>
        <w:spacing w:after="240" w:line="360" w:lineRule="auto"/>
        <w:jc w:val="both"/>
        <w:rPr>
          <w:rFonts w:ascii="Arial" w:hAnsi="Arial" w:cs="Arial"/>
          <w:b/>
        </w:rPr>
      </w:pPr>
      <w:r w:rsidRPr="00B54865">
        <w:rPr>
          <w:rFonts w:ascii="Arial" w:hAnsi="Arial" w:cs="Arial"/>
          <w:b/>
          <w:noProof/>
        </w:rPr>
        <w:drawing>
          <wp:inline distT="0" distB="0" distL="0" distR="0" wp14:anchorId="679FEB03" wp14:editId="43FBF45B">
            <wp:extent cx="5937250" cy="3498850"/>
            <wp:effectExtent l="0" t="0" r="6350" b="6350"/>
            <wp:docPr id="2" name="Picture 2" descr="C:\Users\wiggsj\AppData\Local\Microsoft\Windows\INetCache\Content.Outlook\14GWY0T7\Supp_Fig1_2025_07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ggsj\AppData\Local\Microsoft\Windows\INetCache\Content.Outlook\14GWY0T7\Supp_Fig1_2025_07_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B302" w14:textId="5497D1D5" w:rsidR="00700FF1" w:rsidRDefault="00700FF1" w:rsidP="00700FF1">
      <w:pPr>
        <w:rPr>
          <w:rFonts w:ascii="Times New Roman" w:hAnsi="Times New Roman" w:cs="Times New Roman"/>
        </w:rPr>
      </w:pPr>
    </w:p>
    <w:p w14:paraId="2E593399" w14:textId="1ADB8A90" w:rsidR="00700FF1" w:rsidRPr="007A4D08" w:rsidRDefault="00700FF1" w:rsidP="00700FF1">
      <w:pPr>
        <w:spacing w:after="240" w:line="360" w:lineRule="auto"/>
        <w:jc w:val="both"/>
        <w:rPr>
          <w:rFonts w:ascii="Arial" w:hAnsi="Arial" w:cs="Arial"/>
        </w:rPr>
      </w:pPr>
      <w:r w:rsidRPr="007A4D08">
        <w:rPr>
          <w:rFonts w:ascii="Arial" w:hAnsi="Arial" w:cs="Arial"/>
          <w:b/>
        </w:rPr>
        <w:t>Figure 1.</w:t>
      </w:r>
      <w:r w:rsidRPr="007A4D08">
        <w:rPr>
          <w:rFonts w:ascii="Arial" w:hAnsi="Arial" w:cs="Arial"/>
        </w:rPr>
        <w:t xml:space="preserve">  For </w:t>
      </w:r>
      <w:proofErr w:type="spellStart"/>
      <w:r w:rsidRPr="007A4D08">
        <w:rPr>
          <w:rFonts w:ascii="Arial" w:hAnsi="Arial" w:cs="Arial"/>
        </w:rPr>
        <w:t>Bio</w:t>
      </w:r>
      <w:r w:rsidRPr="003C7FF7">
        <w:rPr>
          <w:rFonts w:ascii="Arial" w:hAnsi="Arial" w:cs="Arial"/>
          <w:i/>
          <w:iCs/>
        </w:rPr>
        <w:t>Me</w:t>
      </w:r>
      <w:proofErr w:type="spellEnd"/>
      <w:r w:rsidRPr="007A4D08">
        <w:rPr>
          <w:rFonts w:ascii="Arial" w:hAnsi="Arial" w:cs="Arial"/>
        </w:rPr>
        <w:t>, of 53,449  individuals with genotype data to calculate a polygenic risk score</w:t>
      </w:r>
      <w:r w:rsidR="008430C7">
        <w:rPr>
          <w:rFonts w:ascii="Arial" w:hAnsi="Arial" w:cs="Arial"/>
        </w:rPr>
        <w:t xml:space="preserve"> (PRS)</w:t>
      </w:r>
      <w:r w:rsidRPr="007A4D08">
        <w:rPr>
          <w:rFonts w:ascii="Arial" w:hAnsi="Arial" w:cs="Arial"/>
        </w:rPr>
        <w:t xml:space="preserve">, 5,158 individuals with either low or high PRS </w:t>
      </w:r>
      <w:proofErr w:type="spellStart"/>
      <w:r w:rsidRPr="007A4D08">
        <w:rPr>
          <w:rFonts w:ascii="Arial" w:hAnsi="Arial" w:cs="Arial"/>
        </w:rPr>
        <w:t>deciles</w:t>
      </w:r>
      <w:proofErr w:type="spellEnd"/>
      <w:r w:rsidRPr="007A4D08">
        <w:rPr>
          <w:rFonts w:ascii="Arial" w:hAnsi="Arial" w:cs="Arial"/>
        </w:rPr>
        <w:t xml:space="preserve"> were invited to participate </w:t>
      </w:r>
      <w:r w:rsidR="00F6791F">
        <w:rPr>
          <w:rFonts w:ascii="Arial" w:hAnsi="Arial" w:cs="Arial"/>
        </w:rPr>
        <w:t xml:space="preserve">in the clinical recall study </w:t>
      </w:r>
      <w:r w:rsidRPr="007A4D08">
        <w:rPr>
          <w:rFonts w:ascii="Arial" w:hAnsi="Arial" w:cs="Arial"/>
        </w:rPr>
        <w:t xml:space="preserve">using letters of invitation.  Of these, 314 </w:t>
      </w:r>
      <w:r w:rsidR="00F6791F">
        <w:rPr>
          <w:rFonts w:ascii="Arial" w:hAnsi="Arial" w:cs="Arial"/>
        </w:rPr>
        <w:t xml:space="preserve">(6.1%) </w:t>
      </w:r>
      <w:r w:rsidRPr="007A4D08">
        <w:rPr>
          <w:rFonts w:ascii="Arial" w:hAnsi="Arial" w:cs="Arial"/>
        </w:rPr>
        <w:t xml:space="preserve">responded to the invitation.  </w:t>
      </w:r>
      <w:r w:rsidR="00D93A75">
        <w:rPr>
          <w:rFonts w:ascii="Arial" w:hAnsi="Arial" w:cs="Arial"/>
        </w:rPr>
        <w:t>79</w:t>
      </w:r>
      <w:r w:rsidRPr="007A4D08">
        <w:rPr>
          <w:rFonts w:ascii="Arial" w:hAnsi="Arial" w:cs="Arial"/>
        </w:rPr>
        <w:t xml:space="preserve"> of these individuals were excluded</w:t>
      </w:r>
      <w:r w:rsidR="00FF682F">
        <w:rPr>
          <w:rFonts w:ascii="Arial" w:hAnsi="Arial" w:cs="Arial"/>
        </w:rPr>
        <w:t>,</w:t>
      </w:r>
      <w:r w:rsidRPr="007A4D08">
        <w:rPr>
          <w:rFonts w:ascii="Arial" w:hAnsi="Arial" w:cs="Arial"/>
        </w:rPr>
        <w:t xml:space="preserve"> </w:t>
      </w:r>
      <w:r w:rsidR="00173A51">
        <w:rPr>
          <w:rFonts w:ascii="Arial" w:hAnsi="Arial" w:cs="Arial"/>
        </w:rPr>
        <w:t>and</w:t>
      </w:r>
      <w:r w:rsidRPr="007A4D08">
        <w:rPr>
          <w:rFonts w:ascii="Arial" w:hAnsi="Arial" w:cs="Arial"/>
        </w:rPr>
        <w:t xml:space="preserve"> 254 individuals were successfully enrolled and examined.  For MGBB</w:t>
      </w:r>
      <w:r w:rsidR="007A4D08">
        <w:rPr>
          <w:rFonts w:ascii="Arial" w:hAnsi="Arial" w:cs="Arial"/>
        </w:rPr>
        <w:t xml:space="preserve"> of the 36,217 individuals with genotype data, 2</w:t>
      </w:r>
      <w:r w:rsidR="00F6791F">
        <w:rPr>
          <w:rFonts w:ascii="Arial" w:hAnsi="Arial" w:cs="Arial"/>
        </w:rPr>
        <w:t>,</w:t>
      </w:r>
      <w:r w:rsidR="007A4D08">
        <w:rPr>
          <w:rFonts w:ascii="Arial" w:hAnsi="Arial" w:cs="Arial"/>
        </w:rPr>
        <w:t xml:space="preserve">150 individuals in the top or bottom </w:t>
      </w:r>
      <w:proofErr w:type="spellStart"/>
      <w:r w:rsidR="00703DB7">
        <w:rPr>
          <w:rFonts w:ascii="Arial" w:hAnsi="Arial" w:cs="Arial"/>
        </w:rPr>
        <w:t>decile</w:t>
      </w:r>
      <w:proofErr w:type="spellEnd"/>
      <w:r w:rsidR="007A4D08">
        <w:rPr>
          <w:rFonts w:ascii="Arial" w:hAnsi="Arial" w:cs="Arial"/>
        </w:rPr>
        <w:t xml:space="preserve"> were invited to participate. 3</w:t>
      </w:r>
      <w:r w:rsidR="00173A51">
        <w:rPr>
          <w:rFonts w:ascii="Arial" w:hAnsi="Arial" w:cs="Arial"/>
        </w:rPr>
        <w:t>57</w:t>
      </w:r>
      <w:r w:rsidR="007A4D08">
        <w:rPr>
          <w:rFonts w:ascii="Arial" w:hAnsi="Arial" w:cs="Arial"/>
        </w:rPr>
        <w:t xml:space="preserve"> individuals responded</w:t>
      </w:r>
      <w:r w:rsidR="00FF682F">
        <w:rPr>
          <w:rFonts w:ascii="Arial" w:hAnsi="Arial" w:cs="Arial"/>
        </w:rPr>
        <w:t>,</w:t>
      </w:r>
      <w:r w:rsidR="00F6791F">
        <w:rPr>
          <w:rFonts w:ascii="Arial" w:hAnsi="Arial" w:cs="Arial"/>
        </w:rPr>
        <w:t xml:space="preserve"> and</w:t>
      </w:r>
      <w:r w:rsidR="007A4D08">
        <w:rPr>
          <w:rFonts w:ascii="Arial" w:hAnsi="Arial" w:cs="Arial"/>
        </w:rPr>
        <w:t xml:space="preserve"> of these </w:t>
      </w:r>
      <w:r w:rsidR="00173A51">
        <w:rPr>
          <w:rFonts w:ascii="Arial" w:hAnsi="Arial" w:cs="Arial"/>
        </w:rPr>
        <w:t>73</w:t>
      </w:r>
      <w:r w:rsidR="007A4D08">
        <w:rPr>
          <w:rFonts w:ascii="Arial" w:hAnsi="Arial" w:cs="Arial"/>
        </w:rPr>
        <w:t xml:space="preserve"> were excluded.  2</w:t>
      </w:r>
      <w:r w:rsidR="00703DB7">
        <w:rPr>
          <w:rFonts w:ascii="Arial" w:hAnsi="Arial" w:cs="Arial"/>
        </w:rPr>
        <w:t>84</w:t>
      </w:r>
      <w:r w:rsidR="007A4D08">
        <w:rPr>
          <w:rFonts w:ascii="Arial" w:hAnsi="Arial" w:cs="Arial"/>
        </w:rPr>
        <w:t xml:space="preserve"> subjects were successfully enrolled and examined.</w:t>
      </w:r>
    </w:p>
    <w:p w14:paraId="60FA1172" w14:textId="77777777" w:rsidR="00700FF1" w:rsidRPr="00C8316E" w:rsidRDefault="00700FF1" w:rsidP="00584FD0">
      <w:pPr>
        <w:rPr>
          <w:rFonts w:ascii="Arial" w:hAnsi="Arial" w:cs="Arial"/>
        </w:rPr>
      </w:pPr>
    </w:p>
    <w:p w14:paraId="65D8D740" w14:textId="1C8EF360" w:rsidR="00555C4E" w:rsidRDefault="00397009" w:rsidP="00E07A0B">
      <w:pPr>
        <w:spacing w:after="240" w:line="360" w:lineRule="auto"/>
        <w:jc w:val="both"/>
      </w:pPr>
      <w:r>
        <w:rPr>
          <w:noProof/>
        </w:rPr>
        <w:lastRenderedPageBreak/>
        <w:drawing>
          <wp:inline distT="0" distB="0" distL="0" distR="0" wp14:anchorId="331B7268" wp14:editId="202D05E6">
            <wp:extent cx="5943268" cy="2655376"/>
            <wp:effectExtent l="0" t="0" r="635" b="0"/>
            <wp:docPr id="1058030290" name="Picture 3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030290" name="Picture 3" descr="A diagram of a diagram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6" b="1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5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812DB" w14:textId="1E197640" w:rsidR="00E07A0B" w:rsidRDefault="00E07A0B" w:rsidP="00E07A0B">
      <w:pPr>
        <w:spacing w:after="240" w:line="360" w:lineRule="auto"/>
        <w:jc w:val="both"/>
        <w:rPr>
          <w:rFonts w:ascii="Arial" w:hAnsi="Arial" w:cs="Arial"/>
        </w:rPr>
      </w:pPr>
      <w:r w:rsidRPr="00E47533">
        <w:rPr>
          <w:rFonts w:ascii="Arial" w:hAnsi="Arial" w:cs="Arial"/>
          <w:b/>
        </w:rPr>
        <w:t xml:space="preserve">Supplementary Figure </w:t>
      </w:r>
      <w:r w:rsidR="00700FF1">
        <w:rPr>
          <w:rFonts w:ascii="Arial" w:hAnsi="Arial" w:cs="Arial"/>
          <w:b/>
        </w:rPr>
        <w:t>2</w:t>
      </w:r>
      <w:r w:rsidRPr="00E47533">
        <w:rPr>
          <w:rFonts w:ascii="Arial" w:hAnsi="Arial" w:cs="Arial"/>
          <w:b/>
        </w:rPr>
        <w:t xml:space="preserve">. </w:t>
      </w:r>
      <w:r w:rsidR="00C8316E" w:rsidRPr="00E47533">
        <w:rPr>
          <w:rFonts w:ascii="Arial" w:hAnsi="Arial" w:cs="Arial"/>
          <w:b/>
        </w:rPr>
        <w:t>Workflow for the c</w:t>
      </w:r>
      <w:r w:rsidRPr="00E47533">
        <w:rPr>
          <w:rFonts w:ascii="Arial" w:hAnsi="Arial" w:cs="Arial"/>
          <w:b/>
        </w:rPr>
        <w:t>linical exam</w:t>
      </w:r>
      <w:r w:rsidR="00C8316E" w:rsidRPr="00C8316E">
        <w:rPr>
          <w:rFonts w:ascii="Arial" w:hAnsi="Arial" w:cs="Arial"/>
        </w:rPr>
        <w:t>.  Subjects with either</w:t>
      </w:r>
      <w:r w:rsidR="003A52CB">
        <w:rPr>
          <w:rFonts w:ascii="Arial" w:hAnsi="Arial" w:cs="Arial"/>
        </w:rPr>
        <w:t xml:space="preserve"> the</w:t>
      </w:r>
      <w:r w:rsidR="00C8316E" w:rsidRPr="00C8316E">
        <w:rPr>
          <w:rFonts w:ascii="Arial" w:hAnsi="Arial" w:cs="Arial"/>
        </w:rPr>
        <w:t xml:space="preserve"> high</w:t>
      </w:r>
      <w:r w:rsidR="003A52CB">
        <w:rPr>
          <w:rFonts w:ascii="Arial" w:hAnsi="Arial" w:cs="Arial"/>
        </w:rPr>
        <w:t>est</w:t>
      </w:r>
      <w:r w:rsidR="00C8316E" w:rsidRPr="00C8316E">
        <w:rPr>
          <w:rFonts w:ascii="Arial" w:hAnsi="Arial" w:cs="Arial"/>
        </w:rPr>
        <w:t xml:space="preserve"> or low</w:t>
      </w:r>
      <w:r w:rsidR="003A52CB">
        <w:rPr>
          <w:rFonts w:ascii="Arial" w:hAnsi="Arial" w:cs="Arial"/>
        </w:rPr>
        <w:t>est</w:t>
      </w:r>
      <w:r w:rsidR="00C8316E" w:rsidRPr="00C8316E">
        <w:rPr>
          <w:rFonts w:ascii="Arial" w:hAnsi="Arial" w:cs="Arial"/>
        </w:rPr>
        <w:t xml:space="preserve"> </w:t>
      </w:r>
      <w:r w:rsidR="00322395">
        <w:rPr>
          <w:rFonts w:ascii="Arial" w:hAnsi="Arial" w:cs="Arial"/>
        </w:rPr>
        <w:t>polygenic risk score (</w:t>
      </w:r>
      <w:r w:rsidR="00C8316E" w:rsidRPr="00C8316E">
        <w:rPr>
          <w:rFonts w:ascii="Arial" w:hAnsi="Arial" w:cs="Arial"/>
        </w:rPr>
        <w:t>PRS</w:t>
      </w:r>
      <w:r w:rsidR="00322395">
        <w:rPr>
          <w:rFonts w:ascii="Arial" w:hAnsi="Arial" w:cs="Arial"/>
        </w:rPr>
        <w:t>)</w:t>
      </w:r>
      <w:r w:rsidR="00C8316E" w:rsidRPr="00C8316E">
        <w:rPr>
          <w:rFonts w:ascii="Arial" w:hAnsi="Arial" w:cs="Arial"/>
        </w:rPr>
        <w:t xml:space="preserve"> </w:t>
      </w:r>
      <w:proofErr w:type="spellStart"/>
      <w:r w:rsidR="003A52CB">
        <w:rPr>
          <w:rFonts w:ascii="Arial" w:hAnsi="Arial" w:cs="Arial"/>
        </w:rPr>
        <w:t>decile</w:t>
      </w:r>
      <w:proofErr w:type="spellEnd"/>
      <w:r w:rsidR="003A52CB">
        <w:rPr>
          <w:rFonts w:ascii="Arial" w:hAnsi="Arial" w:cs="Arial"/>
        </w:rPr>
        <w:t xml:space="preserve"> </w:t>
      </w:r>
      <w:r w:rsidR="00F06D77">
        <w:rPr>
          <w:rFonts w:ascii="Arial" w:hAnsi="Arial" w:cs="Arial"/>
        </w:rPr>
        <w:t>were</w:t>
      </w:r>
      <w:r w:rsidR="00C8316E" w:rsidRPr="00C8316E">
        <w:rPr>
          <w:rFonts w:ascii="Arial" w:hAnsi="Arial" w:cs="Arial"/>
        </w:rPr>
        <w:t xml:space="preserve"> examined</w:t>
      </w:r>
      <w:r w:rsidR="00F06D77">
        <w:rPr>
          <w:rFonts w:ascii="Arial" w:hAnsi="Arial" w:cs="Arial"/>
        </w:rPr>
        <w:t xml:space="preserve"> </w:t>
      </w:r>
      <w:r w:rsidR="00F06D77" w:rsidRPr="00C8316E">
        <w:rPr>
          <w:rFonts w:ascii="Arial" w:hAnsi="Arial" w:cs="Arial"/>
        </w:rPr>
        <w:t xml:space="preserve">by </w:t>
      </w:r>
      <w:r w:rsidR="00F06D77">
        <w:rPr>
          <w:rFonts w:ascii="Arial" w:hAnsi="Arial" w:cs="Arial"/>
        </w:rPr>
        <w:t>a</w:t>
      </w:r>
      <w:r w:rsidR="00F06D77" w:rsidRPr="00C8316E">
        <w:rPr>
          <w:rFonts w:ascii="Arial" w:hAnsi="Arial" w:cs="Arial"/>
        </w:rPr>
        <w:t xml:space="preserve"> board-certifie</w:t>
      </w:r>
      <w:r w:rsidR="00F06D77">
        <w:rPr>
          <w:rFonts w:ascii="Arial" w:hAnsi="Arial" w:cs="Arial"/>
        </w:rPr>
        <w:t>d,</w:t>
      </w:r>
      <w:r w:rsidR="00F06D77" w:rsidRPr="00C8316E">
        <w:rPr>
          <w:rFonts w:ascii="Arial" w:hAnsi="Arial" w:cs="Arial"/>
        </w:rPr>
        <w:t xml:space="preserve"> fellowship</w:t>
      </w:r>
      <w:r w:rsidR="00F06D77">
        <w:rPr>
          <w:rFonts w:ascii="Arial" w:hAnsi="Arial" w:cs="Arial"/>
        </w:rPr>
        <w:t>-</w:t>
      </w:r>
      <w:r w:rsidR="00F06D77" w:rsidRPr="00C8316E">
        <w:rPr>
          <w:rFonts w:ascii="Arial" w:hAnsi="Arial" w:cs="Arial"/>
        </w:rPr>
        <w:t>trained glaucoma</w:t>
      </w:r>
      <w:r w:rsidR="00F06D77">
        <w:rPr>
          <w:rFonts w:ascii="Arial" w:hAnsi="Arial" w:cs="Arial"/>
        </w:rPr>
        <w:t xml:space="preserve"> specialist</w:t>
      </w:r>
      <w:r w:rsidR="00C8316E" w:rsidRPr="00C8316E">
        <w:rPr>
          <w:rFonts w:ascii="Arial" w:hAnsi="Arial" w:cs="Arial"/>
        </w:rPr>
        <w:t xml:space="preserve">.  The study personnel </w:t>
      </w:r>
      <w:r w:rsidR="00F06D77">
        <w:rPr>
          <w:rFonts w:ascii="Arial" w:hAnsi="Arial" w:cs="Arial"/>
        </w:rPr>
        <w:t>were</w:t>
      </w:r>
      <w:r w:rsidR="00C8316E" w:rsidRPr="00C8316E">
        <w:rPr>
          <w:rFonts w:ascii="Arial" w:hAnsi="Arial" w:cs="Arial"/>
        </w:rPr>
        <w:t xml:space="preserve"> </w:t>
      </w:r>
      <w:r w:rsidR="00FC35DE">
        <w:rPr>
          <w:rFonts w:ascii="Arial" w:hAnsi="Arial" w:cs="Arial"/>
        </w:rPr>
        <w:t>mask</w:t>
      </w:r>
      <w:r w:rsidR="00C8316E" w:rsidRPr="00C8316E">
        <w:rPr>
          <w:rFonts w:ascii="Arial" w:hAnsi="Arial" w:cs="Arial"/>
        </w:rPr>
        <w:t>ed to the PRS score.  The exam include</w:t>
      </w:r>
      <w:r w:rsidR="00DC6450">
        <w:rPr>
          <w:rFonts w:ascii="Arial" w:hAnsi="Arial" w:cs="Arial"/>
        </w:rPr>
        <w:t>d</w:t>
      </w:r>
      <w:r w:rsidR="00C8316E" w:rsidRPr="00C8316E">
        <w:rPr>
          <w:rFonts w:ascii="Arial" w:hAnsi="Arial" w:cs="Arial"/>
        </w:rPr>
        <w:t xml:space="preserve"> measurement of visual acuity</w:t>
      </w:r>
      <w:r w:rsidR="007A612B">
        <w:rPr>
          <w:rFonts w:ascii="Arial" w:hAnsi="Arial" w:cs="Arial"/>
        </w:rPr>
        <w:t>;</w:t>
      </w:r>
      <w:r w:rsidR="00AF08D0">
        <w:rPr>
          <w:rFonts w:ascii="Arial" w:hAnsi="Arial" w:cs="Arial"/>
        </w:rPr>
        <w:t xml:space="preserve"> corneal</w:t>
      </w:r>
      <w:r w:rsidR="000314A7">
        <w:rPr>
          <w:rFonts w:ascii="Arial" w:hAnsi="Arial" w:cs="Arial"/>
        </w:rPr>
        <w:t>-</w:t>
      </w:r>
      <w:r w:rsidR="00AF08D0">
        <w:rPr>
          <w:rFonts w:ascii="Arial" w:hAnsi="Arial" w:cs="Arial"/>
        </w:rPr>
        <w:t xml:space="preserve">compensated </w:t>
      </w:r>
      <w:r w:rsidR="009A196F">
        <w:rPr>
          <w:rFonts w:ascii="Arial" w:hAnsi="Arial" w:cs="Arial"/>
        </w:rPr>
        <w:t xml:space="preserve">and </w:t>
      </w:r>
      <w:proofErr w:type="spellStart"/>
      <w:r w:rsidR="009A196F">
        <w:rPr>
          <w:rFonts w:ascii="Arial" w:hAnsi="Arial" w:cs="Arial"/>
        </w:rPr>
        <w:t>Goldmann</w:t>
      </w:r>
      <w:proofErr w:type="spellEnd"/>
      <w:r w:rsidR="009A196F">
        <w:rPr>
          <w:rFonts w:ascii="Arial" w:hAnsi="Arial" w:cs="Arial"/>
        </w:rPr>
        <w:t xml:space="preserve"> </w:t>
      </w:r>
      <w:proofErr w:type="spellStart"/>
      <w:r w:rsidR="009A196F">
        <w:rPr>
          <w:rFonts w:ascii="Arial" w:hAnsi="Arial" w:cs="Arial"/>
        </w:rPr>
        <w:t>applanation</w:t>
      </w:r>
      <w:proofErr w:type="spellEnd"/>
      <w:r w:rsidR="009A196F">
        <w:rPr>
          <w:rFonts w:ascii="Arial" w:hAnsi="Arial" w:cs="Arial"/>
        </w:rPr>
        <w:t xml:space="preserve"> </w:t>
      </w:r>
      <w:proofErr w:type="spellStart"/>
      <w:r w:rsidR="009A196F">
        <w:rPr>
          <w:rFonts w:ascii="Arial" w:hAnsi="Arial" w:cs="Arial"/>
        </w:rPr>
        <w:t>tonometric</w:t>
      </w:r>
      <w:proofErr w:type="spellEnd"/>
      <w:r w:rsidR="009A196F">
        <w:rPr>
          <w:rFonts w:ascii="Arial" w:hAnsi="Arial" w:cs="Arial"/>
        </w:rPr>
        <w:t xml:space="preserve"> </w:t>
      </w:r>
      <w:r w:rsidR="00AF08D0">
        <w:rPr>
          <w:rFonts w:ascii="Arial" w:hAnsi="Arial" w:cs="Arial"/>
        </w:rPr>
        <w:t>intraocular pressure</w:t>
      </w:r>
      <w:r w:rsidR="00E10800">
        <w:rPr>
          <w:rFonts w:ascii="Arial" w:hAnsi="Arial" w:cs="Arial"/>
        </w:rPr>
        <w:t xml:space="preserve"> (IOP)</w:t>
      </w:r>
      <w:r w:rsidR="009A196F">
        <w:rPr>
          <w:rFonts w:ascii="Arial" w:hAnsi="Arial" w:cs="Arial"/>
        </w:rPr>
        <w:t xml:space="preserve"> (the former measured with the Ocu</w:t>
      </w:r>
      <w:r w:rsidR="00C13EA9">
        <w:rPr>
          <w:rFonts w:ascii="Arial" w:hAnsi="Arial" w:cs="Arial"/>
        </w:rPr>
        <w:t>l</w:t>
      </w:r>
      <w:r w:rsidR="009A196F">
        <w:rPr>
          <w:rFonts w:ascii="Arial" w:hAnsi="Arial" w:cs="Arial"/>
        </w:rPr>
        <w:t>ar Response</w:t>
      </w:r>
      <w:r w:rsidR="00C13EA9">
        <w:rPr>
          <w:rFonts w:ascii="Arial" w:hAnsi="Arial" w:cs="Arial"/>
        </w:rPr>
        <w:t xml:space="preserve"> Analyzer (ORA)</w:t>
      </w:r>
      <w:r w:rsidR="00C8316E" w:rsidRPr="00C8316E">
        <w:rPr>
          <w:rFonts w:ascii="Arial" w:hAnsi="Arial" w:cs="Arial"/>
        </w:rPr>
        <w:t>)</w:t>
      </w:r>
      <w:r w:rsidR="007A612B">
        <w:rPr>
          <w:rFonts w:ascii="Arial" w:hAnsi="Arial" w:cs="Arial"/>
        </w:rPr>
        <w:t>;</w:t>
      </w:r>
      <w:r w:rsidR="00C8316E" w:rsidRPr="00C8316E">
        <w:rPr>
          <w:rFonts w:ascii="Arial" w:hAnsi="Arial" w:cs="Arial"/>
        </w:rPr>
        <w:t xml:space="preserve"> visual field (Humphrey SITA standard 24-2</w:t>
      </w:r>
      <w:r w:rsidR="009763C4">
        <w:rPr>
          <w:rFonts w:ascii="Arial" w:hAnsi="Arial" w:cs="Arial"/>
        </w:rPr>
        <w:t xml:space="preserve"> </w:t>
      </w:r>
      <w:r w:rsidR="00FD426B">
        <w:rPr>
          <w:rFonts w:ascii="Arial" w:hAnsi="Arial" w:cs="Arial"/>
        </w:rPr>
        <w:t>tests</w:t>
      </w:r>
      <w:r w:rsidR="00C8316E" w:rsidRPr="00C8316E">
        <w:rPr>
          <w:rFonts w:ascii="Arial" w:hAnsi="Arial" w:cs="Arial"/>
        </w:rPr>
        <w:t>)</w:t>
      </w:r>
      <w:r w:rsidR="007A612B">
        <w:rPr>
          <w:rFonts w:ascii="Arial" w:hAnsi="Arial" w:cs="Arial"/>
        </w:rPr>
        <w:t>;</w:t>
      </w:r>
      <w:r w:rsidR="00C8316E" w:rsidRPr="00C8316E">
        <w:rPr>
          <w:rFonts w:ascii="Arial" w:hAnsi="Arial" w:cs="Arial"/>
        </w:rPr>
        <w:t xml:space="preserve"> </w:t>
      </w:r>
      <w:r w:rsidR="00695D75">
        <w:rPr>
          <w:rFonts w:ascii="Arial" w:hAnsi="Arial" w:cs="Arial"/>
        </w:rPr>
        <w:t>optical coherence tomography (OCT) measurements of</w:t>
      </w:r>
      <w:r w:rsidR="00DC6450">
        <w:rPr>
          <w:rFonts w:ascii="Arial" w:hAnsi="Arial" w:cs="Arial"/>
        </w:rPr>
        <w:t xml:space="preserve"> the</w:t>
      </w:r>
      <w:r w:rsidR="00695D75">
        <w:rPr>
          <w:rFonts w:ascii="Arial" w:hAnsi="Arial" w:cs="Arial"/>
        </w:rPr>
        <w:t xml:space="preserve"> </w:t>
      </w:r>
      <w:proofErr w:type="spellStart"/>
      <w:r w:rsidR="00822A57">
        <w:rPr>
          <w:rFonts w:ascii="Arial" w:hAnsi="Arial" w:cs="Arial"/>
        </w:rPr>
        <w:t>circumpapillary</w:t>
      </w:r>
      <w:proofErr w:type="spellEnd"/>
      <w:r w:rsidR="00822A57">
        <w:rPr>
          <w:rFonts w:ascii="Arial" w:hAnsi="Arial" w:cs="Arial"/>
        </w:rPr>
        <w:t xml:space="preserve"> </w:t>
      </w:r>
      <w:r w:rsidR="00695D75">
        <w:rPr>
          <w:rFonts w:ascii="Arial" w:hAnsi="Arial" w:cs="Arial"/>
        </w:rPr>
        <w:t>r</w:t>
      </w:r>
      <w:r w:rsidR="00C8316E" w:rsidRPr="00C8316E">
        <w:rPr>
          <w:rFonts w:ascii="Arial" w:hAnsi="Arial" w:cs="Arial"/>
        </w:rPr>
        <w:t xml:space="preserve">etinal nerve fiber layer </w:t>
      </w:r>
      <w:r w:rsidR="00C62649">
        <w:rPr>
          <w:rFonts w:ascii="Arial" w:hAnsi="Arial" w:cs="Arial"/>
        </w:rPr>
        <w:t>(</w:t>
      </w:r>
      <w:r w:rsidR="00822A57">
        <w:rPr>
          <w:rFonts w:ascii="Arial" w:hAnsi="Arial" w:cs="Arial"/>
        </w:rPr>
        <w:t>CP</w:t>
      </w:r>
      <w:r w:rsidR="00B02502">
        <w:rPr>
          <w:rFonts w:ascii="Arial" w:hAnsi="Arial" w:cs="Arial"/>
        </w:rPr>
        <w:t>-</w:t>
      </w:r>
      <w:r w:rsidR="00C62649">
        <w:rPr>
          <w:rFonts w:ascii="Arial" w:hAnsi="Arial" w:cs="Arial"/>
        </w:rPr>
        <w:t xml:space="preserve">RNFL) </w:t>
      </w:r>
      <w:r w:rsidR="00C8316E" w:rsidRPr="00C8316E">
        <w:rPr>
          <w:rFonts w:ascii="Arial" w:hAnsi="Arial" w:cs="Arial"/>
        </w:rPr>
        <w:t>thickness,</w:t>
      </w:r>
      <w:r w:rsidR="00695D75">
        <w:rPr>
          <w:rFonts w:ascii="Arial" w:hAnsi="Arial" w:cs="Arial"/>
        </w:rPr>
        <w:t xml:space="preserve"> </w:t>
      </w:r>
      <w:proofErr w:type="spellStart"/>
      <w:r w:rsidR="00695D75">
        <w:rPr>
          <w:rFonts w:ascii="Arial" w:hAnsi="Arial" w:cs="Arial"/>
        </w:rPr>
        <w:t>neuroretinal</w:t>
      </w:r>
      <w:proofErr w:type="spellEnd"/>
      <w:r w:rsidR="00695D75">
        <w:rPr>
          <w:rFonts w:ascii="Arial" w:hAnsi="Arial" w:cs="Arial"/>
        </w:rPr>
        <w:t xml:space="preserve"> rim</w:t>
      </w:r>
      <w:r w:rsidR="00C62649">
        <w:rPr>
          <w:rFonts w:ascii="Arial" w:hAnsi="Arial" w:cs="Arial"/>
        </w:rPr>
        <w:t xml:space="preserve"> </w:t>
      </w:r>
      <w:r w:rsidR="00695D75">
        <w:rPr>
          <w:rFonts w:ascii="Arial" w:hAnsi="Arial" w:cs="Arial"/>
        </w:rPr>
        <w:t>th</w:t>
      </w:r>
      <w:r w:rsidR="00C62649">
        <w:rPr>
          <w:rFonts w:ascii="Arial" w:hAnsi="Arial" w:cs="Arial"/>
        </w:rPr>
        <w:t>ickness</w:t>
      </w:r>
      <w:r w:rsidR="00DC6450">
        <w:rPr>
          <w:rFonts w:ascii="Arial" w:hAnsi="Arial" w:cs="Arial"/>
        </w:rPr>
        <w:t xml:space="preserve"> (assessed with </w:t>
      </w:r>
      <w:r w:rsidR="0029676D">
        <w:rPr>
          <w:rFonts w:ascii="Arial" w:hAnsi="Arial" w:cs="Arial"/>
        </w:rPr>
        <w:t>mi</w:t>
      </w:r>
      <w:r w:rsidR="00972C10">
        <w:rPr>
          <w:rFonts w:ascii="Arial" w:hAnsi="Arial" w:cs="Arial"/>
        </w:rPr>
        <w:t>n</w:t>
      </w:r>
      <w:bookmarkStart w:id="0" w:name="_GoBack"/>
      <w:bookmarkEnd w:id="0"/>
      <w:r w:rsidR="0029676D">
        <w:rPr>
          <w:rFonts w:ascii="Arial" w:hAnsi="Arial" w:cs="Arial"/>
        </w:rPr>
        <w:t>imum rim width analysis (MWRA)</w:t>
      </w:r>
      <w:r w:rsidR="007A612B">
        <w:rPr>
          <w:rFonts w:ascii="Arial" w:hAnsi="Arial" w:cs="Arial"/>
        </w:rPr>
        <w:t>)</w:t>
      </w:r>
      <w:r w:rsidR="0029676D">
        <w:rPr>
          <w:rFonts w:ascii="Arial" w:hAnsi="Arial" w:cs="Arial"/>
        </w:rPr>
        <w:t xml:space="preserve"> software, macula volume and </w:t>
      </w:r>
      <w:r w:rsidR="00B93BBB">
        <w:rPr>
          <w:rFonts w:ascii="Arial" w:hAnsi="Arial" w:cs="Arial"/>
        </w:rPr>
        <w:t>retinal vessel density (measured with OCT-angiography (OCTA);</w:t>
      </w:r>
      <w:r w:rsidR="00C8316E" w:rsidRPr="00C8316E">
        <w:rPr>
          <w:rFonts w:ascii="Arial" w:hAnsi="Arial" w:cs="Arial"/>
        </w:rPr>
        <w:t xml:space="preserve"> slit lamp exam including </w:t>
      </w:r>
      <w:proofErr w:type="spellStart"/>
      <w:r w:rsidR="00C8316E" w:rsidRPr="00C8316E">
        <w:rPr>
          <w:rFonts w:ascii="Arial" w:hAnsi="Arial" w:cs="Arial"/>
        </w:rPr>
        <w:t>gonioscopy</w:t>
      </w:r>
      <w:proofErr w:type="spellEnd"/>
      <w:r w:rsidR="007E476F">
        <w:rPr>
          <w:rFonts w:ascii="Arial" w:hAnsi="Arial" w:cs="Arial"/>
        </w:rPr>
        <w:t>;</w:t>
      </w:r>
      <w:r w:rsidR="00C8316E" w:rsidRPr="00C8316E">
        <w:rPr>
          <w:rFonts w:ascii="Arial" w:hAnsi="Arial" w:cs="Arial"/>
        </w:rPr>
        <w:t xml:space="preserve"> </w:t>
      </w:r>
      <w:r w:rsidR="00670A58">
        <w:rPr>
          <w:rFonts w:ascii="Arial" w:hAnsi="Arial" w:cs="Arial"/>
        </w:rPr>
        <w:t xml:space="preserve">and </w:t>
      </w:r>
      <w:r w:rsidR="00C8316E" w:rsidRPr="00C8316E">
        <w:rPr>
          <w:rFonts w:ascii="Arial" w:hAnsi="Arial" w:cs="Arial"/>
        </w:rPr>
        <w:t>dilated fundus exam</w:t>
      </w:r>
      <w:r w:rsidR="007E476F">
        <w:rPr>
          <w:rFonts w:ascii="Arial" w:hAnsi="Arial" w:cs="Arial"/>
        </w:rPr>
        <w:t xml:space="preserve"> with acquisition of fundus photo</w:t>
      </w:r>
      <w:r w:rsidR="000017F7">
        <w:rPr>
          <w:rFonts w:ascii="Arial" w:hAnsi="Arial" w:cs="Arial"/>
        </w:rPr>
        <w:t>graphy</w:t>
      </w:r>
      <w:r w:rsidR="00C8316E" w:rsidRPr="00C8316E">
        <w:rPr>
          <w:rFonts w:ascii="Arial" w:hAnsi="Arial" w:cs="Arial"/>
        </w:rPr>
        <w:t>.  After the examin</w:t>
      </w:r>
      <w:r w:rsidR="00670A58">
        <w:rPr>
          <w:rFonts w:ascii="Arial" w:hAnsi="Arial" w:cs="Arial"/>
        </w:rPr>
        <w:t>ation,</w:t>
      </w:r>
      <w:r w:rsidR="00C8316E" w:rsidRPr="00C8316E">
        <w:rPr>
          <w:rFonts w:ascii="Arial" w:hAnsi="Arial" w:cs="Arial"/>
        </w:rPr>
        <w:t xml:space="preserve"> the glaucoma specialist designate</w:t>
      </w:r>
      <w:r w:rsidR="00551B50">
        <w:rPr>
          <w:rFonts w:ascii="Arial" w:hAnsi="Arial" w:cs="Arial"/>
        </w:rPr>
        <w:t>s</w:t>
      </w:r>
      <w:r w:rsidR="00C8316E" w:rsidRPr="00C8316E">
        <w:rPr>
          <w:rFonts w:ascii="Arial" w:hAnsi="Arial" w:cs="Arial"/>
        </w:rPr>
        <w:t xml:space="preserve"> the glaucoma status</w:t>
      </w:r>
      <w:r w:rsidR="00551B50">
        <w:rPr>
          <w:rFonts w:ascii="Arial" w:hAnsi="Arial" w:cs="Arial"/>
        </w:rPr>
        <w:t xml:space="preserve">.  A second fellowship-trained glaucoma specialist reviews the exam findings and determines </w:t>
      </w:r>
      <w:r w:rsidR="007E2ED6">
        <w:rPr>
          <w:rFonts w:ascii="Arial" w:hAnsi="Arial" w:cs="Arial"/>
        </w:rPr>
        <w:t>a glaucoma diagnosis for the patient without knowing the grade of the in-person examiner. I</w:t>
      </w:r>
      <w:r w:rsidR="00C8316E" w:rsidRPr="00C8316E">
        <w:rPr>
          <w:rFonts w:ascii="Arial" w:hAnsi="Arial" w:cs="Arial"/>
        </w:rPr>
        <w:t xml:space="preserve">f the initial two examiners </w:t>
      </w:r>
      <w:r w:rsidR="00D2128B">
        <w:rPr>
          <w:rFonts w:ascii="Arial" w:hAnsi="Arial" w:cs="Arial"/>
        </w:rPr>
        <w:t>did</w:t>
      </w:r>
      <w:r w:rsidR="00DC7D9E">
        <w:rPr>
          <w:rFonts w:ascii="Arial" w:hAnsi="Arial" w:cs="Arial"/>
        </w:rPr>
        <w:t xml:space="preserve"> </w:t>
      </w:r>
      <w:r w:rsidR="00D2128B">
        <w:rPr>
          <w:rFonts w:ascii="Arial" w:hAnsi="Arial" w:cs="Arial"/>
        </w:rPr>
        <w:t>n</w:t>
      </w:r>
      <w:r w:rsidR="00DC7D9E">
        <w:rPr>
          <w:rFonts w:ascii="Arial" w:hAnsi="Arial" w:cs="Arial"/>
        </w:rPr>
        <w:t>o</w:t>
      </w:r>
      <w:r w:rsidR="00D2128B">
        <w:rPr>
          <w:rFonts w:ascii="Arial" w:hAnsi="Arial" w:cs="Arial"/>
        </w:rPr>
        <w:t xml:space="preserve">t </w:t>
      </w:r>
      <w:r w:rsidR="00C8316E" w:rsidRPr="00C8316E">
        <w:rPr>
          <w:rFonts w:ascii="Arial" w:hAnsi="Arial" w:cs="Arial"/>
        </w:rPr>
        <w:t>agree</w:t>
      </w:r>
      <w:r w:rsidR="00C66BBD">
        <w:rPr>
          <w:rFonts w:ascii="Arial" w:hAnsi="Arial" w:cs="Arial"/>
        </w:rPr>
        <w:t>,</w:t>
      </w:r>
      <w:r w:rsidR="00C8316E" w:rsidRPr="00C8316E">
        <w:rPr>
          <w:rFonts w:ascii="Arial" w:hAnsi="Arial" w:cs="Arial"/>
        </w:rPr>
        <w:t xml:space="preserve"> a third ophthalmologist with glaucoma fellowship training adjudicate</w:t>
      </w:r>
      <w:r w:rsidR="00C66BBD">
        <w:rPr>
          <w:rFonts w:ascii="Arial" w:hAnsi="Arial" w:cs="Arial"/>
        </w:rPr>
        <w:t>d the final status</w:t>
      </w:r>
      <w:r w:rsidR="00C8316E" w:rsidRPr="00C8316E">
        <w:rPr>
          <w:rFonts w:ascii="Arial" w:hAnsi="Arial" w:cs="Arial"/>
        </w:rPr>
        <w:t>.</w:t>
      </w:r>
    </w:p>
    <w:p w14:paraId="08D5AFA1" w14:textId="77777777" w:rsidR="007D6482" w:rsidRDefault="007D6482" w:rsidP="00E07A0B">
      <w:pPr>
        <w:spacing w:after="240" w:line="360" w:lineRule="auto"/>
        <w:jc w:val="both"/>
        <w:rPr>
          <w:rFonts w:ascii="Arial" w:hAnsi="Arial" w:cs="Arial"/>
        </w:rPr>
      </w:pPr>
    </w:p>
    <w:p w14:paraId="3AFAD7A3" w14:textId="77777777" w:rsidR="00263F17" w:rsidRDefault="00263F17" w:rsidP="00E07A0B">
      <w:pPr>
        <w:spacing w:after="240" w:line="360" w:lineRule="auto"/>
        <w:jc w:val="both"/>
        <w:rPr>
          <w:rFonts w:ascii="Arial" w:hAnsi="Arial" w:cs="Arial"/>
        </w:rPr>
      </w:pPr>
    </w:p>
    <w:p w14:paraId="5889500E" w14:textId="77777777" w:rsidR="00263F17" w:rsidRDefault="00263F17" w:rsidP="00E07A0B">
      <w:pPr>
        <w:spacing w:after="240" w:line="360" w:lineRule="auto"/>
        <w:jc w:val="both"/>
        <w:rPr>
          <w:rFonts w:ascii="Arial" w:hAnsi="Arial" w:cs="Arial"/>
        </w:rPr>
      </w:pPr>
    </w:p>
    <w:p w14:paraId="3D1C1C3E" w14:textId="77777777" w:rsidR="00263F17" w:rsidRDefault="00263F17" w:rsidP="00E07A0B">
      <w:pPr>
        <w:spacing w:after="240" w:line="360" w:lineRule="auto"/>
        <w:jc w:val="both"/>
        <w:rPr>
          <w:rFonts w:ascii="Arial" w:hAnsi="Arial" w:cs="Arial"/>
        </w:rPr>
      </w:pPr>
    </w:p>
    <w:p w14:paraId="183B9C70" w14:textId="53FFCF55" w:rsidR="00F047FF" w:rsidRPr="007D36F1" w:rsidRDefault="00700FF1" w:rsidP="007D64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</w:t>
      </w:r>
      <w:r w:rsidR="00E47533" w:rsidRPr="007D36F1">
        <w:rPr>
          <w:rFonts w:ascii="Arial" w:hAnsi="Arial" w:cs="Arial"/>
          <w:b/>
        </w:rPr>
        <w:t>upplementa</w:t>
      </w:r>
      <w:r w:rsidR="00301E52">
        <w:rPr>
          <w:rFonts w:ascii="Arial" w:hAnsi="Arial" w:cs="Arial"/>
          <w:b/>
        </w:rPr>
        <w:t>ry</w:t>
      </w:r>
      <w:r w:rsidR="00E47533" w:rsidRPr="007D36F1">
        <w:rPr>
          <w:rFonts w:ascii="Arial" w:hAnsi="Arial" w:cs="Arial"/>
          <w:b/>
        </w:rPr>
        <w:t xml:space="preserve"> Table 1</w:t>
      </w:r>
      <w:r w:rsidR="0028147D" w:rsidRPr="007D36F1">
        <w:rPr>
          <w:rFonts w:ascii="Arial" w:hAnsi="Arial" w:cs="Arial"/>
          <w:b/>
        </w:rPr>
        <w:t>a</w:t>
      </w:r>
      <w:r w:rsidR="00E47533" w:rsidRPr="007D36F1">
        <w:rPr>
          <w:rFonts w:ascii="Arial" w:hAnsi="Arial" w:cs="Arial"/>
        </w:rPr>
        <w:t xml:space="preserve">.  Demographic features of </w:t>
      </w:r>
      <w:proofErr w:type="spellStart"/>
      <w:r w:rsidR="0028147D" w:rsidRPr="007D36F1">
        <w:rPr>
          <w:rFonts w:ascii="Arial" w:hAnsi="Arial" w:cs="Arial"/>
        </w:rPr>
        <w:t>Bio</w:t>
      </w:r>
      <w:r w:rsidR="0028147D" w:rsidRPr="00173A51">
        <w:rPr>
          <w:rFonts w:ascii="Arial" w:hAnsi="Arial" w:cs="Arial"/>
          <w:i/>
          <w:iCs/>
        </w:rPr>
        <w:t>Me</w:t>
      </w:r>
      <w:proofErr w:type="spellEnd"/>
      <w:r w:rsidR="0028147D" w:rsidRPr="007D36F1">
        <w:rPr>
          <w:rFonts w:ascii="Arial" w:hAnsi="Arial" w:cs="Arial"/>
        </w:rPr>
        <w:t xml:space="preserve"> </w:t>
      </w:r>
      <w:r w:rsidR="00FF3C79">
        <w:rPr>
          <w:rFonts w:ascii="Arial" w:hAnsi="Arial" w:cs="Arial"/>
        </w:rPr>
        <w:t>and</w:t>
      </w:r>
      <w:r w:rsidR="0028147D" w:rsidRPr="007D36F1">
        <w:rPr>
          <w:rFonts w:ascii="Arial" w:hAnsi="Arial" w:cs="Arial"/>
        </w:rPr>
        <w:t xml:space="preserve"> M</w:t>
      </w:r>
      <w:r w:rsidR="00FF3C79">
        <w:rPr>
          <w:rFonts w:ascii="Arial" w:hAnsi="Arial" w:cs="Arial"/>
        </w:rPr>
        <w:t xml:space="preserve">ass </w:t>
      </w:r>
      <w:r w:rsidR="0028147D" w:rsidRPr="007D36F1">
        <w:rPr>
          <w:rFonts w:ascii="Arial" w:hAnsi="Arial" w:cs="Arial"/>
        </w:rPr>
        <w:t>G</w:t>
      </w:r>
      <w:r w:rsidR="00FF3C79">
        <w:rPr>
          <w:rFonts w:ascii="Arial" w:hAnsi="Arial" w:cs="Arial"/>
        </w:rPr>
        <w:t xml:space="preserve">eneral </w:t>
      </w:r>
      <w:r w:rsidR="0028147D" w:rsidRPr="007D36F1">
        <w:rPr>
          <w:rFonts w:ascii="Arial" w:hAnsi="Arial" w:cs="Arial"/>
        </w:rPr>
        <w:t>B</w:t>
      </w:r>
      <w:r w:rsidR="00FF3C79">
        <w:rPr>
          <w:rFonts w:ascii="Arial" w:hAnsi="Arial" w:cs="Arial"/>
        </w:rPr>
        <w:t xml:space="preserve">righam </w:t>
      </w:r>
      <w:proofErr w:type="spellStart"/>
      <w:r w:rsidR="0028147D" w:rsidRPr="007D36F1">
        <w:rPr>
          <w:rFonts w:ascii="Arial" w:hAnsi="Arial" w:cs="Arial"/>
        </w:rPr>
        <w:t>B</w:t>
      </w:r>
      <w:r w:rsidR="00636C84">
        <w:rPr>
          <w:rFonts w:ascii="Arial" w:hAnsi="Arial" w:cs="Arial"/>
        </w:rPr>
        <w:t>iobank</w:t>
      </w:r>
      <w:proofErr w:type="spellEnd"/>
      <w:r w:rsidR="0028147D" w:rsidRPr="007D36F1">
        <w:rPr>
          <w:rFonts w:ascii="Arial" w:hAnsi="Arial" w:cs="Arial"/>
        </w:rPr>
        <w:t xml:space="preserve"> </w:t>
      </w:r>
      <w:r w:rsidR="00E47533" w:rsidRPr="007D36F1">
        <w:rPr>
          <w:rFonts w:ascii="Arial" w:hAnsi="Arial" w:cs="Arial"/>
        </w:rPr>
        <w:t>patients invited for comprehensive examination</w:t>
      </w:r>
      <w:r w:rsidR="00B94970" w:rsidRPr="007D36F1">
        <w:rPr>
          <w:rFonts w:ascii="Arial" w:hAnsi="Arial" w:cs="Arial"/>
        </w:rPr>
        <w:t xml:space="preserve"> </w:t>
      </w:r>
      <w:r w:rsidR="00173193">
        <w:rPr>
          <w:rFonts w:ascii="Arial" w:hAnsi="Arial" w:cs="Arial"/>
        </w:rPr>
        <w:t xml:space="preserve">stratified by </w:t>
      </w:r>
      <w:r w:rsidR="00B55FC7">
        <w:rPr>
          <w:rFonts w:ascii="Arial" w:hAnsi="Arial" w:cs="Arial"/>
        </w:rPr>
        <w:t>PRS</w:t>
      </w:r>
      <w:r w:rsidR="00083C9B">
        <w:rPr>
          <w:rFonts w:ascii="Arial" w:hAnsi="Arial" w:cs="Arial"/>
        </w:rPr>
        <w:t xml:space="preserve"> (N=51</w:t>
      </w:r>
      <w:r w:rsidR="00EF60BA">
        <w:rPr>
          <w:rFonts w:ascii="Arial" w:hAnsi="Arial" w:cs="Arial"/>
        </w:rPr>
        <w:t>9</w:t>
      </w:r>
      <w:r w:rsidR="00083C9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839"/>
        <w:gridCol w:w="2259"/>
        <w:gridCol w:w="2155"/>
      </w:tblGrid>
      <w:tr w:rsidR="00E47533" w:rsidRPr="00925784" w14:paraId="64E63E3B" w14:textId="77777777" w:rsidTr="00173A51">
        <w:tc>
          <w:tcPr>
            <w:tcW w:w="0" w:type="auto"/>
            <w:gridSpan w:val="2"/>
            <w:vAlign w:val="center"/>
          </w:tcPr>
          <w:p w14:paraId="7A03B744" w14:textId="77777777" w:rsidR="00E47533" w:rsidRPr="008C4154" w:rsidRDefault="00E47533" w:rsidP="008C4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9" w:type="dxa"/>
            <w:vAlign w:val="center"/>
          </w:tcPr>
          <w:p w14:paraId="7B9AB6B1" w14:textId="261F88FA" w:rsidR="00E47533" w:rsidRPr="008C4154" w:rsidRDefault="00E47533" w:rsidP="008C4154">
            <w:pPr>
              <w:jc w:val="center"/>
              <w:rPr>
                <w:rFonts w:ascii="Arial" w:hAnsi="Arial" w:cs="Arial"/>
                <w:b/>
              </w:rPr>
            </w:pPr>
            <w:r w:rsidRPr="008C4154">
              <w:rPr>
                <w:rFonts w:ascii="Arial" w:hAnsi="Arial" w:cs="Arial"/>
                <w:b/>
              </w:rPr>
              <w:t>High</w:t>
            </w:r>
            <w:r w:rsidR="004B39A8" w:rsidRPr="008C4154">
              <w:rPr>
                <w:rFonts w:ascii="Arial" w:hAnsi="Arial" w:cs="Arial"/>
                <w:b/>
              </w:rPr>
              <w:t xml:space="preserve">est </w:t>
            </w:r>
            <w:r w:rsidRPr="008C4154">
              <w:rPr>
                <w:rFonts w:ascii="Arial" w:hAnsi="Arial" w:cs="Arial"/>
                <w:b/>
              </w:rPr>
              <w:t>PRS</w:t>
            </w:r>
            <w:r w:rsidR="004B39A8" w:rsidRPr="008C415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B39A8" w:rsidRPr="008C4154">
              <w:rPr>
                <w:rFonts w:ascii="Arial" w:hAnsi="Arial" w:cs="Arial"/>
                <w:b/>
              </w:rPr>
              <w:t>decile</w:t>
            </w:r>
            <w:proofErr w:type="spellEnd"/>
          </w:p>
        </w:tc>
        <w:tc>
          <w:tcPr>
            <w:tcW w:w="2155" w:type="dxa"/>
            <w:vAlign w:val="center"/>
          </w:tcPr>
          <w:p w14:paraId="795FA267" w14:textId="4C377593" w:rsidR="00E47533" w:rsidRPr="008C4154" w:rsidRDefault="00E47533" w:rsidP="008C4154">
            <w:pPr>
              <w:jc w:val="center"/>
              <w:rPr>
                <w:rFonts w:ascii="Arial" w:hAnsi="Arial" w:cs="Arial"/>
                <w:b/>
              </w:rPr>
            </w:pPr>
            <w:r w:rsidRPr="008C4154">
              <w:rPr>
                <w:rFonts w:ascii="Arial" w:hAnsi="Arial" w:cs="Arial"/>
                <w:b/>
              </w:rPr>
              <w:t>Low</w:t>
            </w:r>
            <w:r w:rsidR="004B39A8" w:rsidRPr="008C4154">
              <w:rPr>
                <w:rFonts w:ascii="Arial" w:hAnsi="Arial" w:cs="Arial"/>
                <w:b/>
              </w:rPr>
              <w:t>est</w:t>
            </w:r>
            <w:r w:rsidRPr="008C4154">
              <w:rPr>
                <w:rFonts w:ascii="Arial" w:hAnsi="Arial" w:cs="Arial"/>
                <w:b/>
              </w:rPr>
              <w:t xml:space="preserve"> </w:t>
            </w:r>
            <w:r w:rsidR="002B1706" w:rsidRPr="008C4154">
              <w:rPr>
                <w:rFonts w:ascii="Arial" w:hAnsi="Arial" w:cs="Arial"/>
                <w:b/>
              </w:rPr>
              <w:t>PRS</w:t>
            </w:r>
            <w:r w:rsidR="004B39A8" w:rsidRPr="008C415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B39A8" w:rsidRPr="008C4154">
              <w:rPr>
                <w:rFonts w:ascii="Arial" w:hAnsi="Arial" w:cs="Arial"/>
                <w:b/>
              </w:rPr>
              <w:t>decile</w:t>
            </w:r>
            <w:proofErr w:type="spellEnd"/>
          </w:p>
        </w:tc>
      </w:tr>
      <w:tr w:rsidR="00C73A53" w:rsidRPr="00925784" w14:paraId="2727925D" w14:textId="77777777" w:rsidTr="00173A51">
        <w:tc>
          <w:tcPr>
            <w:tcW w:w="0" w:type="auto"/>
            <w:gridSpan w:val="2"/>
            <w:vAlign w:val="center"/>
          </w:tcPr>
          <w:p w14:paraId="6FEE3E2A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N</w:t>
            </w:r>
          </w:p>
        </w:tc>
        <w:tc>
          <w:tcPr>
            <w:tcW w:w="2259" w:type="dxa"/>
            <w:vAlign w:val="center"/>
          </w:tcPr>
          <w:p w14:paraId="21D3BE35" w14:textId="694E391D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2155" w:type="dxa"/>
            <w:vAlign w:val="center"/>
          </w:tcPr>
          <w:p w14:paraId="5334AEED" w14:textId="757C6611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</w:tr>
      <w:tr w:rsidR="00C73A53" w:rsidRPr="00925784" w14:paraId="6EF7FAE2" w14:textId="77777777" w:rsidTr="00173A51">
        <w:tc>
          <w:tcPr>
            <w:tcW w:w="0" w:type="auto"/>
            <w:gridSpan w:val="2"/>
            <w:vAlign w:val="center"/>
          </w:tcPr>
          <w:p w14:paraId="3426D294" w14:textId="06A65CDA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PRS (Min, Max)</w:t>
            </w:r>
          </w:p>
        </w:tc>
        <w:tc>
          <w:tcPr>
            <w:tcW w:w="2259" w:type="dxa"/>
            <w:vAlign w:val="center"/>
          </w:tcPr>
          <w:p w14:paraId="5069349B" w14:textId="6D86585D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2.07 (1.28, 4.34)</w:t>
            </w:r>
          </w:p>
        </w:tc>
        <w:tc>
          <w:tcPr>
            <w:tcW w:w="2155" w:type="dxa"/>
            <w:vAlign w:val="center"/>
          </w:tcPr>
          <w:p w14:paraId="6F140B07" w14:textId="46BDDFB1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-2.08 (-3.79, -1.23)</w:t>
            </w:r>
          </w:p>
        </w:tc>
      </w:tr>
      <w:tr w:rsidR="00C73A53" w:rsidRPr="00925784" w14:paraId="66717EE7" w14:textId="77777777" w:rsidTr="00173A51">
        <w:tc>
          <w:tcPr>
            <w:tcW w:w="0" w:type="auto"/>
            <w:gridSpan w:val="2"/>
            <w:vAlign w:val="center"/>
          </w:tcPr>
          <w:p w14:paraId="3A60AD4F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Ancestral Normalized PRS percentile (Min, Max)</w:t>
            </w:r>
          </w:p>
        </w:tc>
        <w:tc>
          <w:tcPr>
            <w:tcW w:w="2259" w:type="dxa"/>
            <w:vAlign w:val="center"/>
          </w:tcPr>
          <w:p w14:paraId="29E57742" w14:textId="776C1519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90, 100</w:t>
            </w:r>
          </w:p>
        </w:tc>
        <w:tc>
          <w:tcPr>
            <w:tcW w:w="2155" w:type="dxa"/>
            <w:vAlign w:val="center"/>
          </w:tcPr>
          <w:p w14:paraId="631CE45C" w14:textId="224AA3F8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0, 10</w:t>
            </w:r>
          </w:p>
        </w:tc>
      </w:tr>
      <w:tr w:rsidR="00C73A53" w:rsidRPr="00925784" w14:paraId="5FE87108" w14:textId="77777777" w:rsidTr="00173A51">
        <w:tc>
          <w:tcPr>
            <w:tcW w:w="0" w:type="auto"/>
            <w:gridSpan w:val="2"/>
            <w:vAlign w:val="center"/>
          </w:tcPr>
          <w:p w14:paraId="2B1E49D2" w14:textId="39D7525E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Age, years (SD)</w:t>
            </w:r>
          </w:p>
        </w:tc>
        <w:tc>
          <w:tcPr>
            <w:tcW w:w="2259" w:type="dxa"/>
            <w:vAlign w:val="center"/>
          </w:tcPr>
          <w:p w14:paraId="4402D854" w14:textId="0B5D2468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65.0 (10.3)</w:t>
            </w:r>
          </w:p>
        </w:tc>
        <w:tc>
          <w:tcPr>
            <w:tcW w:w="2155" w:type="dxa"/>
            <w:vAlign w:val="center"/>
          </w:tcPr>
          <w:p w14:paraId="3C31DC97" w14:textId="34109154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64.7 (10.1)</w:t>
            </w:r>
          </w:p>
        </w:tc>
      </w:tr>
      <w:tr w:rsidR="00C73A53" w:rsidRPr="00925784" w14:paraId="6058BCCF" w14:textId="77777777" w:rsidTr="00173A51">
        <w:tc>
          <w:tcPr>
            <w:tcW w:w="0" w:type="auto"/>
            <w:gridSpan w:val="2"/>
            <w:vAlign w:val="center"/>
          </w:tcPr>
          <w:p w14:paraId="73453A7C" w14:textId="3744BF82" w:rsidR="00C73A53" w:rsidRPr="008C4154" w:rsidRDefault="00602F55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 w:rsidRPr="008C4154">
              <w:rPr>
                <w:rFonts w:ascii="Arial" w:hAnsi="Arial" w:cs="Arial"/>
              </w:rPr>
              <w:t xml:space="preserve"> </w:t>
            </w:r>
            <w:r w:rsidR="00C73A53" w:rsidRPr="008C4154">
              <w:rPr>
                <w:rFonts w:ascii="Arial" w:hAnsi="Arial" w:cs="Arial"/>
              </w:rPr>
              <w:t>(% Male)</w:t>
            </w:r>
          </w:p>
        </w:tc>
        <w:tc>
          <w:tcPr>
            <w:tcW w:w="2259" w:type="dxa"/>
            <w:vAlign w:val="center"/>
          </w:tcPr>
          <w:p w14:paraId="41E1AD8B" w14:textId="17C1D75C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39.6%</w:t>
            </w:r>
          </w:p>
        </w:tc>
        <w:tc>
          <w:tcPr>
            <w:tcW w:w="2155" w:type="dxa"/>
            <w:vAlign w:val="center"/>
          </w:tcPr>
          <w:p w14:paraId="09CB8923" w14:textId="026F91FB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45.5%</w:t>
            </w:r>
          </w:p>
        </w:tc>
      </w:tr>
      <w:tr w:rsidR="00E47533" w:rsidRPr="00925784" w14:paraId="6BEB9525" w14:textId="77777777" w:rsidTr="00173A51">
        <w:tc>
          <w:tcPr>
            <w:tcW w:w="0" w:type="auto"/>
            <w:gridSpan w:val="4"/>
            <w:vAlign w:val="center"/>
          </w:tcPr>
          <w:p w14:paraId="47503AC6" w14:textId="77777777" w:rsidR="00E47533" w:rsidRPr="008C4154" w:rsidRDefault="00E47533" w:rsidP="008C4154">
            <w:pPr>
              <w:jc w:val="center"/>
              <w:rPr>
                <w:rFonts w:ascii="Arial" w:hAnsi="Arial" w:cs="Arial"/>
                <w:b/>
              </w:rPr>
            </w:pPr>
            <w:r w:rsidRPr="008C4154">
              <w:rPr>
                <w:rFonts w:ascii="Arial" w:hAnsi="Arial" w:cs="Arial"/>
                <w:b/>
              </w:rPr>
              <w:t>Genetically inferred ancestries</w:t>
            </w:r>
          </w:p>
        </w:tc>
      </w:tr>
      <w:tr w:rsidR="00C73A53" w:rsidRPr="00925784" w14:paraId="142363DE" w14:textId="77777777" w:rsidTr="00173A51">
        <w:tc>
          <w:tcPr>
            <w:tcW w:w="2097" w:type="dxa"/>
            <w:vMerge w:val="restart"/>
            <w:vAlign w:val="center"/>
          </w:tcPr>
          <w:p w14:paraId="47C596C4" w14:textId="4D443FF9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European</w:t>
            </w:r>
          </w:p>
        </w:tc>
        <w:tc>
          <w:tcPr>
            <w:tcW w:w="2839" w:type="dxa"/>
            <w:vAlign w:val="center"/>
          </w:tcPr>
          <w:p w14:paraId="0235AD75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N (%)</w:t>
            </w:r>
          </w:p>
        </w:tc>
        <w:tc>
          <w:tcPr>
            <w:tcW w:w="2259" w:type="dxa"/>
            <w:vAlign w:val="center"/>
          </w:tcPr>
          <w:p w14:paraId="604C0338" w14:textId="1FD4774B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175 (64.1%)</w:t>
            </w:r>
          </w:p>
        </w:tc>
        <w:tc>
          <w:tcPr>
            <w:tcW w:w="2155" w:type="dxa"/>
            <w:vAlign w:val="center"/>
          </w:tcPr>
          <w:p w14:paraId="5F247182" w14:textId="22F64C14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150 (61.0%)</w:t>
            </w:r>
          </w:p>
        </w:tc>
      </w:tr>
      <w:tr w:rsidR="00C73A53" w:rsidRPr="00925784" w14:paraId="4046807F" w14:textId="77777777" w:rsidTr="00173A51">
        <w:tc>
          <w:tcPr>
            <w:tcW w:w="2097" w:type="dxa"/>
            <w:vMerge/>
            <w:vAlign w:val="center"/>
          </w:tcPr>
          <w:p w14:paraId="2CBAF4BF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vAlign w:val="center"/>
          </w:tcPr>
          <w:p w14:paraId="1B4C069A" w14:textId="4AA1B75A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PRS (Min, Max)</w:t>
            </w:r>
          </w:p>
        </w:tc>
        <w:tc>
          <w:tcPr>
            <w:tcW w:w="2259" w:type="dxa"/>
            <w:vAlign w:val="center"/>
          </w:tcPr>
          <w:p w14:paraId="4EA5F2CC" w14:textId="46754AC4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2.13 (1.43, 4.34)</w:t>
            </w:r>
          </w:p>
        </w:tc>
        <w:tc>
          <w:tcPr>
            <w:tcW w:w="2155" w:type="dxa"/>
            <w:vAlign w:val="center"/>
          </w:tcPr>
          <w:p w14:paraId="4F60666F" w14:textId="5EB0D9DD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-2.11 (-3.72, -1.25)</w:t>
            </w:r>
          </w:p>
        </w:tc>
      </w:tr>
      <w:tr w:rsidR="00C73A53" w:rsidRPr="00925784" w14:paraId="4324FEF5" w14:textId="77777777" w:rsidTr="00173A51">
        <w:tc>
          <w:tcPr>
            <w:tcW w:w="2097" w:type="dxa"/>
            <w:vMerge/>
            <w:vAlign w:val="center"/>
          </w:tcPr>
          <w:p w14:paraId="6BBC6F9C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vAlign w:val="center"/>
          </w:tcPr>
          <w:p w14:paraId="3712ADF5" w14:textId="2AF53A20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Age, years (SD)</w:t>
            </w:r>
          </w:p>
        </w:tc>
        <w:tc>
          <w:tcPr>
            <w:tcW w:w="2259" w:type="dxa"/>
            <w:vAlign w:val="center"/>
          </w:tcPr>
          <w:p w14:paraId="62A85443" w14:textId="1FAC5EE4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66.3 (10.9)</w:t>
            </w:r>
          </w:p>
        </w:tc>
        <w:tc>
          <w:tcPr>
            <w:tcW w:w="2155" w:type="dxa"/>
            <w:vAlign w:val="center"/>
          </w:tcPr>
          <w:p w14:paraId="6EB57A62" w14:textId="34F0F1ED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65.7 (10.2)</w:t>
            </w:r>
          </w:p>
        </w:tc>
      </w:tr>
      <w:tr w:rsidR="00C73A53" w:rsidRPr="00925784" w14:paraId="0368D1A5" w14:textId="77777777" w:rsidTr="00173A51">
        <w:tc>
          <w:tcPr>
            <w:tcW w:w="2097" w:type="dxa"/>
            <w:vMerge w:val="restart"/>
            <w:vAlign w:val="center"/>
          </w:tcPr>
          <w:p w14:paraId="7D55D27E" w14:textId="4E57212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African</w:t>
            </w:r>
          </w:p>
        </w:tc>
        <w:tc>
          <w:tcPr>
            <w:tcW w:w="2839" w:type="dxa"/>
            <w:vAlign w:val="center"/>
          </w:tcPr>
          <w:p w14:paraId="607935A4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N (%)</w:t>
            </w:r>
          </w:p>
        </w:tc>
        <w:tc>
          <w:tcPr>
            <w:tcW w:w="2259" w:type="dxa"/>
            <w:vAlign w:val="center"/>
          </w:tcPr>
          <w:p w14:paraId="250BB6D0" w14:textId="6BC4A9B1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62 (22.7%)</w:t>
            </w:r>
          </w:p>
        </w:tc>
        <w:tc>
          <w:tcPr>
            <w:tcW w:w="2155" w:type="dxa"/>
            <w:vAlign w:val="center"/>
          </w:tcPr>
          <w:p w14:paraId="4D71020F" w14:textId="3BAD2443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44 (17.9%)</w:t>
            </w:r>
          </w:p>
        </w:tc>
      </w:tr>
      <w:tr w:rsidR="00C73A53" w:rsidRPr="00925784" w14:paraId="2E143F93" w14:textId="77777777" w:rsidTr="00173A51">
        <w:tc>
          <w:tcPr>
            <w:tcW w:w="2097" w:type="dxa"/>
            <w:vMerge/>
            <w:vAlign w:val="center"/>
          </w:tcPr>
          <w:p w14:paraId="673F5266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vAlign w:val="center"/>
          </w:tcPr>
          <w:p w14:paraId="0348FA63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PRS (Min, Max)</w:t>
            </w:r>
          </w:p>
        </w:tc>
        <w:tc>
          <w:tcPr>
            <w:tcW w:w="2259" w:type="dxa"/>
            <w:vAlign w:val="center"/>
          </w:tcPr>
          <w:p w14:paraId="21BA4796" w14:textId="63BEC300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2.02 (1.30, 2.83)</w:t>
            </w:r>
          </w:p>
        </w:tc>
        <w:tc>
          <w:tcPr>
            <w:tcW w:w="2155" w:type="dxa"/>
            <w:vAlign w:val="center"/>
          </w:tcPr>
          <w:p w14:paraId="02591200" w14:textId="7DE55614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-2.02 (-3.79, -1.28)</w:t>
            </w:r>
          </w:p>
        </w:tc>
      </w:tr>
      <w:tr w:rsidR="00C73A53" w:rsidRPr="00925784" w14:paraId="05DDF695" w14:textId="77777777" w:rsidTr="00173A51">
        <w:tc>
          <w:tcPr>
            <w:tcW w:w="2097" w:type="dxa"/>
            <w:vMerge/>
            <w:vAlign w:val="center"/>
          </w:tcPr>
          <w:p w14:paraId="59D7BF5F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vAlign w:val="center"/>
          </w:tcPr>
          <w:p w14:paraId="44D58F9B" w14:textId="78ECE9BD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Age, years (SD)</w:t>
            </w:r>
          </w:p>
        </w:tc>
        <w:tc>
          <w:tcPr>
            <w:tcW w:w="2259" w:type="dxa"/>
            <w:vAlign w:val="center"/>
          </w:tcPr>
          <w:p w14:paraId="4FF2FCF5" w14:textId="254B1FD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63.4 (8.2)</w:t>
            </w:r>
          </w:p>
        </w:tc>
        <w:tc>
          <w:tcPr>
            <w:tcW w:w="2155" w:type="dxa"/>
            <w:vAlign w:val="center"/>
          </w:tcPr>
          <w:p w14:paraId="37DF2011" w14:textId="06F51C1F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63.7 (11.7)</w:t>
            </w:r>
          </w:p>
        </w:tc>
      </w:tr>
      <w:tr w:rsidR="00C73A53" w:rsidRPr="00925784" w14:paraId="30C09FFB" w14:textId="77777777" w:rsidTr="00173A51">
        <w:tc>
          <w:tcPr>
            <w:tcW w:w="2097" w:type="dxa"/>
            <w:vMerge w:val="restart"/>
            <w:vAlign w:val="center"/>
          </w:tcPr>
          <w:p w14:paraId="2F4973C4" w14:textId="7F9FAC02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Mixed American</w:t>
            </w:r>
          </w:p>
        </w:tc>
        <w:tc>
          <w:tcPr>
            <w:tcW w:w="2839" w:type="dxa"/>
            <w:vAlign w:val="center"/>
          </w:tcPr>
          <w:p w14:paraId="2FEB048A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N (%)</w:t>
            </w:r>
          </w:p>
        </w:tc>
        <w:tc>
          <w:tcPr>
            <w:tcW w:w="2259" w:type="dxa"/>
            <w:vAlign w:val="center"/>
          </w:tcPr>
          <w:p w14:paraId="6619EFE8" w14:textId="51BF4E30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31 (11.4%)</w:t>
            </w:r>
          </w:p>
        </w:tc>
        <w:tc>
          <w:tcPr>
            <w:tcW w:w="2155" w:type="dxa"/>
            <w:vAlign w:val="center"/>
          </w:tcPr>
          <w:p w14:paraId="0C1585F4" w14:textId="099D890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39 (15.9%)</w:t>
            </w:r>
          </w:p>
        </w:tc>
      </w:tr>
      <w:tr w:rsidR="00C73A53" w:rsidRPr="00925784" w14:paraId="6777EF36" w14:textId="77777777" w:rsidTr="00173A51">
        <w:tc>
          <w:tcPr>
            <w:tcW w:w="2097" w:type="dxa"/>
            <w:vMerge/>
            <w:vAlign w:val="center"/>
          </w:tcPr>
          <w:p w14:paraId="68C63ED1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vAlign w:val="center"/>
          </w:tcPr>
          <w:p w14:paraId="1864C194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PRS (Min, Max)</w:t>
            </w:r>
          </w:p>
        </w:tc>
        <w:tc>
          <w:tcPr>
            <w:tcW w:w="2259" w:type="dxa"/>
            <w:vAlign w:val="center"/>
          </w:tcPr>
          <w:p w14:paraId="6C630296" w14:textId="0C3978CB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1.85 (1.28, 3.34)</w:t>
            </w:r>
          </w:p>
        </w:tc>
        <w:tc>
          <w:tcPr>
            <w:tcW w:w="2155" w:type="dxa"/>
            <w:vAlign w:val="center"/>
          </w:tcPr>
          <w:p w14:paraId="2D671AB2" w14:textId="6EAF1BC6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-2.05 (-3.62, -1.25)</w:t>
            </w:r>
          </w:p>
        </w:tc>
      </w:tr>
      <w:tr w:rsidR="00C73A53" w:rsidRPr="00925784" w14:paraId="4757C1EC" w14:textId="77777777" w:rsidTr="00173A51">
        <w:tc>
          <w:tcPr>
            <w:tcW w:w="2097" w:type="dxa"/>
            <w:vMerge/>
            <w:vAlign w:val="center"/>
          </w:tcPr>
          <w:p w14:paraId="7F20CE91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vAlign w:val="center"/>
          </w:tcPr>
          <w:p w14:paraId="28A19CB8" w14:textId="3F7DD594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Age, years (SD)</w:t>
            </w:r>
          </w:p>
        </w:tc>
        <w:tc>
          <w:tcPr>
            <w:tcW w:w="2259" w:type="dxa"/>
            <w:vAlign w:val="center"/>
          </w:tcPr>
          <w:p w14:paraId="5B06050D" w14:textId="2074B0E6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60.5 (8.5)</w:t>
            </w:r>
          </w:p>
        </w:tc>
        <w:tc>
          <w:tcPr>
            <w:tcW w:w="2155" w:type="dxa"/>
            <w:vAlign w:val="center"/>
          </w:tcPr>
          <w:p w14:paraId="10FCA522" w14:textId="6CC1F7D8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61.8 (8.1)</w:t>
            </w:r>
          </w:p>
        </w:tc>
      </w:tr>
      <w:tr w:rsidR="00C73A53" w:rsidRPr="00925784" w14:paraId="3F833AE9" w14:textId="77777777" w:rsidTr="00173A51">
        <w:tc>
          <w:tcPr>
            <w:tcW w:w="2097" w:type="dxa"/>
            <w:vMerge w:val="restart"/>
            <w:vAlign w:val="center"/>
          </w:tcPr>
          <w:p w14:paraId="0CB759E6" w14:textId="2B96B693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Asian</w:t>
            </w:r>
          </w:p>
        </w:tc>
        <w:tc>
          <w:tcPr>
            <w:tcW w:w="2839" w:type="dxa"/>
            <w:vAlign w:val="center"/>
          </w:tcPr>
          <w:p w14:paraId="710073E4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N (%)</w:t>
            </w:r>
          </w:p>
        </w:tc>
        <w:tc>
          <w:tcPr>
            <w:tcW w:w="2259" w:type="dxa"/>
            <w:vAlign w:val="center"/>
          </w:tcPr>
          <w:p w14:paraId="396AD988" w14:textId="148CAC11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 (1.8%)</w:t>
            </w:r>
          </w:p>
        </w:tc>
        <w:tc>
          <w:tcPr>
            <w:tcW w:w="2155" w:type="dxa"/>
            <w:vAlign w:val="center"/>
          </w:tcPr>
          <w:p w14:paraId="5327F8DE" w14:textId="08473B81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 (5.3%)</w:t>
            </w:r>
          </w:p>
        </w:tc>
      </w:tr>
      <w:tr w:rsidR="00C73A53" w:rsidRPr="00925784" w14:paraId="7B609E34" w14:textId="77777777" w:rsidTr="00173A51">
        <w:tc>
          <w:tcPr>
            <w:tcW w:w="2097" w:type="dxa"/>
            <w:vMerge/>
            <w:vAlign w:val="center"/>
          </w:tcPr>
          <w:p w14:paraId="2877C374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vAlign w:val="center"/>
          </w:tcPr>
          <w:p w14:paraId="15920592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PRS (Min, Max)</w:t>
            </w:r>
          </w:p>
        </w:tc>
        <w:tc>
          <w:tcPr>
            <w:tcW w:w="2259" w:type="dxa"/>
            <w:vAlign w:val="center"/>
          </w:tcPr>
          <w:p w14:paraId="1DEC7002" w14:textId="4FF67278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2.21 (1.87, 2.49)</w:t>
            </w:r>
          </w:p>
        </w:tc>
        <w:tc>
          <w:tcPr>
            <w:tcW w:w="2155" w:type="dxa"/>
            <w:vAlign w:val="center"/>
          </w:tcPr>
          <w:p w14:paraId="1291B886" w14:textId="53EE3C18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-2.08 (-3.03, -1.23)</w:t>
            </w:r>
          </w:p>
        </w:tc>
      </w:tr>
      <w:tr w:rsidR="00C73A53" w:rsidRPr="00925784" w14:paraId="343ACE78" w14:textId="77777777" w:rsidTr="00173A51">
        <w:tc>
          <w:tcPr>
            <w:tcW w:w="2097" w:type="dxa"/>
            <w:vMerge/>
            <w:vAlign w:val="center"/>
          </w:tcPr>
          <w:p w14:paraId="44A23391" w14:textId="77777777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vAlign w:val="center"/>
          </w:tcPr>
          <w:p w14:paraId="1DA11320" w14:textId="01E0688D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 w:rsidRPr="008C4154">
              <w:rPr>
                <w:rFonts w:ascii="Arial" w:hAnsi="Arial" w:cs="Arial"/>
              </w:rPr>
              <w:t>Mean Age, years (SD)</w:t>
            </w:r>
          </w:p>
        </w:tc>
        <w:tc>
          <w:tcPr>
            <w:tcW w:w="2259" w:type="dxa"/>
            <w:vAlign w:val="center"/>
          </w:tcPr>
          <w:p w14:paraId="4767771C" w14:textId="71155AF1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63.6 (12.7)</w:t>
            </w:r>
          </w:p>
        </w:tc>
        <w:tc>
          <w:tcPr>
            <w:tcW w:w="2155" w:type="dxa"/>
            <w:vAlign w:val="center"/>
          </w:tcPr>
          <w:p w14:paraId="675147C2" w14:textId="76DE8F61" w:rsidR="00C73A53" w:rsidRPr="008C4154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64.5 (6.9)</w:t>
            </w:r>
          </w:p>
        </w:tc>
      </w:tr>
    </w:tbl>
    <w:p w14:paraId="02E8BE4F" w14:textId="6DAE1004" w:rsidR="00E47533" w:rsidRDefault="00300C00" w:rsidP="007D6482">
      <w:pPr>
        <w:spacing w:after="0" w:line="240" w:lineRule="auto"/>
        <w:jc w:val="both"/>
        <w:rPr>
          <w:rFonts w:ascii="Arial" w:hAnsi="Arial" w:cs="Arial"/>
        </w:rPr>
      </w:pPr>
      <w:r w:rsidRPr="007D36F1">
        <w:rPr>
          <w:rFonts w:ascii="Arial" w:hAnsi="Arial" w:cs="Arial"/>
        </w:rPr>
        <w:t xml:space="preserve">Abbreviations: </w:t>
      </w:r>
      <w:r w:rsidR="00C0495F">
        <w:rPr>
          <w:rFonts w:ascii="Arial" w:hAnsi="Arial" w:cs="Arial"/>
        </w:rPr>
        <w:t xml:space="preserve">PRS=polygenic risk score; </w:t>
      </w:r>
      <w:r w:rsidRPr="007D36F1">
        <w:rPr>
          <w:rFonts w:ascii="Arial" w:hAnsi="Arial" w:cs="Arial"/>
        </w:rPr>
        <w:t>Min=Minimum; Max=Maximum; SD=Standard Deviation</w:t>
      </w:r>
    </w:p>
    <w:p w14:paraId="50CB807C" w14:textId="77777777" w:rsidR="007D6482" w:rsidRDefault="007D6482" w:rsidP="007D6482">
      <w:pPr>
        <w:spacing w:after="0" w:line="240" w:lineRule="auto"/>
        <w:rPr>
          <w:rFonts w:ascii="Arial" w:hAnsi="Arial" w:cs="Arial"/>
          <w:b/>
        </w:rPr>
      </w:pPr>
    </w:p>
    <w:p w14:paraId="4BC15252" w14:textId="0D400E72" w:rsidR="007833DA" w:rsidRPr="007D36F1" w:rsidRDefault="007833DA" w:rsidP="007D6482">
      <w:pPr>
        <w:spacing w:after="0" w:line="240" w:lineRule="auto"/>
        <w:rPr>
          <w:rFonts w:ascii="Arial" w:hAnsi="Arial" w:cs="Arial"/>
        </w:rPr>
      </w:pPr>
      <w:r w:rsidRPr="007D36F1">
        <w:rPr>
          <w:rFonts w:ascii="Arial" w:hAnsi="Arial" w:cs="Arial"/>
          <w:b/>
        </w:rPr>
        <w:t>Supplementa</w:t>
      </w:r>
      <w:r w:rsidR="00301E52">
        <w:rPr>
          <w:rFonts w:ascii="Arial" w:hAnsi="Arial" w:cs="Arial"/>
          <w:b/>
        </w:rPr>
        <w:t>ry</w:t>
      </w:r>
      <w:r w:rsidRPr="007D36F1">
        <w:rPr>
          <w:rFonts w:ascii="Arial" w:hAnsi="Arial" w:cs="Arial"/>
          <w:b/>
        </w:rPr>
        <w:t xml:space="preserve"> Table 1b</w:t>
      </w:r>
      <w:r w:rsidRPr="007D36F1">
        <w:rPr>
          <w:rFonts w:ascii="Arial" w:hAnsi="Arial" w:cs="Arial"/>
        </w:rPr>
        <w:t xml:space="preserve">.  </w:t>
      </w:r>
      <w:r w:rsidR="002F641D" w:rsidRPr="007D36F1">
        <w:rPr>
          <w:rFonts w:ascii="Arial" w:hAnsi="Arial" w:cs="Arial"/>
        </w:rPr>
        <w:t>Site-specific d</w:t>
      </w:r>
      <w:r w:rsidRPr="007D36F1">
        <w:rPr>
          <w:rFonts w:ascii="Arial" w:hAnsi="Arial" w:cs="Arial"/>
        </w:rPr>
        <w:t xml:space="preserve">emographic features of </w:t>
      </w:r>
      <w:r w:rsidR="00E16CB7">
        <w:rPr>
          <w:rFonts w:ascii="Arial" w:hAnsi="Arial" w:cs="Arial"/>
        </w:rPr>
        <w:t>participants</w:t>
      </w:r>
      <w:r w:rsidR="001329D5">
        <w:rPr>
          <w:rFonts w:ascii="Arial" w:hAnsi="Arial" w:cs="Arial"/>
        </w:rPr>
        <w:t xml:space="preserve"> </w:t>
      </w:r>
      <w:r w:rsidRPr="007D36F1">
        <w:rPr>
          <w:rFonts w:ascii="Arial" w:hAnsi="Arial" w:cs="Arial"/>
        </w:rPr>
        <w:t xml:space="preserve">invited for comprehensive examination </w:t>
      </w:r>
      <w:r w:rsidR="006E2A9C">
        <w:rPr>
          <w:rFonts w:ascii="Arial" w:hAnsi="Arial" w:cs="Arial"/>
        </w:rPr>
        <w:t>(N=519)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2821"/>
        <w:gridCol w:w="1977"/>
        <w:gridCol w:w="2027"/>
      </w:tblGrid>
      <w:tr w:rsidR="007833DA" w:rsidRPr="00555458" w14:paraId="2F22467E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527FE157" w14:textId="77777777" w:rsidR="007833DA" w:rsidRPr="00555458" w:rsidRDefault="007833DA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EF4A05F" w14:textId="77777777" w:rsidR="007833DA" w:rsidRPr="00555458" w:rsidRDefault="007833DA" w:rsidP="0055545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55458">
              <w:rPr>
                <w:rFonts w:ascii="Arial" w:hAnsi="Arial" w:cs="Arial"/>
                <w:b/>
              </w:rPr>
              <w:t>Bio</w:t>
            </w:r>
            <w:r w:rsidRPr="00173A51">
              <w:rPr>
                <w:rFonts w:ascii="Arial" w:hAnsi="Arial" w:cs="Arial"/>
                <w:b/>
                <w:i/>
                <w:iCs/>
              </w:rPr>
              <w:t>Me</w:t>
            </w:r>
            <w:proofErr w:type="spellEnd"/>
          </w:p>
        </w:tc>
        <w:tc>
          <w:tcPr>
            <w:tcW w:w="0" w:type="auto"/>
            <w:vAlign w:val="center"/>
          </w:tcPr>
          <w:p w14:paraId="59B92737" w14:textId="77777777" w:rsidR="007833DA" w:rsidRPr="00555458" w:rsidRDefault="007833DA" w:rsidP="00555458">
            <w:pPr>
              <w:jc w:val="center"/>
              <w:rPr>
                <w:rFonts w:ascii="Arial" w:hAnsi="Arial" w:cs="Arial"/>
                <w:b/>
              </w:rPr>
            </w:pPr>
            <w:r w:rsidRPr="00555458">
              <w:rPr>
                <w:rFonts w:ascii="Arial" w:hAnsi="Arial" w:cs="Arial"/>
                <w:b/>
              </w:rPr>
              <w:t>MGBB</w:t>
            </w:r>
          </w:p>
        </w:tc>
      </w:tr>
      <w:tr w:rsidR="00C73A53" w:rsidRPr="00555458" w14:paraId="1C38933A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50F71DA0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33385266" w14:textId="0A3F3230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0" w:type="auto"/>
            <w:vAlign w:val="center"/>
          </w:tcPr>
          <w:p w14:paraId="12BDF3A4" w14:textId="647133B5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</w:tr>
      <w:tr w:rsidR="00C73A53" w:rsidRPr="00555458" w14:paraId="4DC1F696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4174D7D6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3A88F653" w14:textId="66ADDBCA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0.04 (-3.62, 3.43)</w:t>
            </w:r>
          </w:p>
        </w:tc>
        <w:tc>
          <w:tcPr>
            <w:tcW w:w="0" w:type="auto"/>
            <w:vAlign w:val="center"/>
          </w:tcPr>
          <w:p w14:paraId="335E8FDE" w14:textId="433DFC31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0.16 (-3.79, 4.34)</w:t>
            </w:r>
          </w:p>
        </w:tc>
      </w:tr>
      <w:tr w:rsidR="00C73A53" w:rsidRPr="00555458" w14:paraId="0B5FDB49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251DC883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Ancestral Normalized PRS percentile (Min, Max)</w:t>
            </w:r>
          </w:p>
        </w:tc>
        <w:tc>
          <w:tcPr>
            <w:tcW w:w="0" w:type="auto"/>
            <w:vAlign w:val="center"/>
          </w:tcPr>
          <w:p w14:paraId="02A21246" w14:textId="03586FAD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0, 99</w:t>
            </w:r>
          </w:p>
        </w:tc>
        <w:tc>
          <w:tcPr>
            <w:tcW w:w="0" w:type="auto"/>
            <w:vAlign w:val="center"/>
          </w:tcPr>
          <w:p w14:paraId="1EA3C240" w14:textId="703D9D92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1, 100</w:t>
            </w:r>
          </w:p>
        </w:tc>
      </w:tr>
      <w:tr w:rsidR="00C73A53" w:rsidRPr="00555458" w14:paraId="158F08BD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776C3551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 (SD)</w:t>
            </w:r>
          </w:p>
        </w:tc>
        <w:tc>
          <w:tcPr>
            <w:tcW w:w="0" w:type="auto"/>
            <w:vAlign w:val="center"/>
          </w:tcPr>
          <w:p w14:paraId="0D464E4E" w14:textId="6265F5CE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65.1 (7.4)</w:t>
            </w:r>
          </w:p>
        </w:tc>
        <w:tc>
          <w:tcPr>
            <w:tcW w:w="0" w:type="auto"/>
            <w:vAlign w:val="center"/>
          </w:tcPr>
          <w:p w14:paraId="5D36ACC6" w14:textId="4E6BA3CC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64.6 (12.0)</w:t>
            </w:r>
          </w:p>
        </w:tc>
      </w:tr>
      <w:tr w:rsidR="00C73A53" w:rsidRPr="00555458" w14:paraId="3F5940D9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2B4F0836" w14:textId="5644F52E" w:rsidR="00C73A53" w:rsidRPr="00555458" w:rsidRDefault="00602F55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 w:rsidRPr="00555458">
              <w:rPr>
                <w:rFonts w:ascii="Arial" w:hAnsi="Arial" w:cs="Arial"/>
              </w:rPr>
              <w:t xml:space="preserve"> </w:t>
            </w:r>
            <w:r w:rsidR="00C73A53" w:rsidRPr="00555458">
              <w:rPr>
                <w:rFonts w:ascii="Arial" w:hAnsi="Arial" w:cs="Arial"/>
              </w:rPr>
              <w:t>(% Male)</w:t>
            </w:r>
          </w:p>
        </w:tc>
        <w:tc>
          <w:tcPr>
            <w:tcW w:w="0" w:type="auto"/>
            <w:vAlign w:val="center"/>
          </w:tcPr>
          <w:p w14:paraId="11FAD962" w14:textId="6D76F119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38.7%</w:t>
            </w:r>
          </w:p>
        </w:tc>
        <w:tc>
          <w:tcPr>
            <w:tcW w:w="0" w:type="auto"/>
            <w:vAlign w:val="center"/>
          </w:tcPr>
          <w:p w14:paraId="5F724F4E" w14:textId="070C3A12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45.4%</w:t>
            </w:r>
          </w:p>
        </w:tc>
      </w:tr>
      <w:tr w:rsidR="007833DA" w:rsidRPr="00555458" w14:paraId="161D12DA" w14:textId="77777777" w:rsidTr="00555458">
        <w:trPr>
          <w:jc w:val="center"/>
        </w:trPr>
        <w:tc>
          <w:tcPr>
            <w:tcW w:w="0" w:type="auto"/>
            <w:gridSpan w:val="4"/>
            <w:vAlign w:val="center"/>
          </w:tcPr>
          <w:p w14:paraId="5E1992AE" w14:textId="77777777" w:rsidR="007833DA" w:rsidRPr="00555458" w:rsidRDefault="007833DA" w:rsidP="00555458">
            <w:pPr>
              <w:jc w:val="center"/>
              <w:rPr>
                <w:rFonts w:ascii="Arial" w:hAnsi="Arial" w:cs="Arial"/>
                <w:b/>
              </w:rPr>
            </w:pPr>
            <w:r w:rsidRPr="00555458">
              <w:rPr>
                <w:rFonts w:ascii="Arial" w:hAnsi="Arial" w:cs="Arial"/>
                <w:b/>
              </w:rPr>
              <w:t>Genetically inferred ancestries</w:t>
            </w:r>
          </w:p>
        </w:tc>
      </w:tr>
      <w:tr w:rsidR="00C73A53" w:rsidRPr="00555458" w14:paraId="3FA60E33" w14:textId="77777777" w:rsidTr="00555458">
        <w:trPr>
          <w:jc w:val="center"/>
        </w:trPr>
        <w:tc>
          <w:tcPr>
            <w:tcW w:w="0" w:type="auto"/>
            <w:vMerge w:val="restart"/>
            <w:vAlign w:val="center"/>
          </w:tcPr>
          <w:p w14:paraId="7468EF69" w14:textId="67CA199A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European</w:t>
            </w:r>
          </w:p>
        </w:tc>
        <w:tc>
          <w:tcPr>
            <w:tcW w:w="0" w:type="auto"/>
            <w:vAlign w:val="center"/>
          </w:tcPr>
          <w:p w14:paraId="78B59484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0" w:type="auto"/>
            <w:vAlign w:val="center"/>
          </w:tcPr>
          <w:p w14:paraId="690F7214" w14:textId="6562F6B0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86 (36.6%)</w:t>
            </w:r>
          </w:p>
        </w:tc>
        <w:tc>
          <w:tcPr>
            <w:tcW w:w="0" w:type="auto"/>
            <w:vAlign w:val="center"/>
          </w:tcPr>
          <w:p w14:paraId="10985949" w14:textId="00FD6A4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239 (84.2%)</w:t>
            </w:r>
          </w:p>
        </w:tc>
      </w:tr>
      <w:tr w:rsidR="00C73A53" w:rsidRPr="00555458" w14:paraId="323CBF1B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607B9BB5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1115F27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127BF9F7" w14:textId="5C90CAEE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-0.04 (-3.11, 3.43)</w:t>
            </w:r>
          </w:p>
        </w:tc>
        <w:tc>
          <w:tcPr>
            <w:tcW w:w="0" w:type="auto"/>
            <w:vAlign w:val="center"/>
          </w:tcPr>
          <w:p w14:paraId="3931454F" w14:textId="7989A973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0.25 (-3.72, 4.34)</w:t>
            </w:r>
          </w:p>
        </w:tc>
      </w:tr>
      <w:tr w:rsidR="00C73A53" w:rsidRPr="00555458" w14:paraId="65DD66FC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5F7C310B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A7262B7" w14:textId="3E2D01FC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0" w:type="auto"/>
            <w:vAlign w:val="center"/>
          </w:tcPr>
          <w:p w14:paraId="5141D9A6" w14:textId="157A6993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66.6 (7.4)</w:t>
            </w:r>
          </w:p>
        </w:tc>
        <w:tc>
          <w:tcPr>
            <w:tcW w:w="0" w:type="auto"/>
            <w:vAlign w:val="center"/>
          </w:tcPr>
          <w:p w14:paraId="6647A6F8" w14:textId="33C158A0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65.9 (11.5)</w:t>
            </w:r>
          </w:p>
        </w:tc>
      </w:tr>
      <w:tr w:rsidR="00C73A53" w:rsidRPr="00555458" w14:paraId="67AA97C1" w14:textId="77777777" w:rsidTr="00555458">
        <w:trPr>
          <w:jc w:val="center"/>
        </w:trPr>
        <w:tc>
          <w:tcPr>
            <w:tcW w:w="0" w:type="auto"/>
            <w:vMerge w:val="restart"/>
            <w:vAlign w:val="center"/>
          </w:tcPr>
          <w:p w14:paraId="79C4CB27" w14:textId="4F450D80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African</w:t>
            </w:r>
          </w:p>
        </w:tc>
        <w:tc>
          <w:tcPr>
            <w:tcW w:w="0" w:type="auto"/>
            <w:vAlign w:val="center"/>
          </w:tcPr>
          <w:p w14:paraId="0DB28FCE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0" w:type="auto"/>
            <w:vAlign w:val="center"/>
          </w:tcPr>
          <w:p w14:paraId="16439666" w14:textId="75185204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81 (34.5%)</w:t>
            </w:r>
          </w:p>
        </w:tc>
        <w:tc>
          <w:tcPr>
            <w:tcW w:w="0" w:type="auto"/>
            <w:vAlign w:val="center"/>
          </w:tcPr>
          <w:p w14:paraId="39ED8240" w14:textId="041070FF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 (8.8%)</w:t>
            </w:r>
          </w:p>
        </w:tc>
      </w:tr>
      <w:tr w:rsidR="00C73A53" w:rsidRPr="00555458" w14:paraId="5593CF83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168CC465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1572524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7738B6BC" w14:textId="6CE75318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0.45 (-3.27, 2.83)</w:t>
            </w:r>
          </w:p>
        </w:tc>
        <w:tc>
          <w:tcPr>
            <w:tcW w:w="0" w:type="auto"/>
            <w:vAlign w:val="center"/>
          </w:tcPr>
          <w:p w14:paraId="55C73046" w14:textId="1DB17248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0.005 (-3.79, 2.68)</w:t>
            </w:r>
          </w:p>
        </w:tc>
      </w:tr>
      <w:tr w:rsidR="00C73A53" w:rsidRPr="00555458" w14:paraId="2F58DB98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228CA584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8B67307" w14:textId="101F2966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0" w:type="auto"/>
            <w:vAlign w:val="center"/>
          </w:tcPr>
          <w:p w14:paraId="5A677E40" w14:textId="4E08B6EA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65.7 (7.2)</w:t>
            </w:r>
          </w:p>
        </w:tc>
        <w:tc>
          <w:tcPr>
            <w:tcW w:w="0" w:type="auto"/>
            <w:vAlign w:val="center"/>
          </w:tcPr>
          <w:p w14:paraId="4F634B9E" w14:textId="1516238D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56.6 (13.2)</w:t>
            </w:r>
          </w:p>
        </w:tc>
      </w:tr>
      <w:tr w:rsidR="00C73A53" w:rsidRPr="00555458" w14:paraId="14FB9799" w14:textId="77777777" w:rsidTr="00555458">
        <w:trPr>
          <w:jc w:val="center"/>
        </w:trPr>
        <w:tc>
          <w:tcPr>
            <w:tcW w:w="0" w:type="auto"/>
            <w:vMerge w:val="restart"/>
            <w:vAlign w:val="center"/>
          </w:tcPr>
          <w:p w14:paraId="7EED1EF8" w14:textId="0BF82D48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Mixed American</w:t>
            </w:r>
          </w:p>
        </w:tc>
        <w:tc>
          <w:tcPr>
            <w:tcW w:w="0" w:type="auto"/>
            <w:vAlign w:val="center"/>
          </w:tcPr>
          <w:p w14:paraId="69CA1E9B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0" w:type="auto"/>
            <w:vAlign w:val="center"/>
          </w:tcPr>
          <w:p w14:paraId="0A050CBC" w14:textId="0027B7EF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58 (24.7%)</w:t>
            </w:r>
          </w:p>
        </w:tc>
        <w:tc>
          <w:tcPr>
            <w:tcW w:w="0" w:type="auto"/>
            <w:vAlign w:val="center"/>
          </w:tcPr>
          <w:p w14:paraId="7EC63566" w14:textId="2AD3508D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 (4.2%)</w:t>
            </w:r>
          </w:p>
        </w:tc>
      </w:tr>
      <w:tr w:rsidR="00C73A53" w:rsidRPr="00555458" w14:paraId="1C5AC8D3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12F380B5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29D551B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08D6ACE0" w14:textId="51A5B56D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-0.30 (-3.62, 3.15)</w:t>
            </w:r>
          </w:p>
        </w:tc>
        <w:tc>
          <w:tcPr>
            <w:tcW w:w="0" w:type="auto"/>
            <w:vAlign w:val="center"/>
          </w:tcPr>
          <w:p w14:paraId="2EB2CC77" w14:textId="46DB0572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-0.43 (-2.82, 3.34)</w:t>
            </w:r>
          </w:p>
        </w:tc>
      </w:tr>
      <w:tr w:rsidR="00C73A53" w:rsidRPr="00555458" w14:paraId="66CB5579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61D70717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137DF4A" w14:textId="3522881D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0" w:type="auto"/>
            <w:vAlign w:val="center"/>
          </w:tcPr>
          <w:p w14:paraId="277DDCDF" w14:textId="758E557D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62.0 (6.9)</w:t>
            </w:r>
          </w:p>
        </w:tc>
        <w:tc>
          <w:tcPr>
            <w:tcW w:w="0" w:type="auto"/>
            <w:vAlign w:val="center"/>
          </w:tcPr>
          <w:p w14:paraId="228F1953" w14:textId="78C3BB35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57.6 (12.7)</w:t>
            </w:r>
          </w:p>
        </w:tc>
      </w:tr>
      <w:tr w:rsidR="00C73A53" w:rsidRPr="00555458" w14:paraId="054E3D0A" w14:textId="77777777" w:rsidTr="00555458">
        <w:trPr>
          <w:jc w:val="center"/>
        </w:trPr>
        <w:tc>
          <w:tcPr>
            <w:tcW w:w="0" w:type="auto"/>
            <w:vMerge w:val="restart"/>
            <w:vAlign w:val="center"/>
          </w:tcPr>
          <w:p w14:paraId="219AF85F" w14:textId="4AEDE6D2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Asian</w:t>
            </w:r>
          </w:p>
        </w:tc>
        <w:tc>
          <w:tcPr>
            <w:tcW w:w="0" w:type="auto"/>
            <w:vAlign w:val="center"/>
          </w:tcPr>
          <w:p w14:paraId="51372030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0" w:type="auto"/>
            <w:vAlign w:val="center"/>
          </w:tcPr>
          <w:p w14:paraId="4ADABCCF" w14:textId="66846B81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 (4.3%)</w:t>
            </w:r>
          </w:p>
        </w:tc>
        <w:tc>
          <w:tcPr>
            <w:tcW w:w="0" w:type="auto"/>
            <w:vAlign w:val="center"/>
          </w:tcPr>
          <w:p w14:paraId="448A3634" w14:textId="57F326E4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 (2.8%)</w:t>
            </w:r>
          </w:p>
        </w:tc>
      </w:tr>
      <w:tr w:rsidR="00C73A53" w:rsidRPr="00555458" w14:paraId="178F333D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25885B70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B289101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5E4FD1D7" w14:textId="61CF5B7D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-0.67 (-2.58, 2.49)</w:t>
            </w:r>
          </w:p>
        </w:tc>
        <w:tc>
          <w:tcPr>
            <w:tcW w:w="0" w:type="auto"/>
            <w:vAlign w:val="center"/>
          </w:tcPr>
          <w:p w14:paraId="37321653" w14:textId="6CB0BCA9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-1.16 (-3.03, 2.44)</w:t>
            </w:r>
          </w:p>
        </w:tc>
      </w:tr>
      <w:tr w:rsidR="00C73A53" w:rsidRPr="00555458" w14:paraId="7BE09DF0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6BAD70C4" w14:textId="77777777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7CC0596" w14:textId="358410A9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0" w:type="auto"/>
            <w:vAlign w:val="center"/>
          </w:tcPr>
          <w:p w14:paraId="68FF4B65" w14:textId="3CA41155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66.4 (7.2)</w:t>
            </w:r>
          </w:p>
        </w:tc>
        <w:tc>
          <w:tcPr>
            <w:tcW w:w="0" w:type="auto"/>
            <w:vAlign w:val="center"/>
          </w:tcPr>
          <w:p w14:paraId="24FC3DEE" w14:textId="29F6F3F6" w:rsidR="00C73A53" w:rsidRPr="00555458" w:rsidRDefault="00C73A53" w:rsidP="00C7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61.5 (9.6)</w:t>
            </w:r>
          </w:p>
        </w:tc>
      </w:tr>
    </w:tbl>
    <w:p w14:paraId="2E93531E" w14:textId="3F99930D" w:rsidR="00527A02" w:rsidRDefault="00300C00" w:rsidP="007D6482">
      <w:pPr>
        <w:spacing w:after="0" w:line="240" w:lineRule="auto"/>
        <w:jc w:val="both"/>
        <w:rPr>
          <w:rFonts w:ascii="Arial" w:hAnsi="Arial" w:cs="Arial"/>
        </w:rPr>
      </w:pPr>
      <w:r w:rsidRPr="007D36F1">
        <w:rPr>
          <w:rFonts w:ascii="Arial" w:hAnsi="Arial" w:cs="Arial"/>
        </w:rPr>
        <w:t xml:space="preserve">Abbreviations: </w:t>
      </w:r>
      <w:r w:rsidR="00031836">
        <w:rPr>
          <w:rFonts w:ascii="Arial" w:hAnsi="Arial" w:cs="Arial"/>
        </w:rPr>
        <w:t>PRS=polygenic risk score</w:t>
      </w:r>
      <w:r w:rsidR="00050E7D">
        <w:rPr>
          <w:rFonts w:ascii="Arial" w:hAnsi="Arial" w:cs="Arial"/>
        </w:rPr>
        <w:t xml:space="preserve">; </w:t>
      </w:r>
      <w:r w:rsidRPr="007D36F1">
        <w:rPr>
          <w:rFonts w:ascii="Arial" w:hAnsi="Arial" w:cs="Arial"/>
        </w:rPr>
        <w:t>Min=Minimum; Max=Maximum; SD=Standard Deviation</w:t>
      </w:r>
    </w:p>
    <w:p w14:paraId="1EEBF198" w14:textId="77777777" w:rsidR="007D6482" w:rsidRDefault="007D6482" w:rsidP="007D6482">
      <w:pPr>
        <w:spacing w:after="0" w:line="240" w:lineRule="auto"/>
        <w:jc w:val="both"/>
        <w:rPr>
          <w:rFonts w:ascii="Arial" w:hAnsi="Arial" w:cs="Arial"/>
          <w:b/>
        </w:rPr>
      </w:pPr>
    </w:p>
    <w:p w14:paraId="6CDE0FDF" w14:textId="77777777" w:rsidR="00423C71" w:rsidRDefault="00423C71" w:rsidP="007D6482">
      <w:pPr>
        <w:spacing w:after="0" w:line="240" w:lineRule="auto"/>
        <w:jc w:val="both"/>
        <w:rPr>
          <w:rFonts w:ascii="Arial" w:hAnsi="Arial" w:cs="Arial"/>
          <w:b/>
        </w:rPr>
      </w:pPr>
    </w:p>
    <w:p w14:paraId="31E25100" w14:textId="57099AB8" w:rsidR="006C33A7" w:rsidRPr="007D36F1" w:rsidRDefault="00B94970" w:rsidP="006C33A7">
      <w:pPr>
        <w:spacing w:after="0" w:line="240" w:lineRule="auto"/>
        <w:rPr>
          <w:rFonts w:ascii="Arial" w:hAnsi="Arial" w:cs="Arial"/>
        </w:rPr>
      </w:pPr>
      <w:r w:rsidRPr="007D6482">
        <w:rPr>
          <w:rFonts w:ascii="Arial" w:hAnsi="Arial" w:cs="Arial"/>
          <w:b/>
        </w:rPr>
        <w:t>Supplemental Table 1</w:t>
      </w:r>
      <w:r w:rsidR="002F641D" w:rsidRPr="007D6482">
        <w:rPr>
          <w:rFonts w:ascii="Arial" w:hAnsi="Arial" w:cs="Arial"/>
          <w:b/>
        </w:rPr>
        <w:t>c</w:t>
      </w:r>
      <w:r w:rsidRPr="007D6482">
        <w:rPr>
          <w:rFonts w:ascii="Arial" w:hAnsi="Arial" w:cs="Arial"/>
        </w:rPr>
        <w:t xml:space="preserve">.  Demographic features of </w:t>
      </w:r>
      <w:proofErr w:type="spellStart"/>
      <w:r w:rsidR="0028147D" w:rsidRPr="007D6482">
        <w:rPr>
          <w:rFonts w:ascii="Arial" w:hAnsi="Arial" w:cs="Arial"/>
        </w:rPr>
        <w:t>Bio</w:t>
      </w:r>
      <w:r w:rsidR="0028147D" w:rsidRPr="003C7FF7">
        <w:rPr>
          <w:rFonts w:ascii="Arial" w:hAnsi="Arial" w:cs="Arial"/>
          <w:i/>
          <w:iCs/>
        </w:rPr>
        <w:t>Me</w:t>
      </w:r>
      <w:proofErr w:type="spellEnd"/>
      <w:r w:rsidRPr="007D6482">
        <w:rPr>
          <w:rFonts w:ascii="Arial" w:hAnsi="Arial" w:cs="Arial"/>
        </w:rPr>
        <w:t xml:space="preserve"> patients invited for comprehensive examination</w:t>
      </w:r>
      <w:r w:rsidR="006C33A7">
        <w:rPr>
          <w:rFonts w:ascii="Arial" w:hAnsi="Arial" w:cs="Arial"/>
        </w:rPr>
        <w:t xml:space="preserve"> stratified by PRS</w:t>
      </w:r>
      <w:r w:rsidR="00324D28">
        <w:rPr>
          <w:rFonts w:ascii="Arial" w:hAnsi="Arial" w:cs="Arial"/>
        </w:rPr>
        <w:t xml:space="preserve"> (N=235)</w:t>
      </w:r>
    </w:p>
    <w:p w14:paraId="09CAC13C" w14:textId="268167D3" w:rsidR="00B94970" w:rsidRPr="007D6482" w:rsidRDefault="00B94970" w:rsidP="007D648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2851"/>
        <w:gridCol w:w="1831"/>
        <w:gridCol w:w="2051"/>
      </w:tblGrid>
      <w:tr w:rsidR="00B94970" w:rsidRPr="00555458" w14:paraId="1CFE6608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4263D551" w14:textId="77777777" w:rsidR="00B94970" w:rsidRPr="00555458" w:rsidRDefault="00B94970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AFB58F3" w14:textId="77777777" w:rsidR="00B94970" w:rsidRPr="00555458" w:rsidRDefault="00B94970" w:rsidP="00555458">
            <w:pPr>
              <w:jc w:val="center"/>
              <w:rPr>
                <w:rFonts w:ascii="Arial" w:hAnsi="Arial" w:cs="Arial"/>
                <w:b/>
              </w:rPr>
            </w:pPr>
            <w:r w:rsidRPr="00555458">
              <w:rPr>
                <w:rFonts w:ascii="Arial" w:hAnsi="Arial" w:cs="Arial"/>
                <w:b/>
              </w:rPr>
              <w:t>High PRS</w:t>
            </w:r>
          </w:p>
        </w:tc>
        <w:tc>
          <w:tcPr>
            <w:tcW w:w="0" w:type="auto"/>
            <w:vAlign w:val="center"/>
          </w:tcPr>
          <w:p w14:paraId="6790118E" w14:textId="77777777" w:rsidR="00B94970" w:rsidRPr="00555458" w:rsidRDefault="00B94970" w:rsidP="00555458">
            <w:pPr>
              <w:jc w:val="center"/>
              <w:rPr>
                <w:rFonts w:ascii="Arial" w:hAnsi="Arial" w:cs="Arial"/>
                <w:b/>
              </w:rPr>
            </w:pPr>
            <w:r w:rsidRPr="00555458">
              <w:rPr>
                <w:rFonts w:ascii="Arial" w:hAnsi="Arial" w:cs="Arial"/>
                <w:b/>
              </w:rPr>
              <w:t>Low PRS</w:t>
            </w:r>
          </w:p>
        </w:tc>
      </w:tr>
      <w:tr w:rsidR="0056327C" w:rsidRPr="00555458" w14:paraId="018931ED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669CF488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2E5DE504" w14:textId="6622AFC5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0" w:type="auto"/>
            <w:vAlign w:val="center"/>
          </w:tcPr>
          <w:p w14:paraId="63279B99" w14:textId="23DAD0FF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</w:tr>
      <w:tr w:rsidR="0056327C" w:rsidRPr="00555458" w14:paraId="2F130D71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074CEF73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2D8AB18C" w14:textId="6DCEDA86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1.97 (1.28, 3.43)</w:t>
            </w:r>
          </w:p>
        </w:tc>
        <w:tc>
          <w:tcPr>
            <w:tcW w:w="0" w:type="auto"/>
            <w:vAlign w:val="center"/>
          </w:tcPr>
          <w:p w14:paraId="3CCA11A0" w14:textId="712D58F3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-1.94 (-3.62, -1.23)</w:t>
            </w:r>
          </w:p>
        </w:tc>
      </w:tr>
      <w:tr w:rsidR="0056327C" w:rsidRPr="00555458" w14:paraId="04916431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08F76FD6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Ancestral Normalized PRS percentile (Min, Max)</w:t>
            </w:r>
          </w:p>
        </w:tc>
        <w:tc>
          <w:tcPr>
            <w:tcW w:w="0" w:type="auto"/>
            <w:vAlign w:val="center"/>
          </w:tcPr>
          <w:p w14:paraId="178A18AC" w14:textId="4F3E8791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90, 99</w:t>
            </w:r>
          </w:p>
        </w:tc>
        <w:tc>
          <w:tcPr>
            <w:tcW w:w="0" w:type="auto"/>
            <w:vAlign w:val="center"/>
          </w:tcPr>
          <w:p w14:paraId="27E12D3E" w14:textId="34964F2D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0, 10</w:t>
            </w:r>
          </w:p>
        </w:tc>
      </w:tr>
      <w:tr w:rsidR="0056327C" w:rsidRPr="00555458" w14:paraId="439166A4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58BD55E9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 (SD)</w:t>
            </w:r>
          </w:p>
        </w:tc>
        <w:tc>
          <w:tcPr>
            <w:tcW w:w="0" w:type="auto"/>
            <w:vAlign w:val="center"/>
          </w:tcPr>
          <w:p w14:paraId="7295A8A1" w14:textId="0C0B0E45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65.4 (7.5)</w:t>
            </w:r>
          </w:p>
        </w:tc>
        <w:tc>
          <w:tcPr>
            <w:tcW w:w="0" w:type="auto"/>
            <w:vAlign w:val="center"/>
          </w:tcPr>
          <w:p w14:paraId="72731249" w14:textId="6E7EC07A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64.9 (7.3)</w:t>
            </w:r>
          </w:p>
        </w:tc>
      </w:tr>
      <w:tr w:rsidR="0056327C" w:rsidRPr="00555458" w14:paraId="7104C80B" w14:textId="77777777" w:rsidTr="00555458">
        <w:trPr>
          <w:jc w:val="center"/>
        </w:trPr>
        <w:tc>
          <w:tcPr>
            <w:tcW w:w="0" w:type="auto"/>
            <w:gridSpan w:val="2"/>
            <w:vAlign w:val="center"/>
          </w:tcPr>
          <w:p w14:paraId="3C1B7F9D" w14:textId="4D78E178" w:rsidR="0056327C" w:rsidRPr="00555458" w:rsidRDefault="00602F55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 w:rsidRPr="00555458">
              <w:rPr>
                <w:rFonts w:ascii="Arial" w:hAnsi="Arial" w:cs="Arial"/>
              </w:rPr>
              <w:t xml:space="preserve"> </w:t>
            </w:r>
            <w:r w:rsidR="0056327C" w:rsidRPr="00555458">
              <w:rPr>
                <w:rFonts w:ascii="Arial" w:hAnsi="Arial" w:cs="Arial"/>
              </w:rPr>
              <w:t>(%Male)</w:t>
            </w:r>
          </w:p>
        </w:tc>
        <w:tc>
          <w:tcPr>
            <w:tcW w:w="0" w:type="auto"/>
            <w:vAlign w:val="center"/>
          </w:tcPr>
          <w:p w14:paraId="05FB824E" w14:textId="2B343F50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36.10%</w:t>
            </w:r>
          </w:p>
        </w:tc>
        <w:tc>
          <w:tcPr>
            <w:tcW w:w="0" w:type="auto"/>
            <w:vAlign w:val="center"/>
          </w:tcPr>
          <w:p w14:paraId="1CC29CC4" w14:textId="213713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41.40%</w:t>
            </w:r>
          </w:p>
        </w:tc>
      </w:tr>
      <w:tr w:rsidR="00B94970" w:rsidRPr="00555458" w14:paraId="15886DE7" w14:textId="77777777" w:rsidTr="00555458">
        <w:trPr>
          <w:jc w:val="center"/>
        </w:trPr>
        <w:tc>
          <w:tcPr>
            <w:tcW w:w="0" w:type="auto"/>
            <w:gridSpan w:val="4"/>
            <w:vAlign w:val="center"/>
          </w:tcPr>
          <w:p w14:paraId="5F7B3AB7" w14:textId="77777777" w:rsidR="00B94970" w:rsidRPr="00555458" w:rsidRDefault="00B94970" w:rsidP="00555458">
            <w:pPr>
              <w:jc w:val="center"/>
              <w:rPr>
                <w:rFonts w:ascii="Arial" w:hAnsi="Arial" w:cs="Arial"/>
                <w:b/>
              </w:rPr>
            </w:pPr>
            <w:r w:rsidRPr="00555458">
              <w:rPr>
                <w:rFonts w:ascii="Arial" w:hAnsi="Arial" w:cs="Arial"/>
                <w:b/>
              </w:rPr>
              <w:t>Genetically inferred ancestries</w:t>
            </w:r>
          </w:p>
        </w:tc>
      </w:tr>
      <w:tr w:rsidR="009F6BBB" w:rsidRPr="00555458" w14:paraId="3A3935F9" w14:textId="77777777" w:rsidTr="00555458">
        <w:trPr>
          <w:jc w:val="center"/>
        </w:trPr>
        <w:tc>
          <w:tcPr>
            <w:tcW w:w="0" w:type="auto"/>
            <w:vMerge w:val="restart"/>
            <w:vAlign w:val="center"/>
          </w:tcPr>
          <w:p w14:paraId="2DECEE37" w14:textId="0F4A6B9F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European</w:t>
            </w:r>
          </w:p>
        </w:tc>
        <w:tc>
          <w:tcPr>
            <w:tcW w:w="0" w:type="auto"/>
            <w:vAlign w:val="center"/>
          </w:tcPr>
          <w:p w14:paraId="757B8FC4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0" w:type="auto"/>
            <w:vAlign w:val="center"/>
          </w:tcPr>
          <w:p w14:paraId="20473F9A" w14:textId="23DF1176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42 (35.3%)</w:t>
            </w:r>
          </w:p>
        </w:tc>
        <w:tc>
          <w:tcPr>
            <w:tcW w:w="0" w:type="auto"/>
            <w:vAlign w:val="center"/>
          </w:tcPr>
          <w:p w14:paraId="685FB1E9" w14:textId="00585508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44 (37.9%)</w:t>
            </w:r>
          </w:p>
        </w:tc>
      </w:tr>
      <w:tr w:rsidR="009F6BBB" w:rsidRPr="00555458" w14:paraId="45DC5C1C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3FD874BD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E0343FC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0E5405C6" w14:textId="6830D7B6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2.04 (1.43, 3.43)</w:t>
            </w:r>
          </w:p>
        </w:tc>
        <w:tc>
          <w:tcPr>
            <w:tcW w:w="0" w:type="auto"/>
            <w:vAlign w:val="center"/>
          </w:tcPr>
          <w:p w14:paraId="486E2DB5" w14:textId="351367ED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-2.01 (-3.11, -1.25)</w:t>
            </w:r>
          </w:p>
        </w:tc>
      </w:tr>
      <w:tr w:rsidR="009F6BBB" w:rsidRPr="00555458" w14:paraId="7D073CD7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31C67278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5222655" w14:textId="474E7490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0" w:type="auto"/>
            <w:vAlign w:val="center"/>
          </w:tcPr>
          <w:p w14:paraId="2A256252" w14:textId="23A7A4E6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68.3 (7.1)</w:t>
            </w:r>
          </w:p>
        </w:tc>
        <w:tc>
          <w:tcPr>
            <w:tcW w:w="0" w:type="auto"/>
            <w:vAlign w:val="center"/>
          </w:tcPr>
          <w:p w14:paraId="7739BCA7" w14:textId="04BD6C72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65</w:t>
            </w:r>
            <w:r w:rsidR="00B8451D">
              <w:rPr>
                <w:rFonts w:ascii="Arial" w:hAnsi="Arial" w:cs="Arial"/>
              </w:rPr>
              <w:t>.0</w:t>
            </w:r>
            <w:r w:rsidRPr="00555458">
              <w:rPr>
                <w:rFonts w:ascii="Arial" w:hAnsi="Arial" w:cs="Arial"/>
              </w:rPr>
              <w:t xml:space="preserve"> (7.</w:t>
            </w:r>
            <w:r w:rsidR="00555458">
              <w:rPr>
                <w:rFonts w:ascii="Arial" w:hAnsi="Arial" w:cs="Arial"/>
              </w:rPr>
              <w:t>3</w:t>
            </w:r>
            <w:r w:rsidRPr="00555458">
              <w:rPr>
                <w:rFonts w:ascii="Arial" w:hAnsi="Arial" w:cs="Arial"/>
              </w:rPr>
              <w:t>)</w:t>
            </w:r>
          </w:p>
        </w:tc>
      </w:tr>
      <w:tr w:rsidR="009F6BBB" w:rsidRPr="00555458" w14:paraId="550DC288" w14:textId="77777777" w:rsidTr="00555458">
        <w:trPr>
          <w:jc w:val="center"/>
        </w:trPr>
        <w:tc>
          <w:tcPr>
            <w:tcW w:w="0" w:type="auto"/>
            <w:vMerge w:val="restart"/>
            <w:vAlign w:val="center"/>
          </w:tcPr>
          <w:p w14:paraId="19B5ECC8" w14:textId="350F5E12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African</w:t>
            </w:r>
          </w:p>
        </w:tc>
        <w:tc>
          <w:tcPr>
            <w:tcW w:w="0" w:type="auto"/>
            <w:vAlign w:val="center"/>
          </w:tcPr>
          <w:p w14:paraId="7349850D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0" w:type="auto"/>
            <w:vAlign w:val="center"/>
          </w:tcPr>
          <w:p w14:paraId="6682401A" w14:textId="2C979081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48 (40.3%)</w:t>
            </w:r>
          </w:p>
        </w:tc>
        <w:tc>
          <w:tcPr>
            <w:tcW w:w="0" w:type="auto"/>
            <w:vAlign w:val="center"/>
          </w:tcPr>
          <w:p w14:paraId="2DE2135E" w14:textId="141F3B06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33 (28.4%)</w:t>
            </w:r>
          </w:p>
        </w:tc>
      </w:tr>
      <w:tr w:rsidR="009F6BBB" w:rsidRPr="00555458" w14:paraId="6CF66FC4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0BECBCE4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417365F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598D8F2F" w14:textId="71F606FC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2.01 (1.3</w:t>
            </w:r>
            <w:r w:rsidR="00B8451D">
              <w:rPr>
                <w:rFonts w:ascii="Arial" w:hAnsi="Arial" w:cs="Arial"/>
              </w:rPr>
              <w:t>0</w:t>
            </w:r>
            <w:r w:rsidRPr="00555458">
              <w:rPr>
                <w:rFonts w:ascii="Arial" w:hAnsi="Arial" w:cs="Arial"/>
              </w:rPr>
              <w:t>, 2.83)</w:t>
            </w:r>
          </w:p>
        </w:tc>
        <w:tc>
          <w:tcPr>
            <w:tcW w:w="0" w:type="auto"/>
            <w:vAlign w:val="center"/>
          </w:tcPr>
          <w:p w14:paraId="26BAF284" w14:textId="17D651DA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-1.82 (-3.27, -1.28)</w:t>
            </w:r>
          </w:p>
        </w:tc>
      </w:tr>
      <w:tr w:rsidR="009F6BBB" w:rsidRPr="00555458" w14:paraId="15D8B502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452AACC9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1337B28" w14:textId="14FBF560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 (SD)</w:t>
            </w:r>
          </w:p>
        </w:tc>
        <w:tc>
          <w:tcPr>
            <w:tcW w:w="0" w:type="auto"/>
            <w:vAlign w:val="center"/>
          </w:tcPr>
          <w:p w14:paraId="7F0862BA" w14:textId="716DDBCD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64.8 (6.9)</w:t>
            </w:r>
          </w:p>
        </w:tc>
        <w:tc>
          <w:tcPr>
            <w:tcW w:w="0" w:type="auto"/>
            <w:vAlign w:val="center"/>
          </w:tcPr>
          <w:p w14:paraId="7FC0786C" w14:textId="1B6A4CFB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67</w:t>
            </w:r>
            <w:r w:rsidR="00B8451D">
              <w:rPr>
                <w:rFonts w:ascii="Arial" w:hAnsi="Arial" w:cs="Arial"/>
              </w:rPr>
              <w:t>.0</w:t>
            </w:r>
            <w:r w:rsidRPr="00555458">
              <w:rPr>
                <w:rFonts w:ascii="Arial" w:hAnsi="Arial" w:cs="Arial"/>
              </w:rPr>
              <w:t xml:space="preserve"> (7.7)</w:t>
            </w:r>
          </w:p>
        </w:tc>
      </w:tr>
      <w:tr w:rsidR="009F6BBB" w:rsidRPr="00555458" w14:paraId="3BFF6414" w14:textId="77777777" w:rsidTr="00555458">
        <w:trPr>
          <w:jc w:val="center"/>
        </w:trPr>
        <w:tc>
          <w:tcPr>
            <w:tcW w:w="0" w:type="auto"/>
            <w:vMerge w:val="restart"/>
            <w:vAlign w:val="center"/>
          </w:tcPr>
          <w:p w14:paraId="35A4C540" w14:textId="2998B1EE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Mixed American</w:t>
            </w:r>
          </w:p>
        </w:tc>
        <w:tc>
          <w:tcPr>
            <w:tcW w:w="0" w:type="auto"/>
            <w:vAlign w:val="center"/>
          </w:tcPr>
          <w:p w14:paraId="0D2FF295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0" w:type="auto"/>
            <w:vAlign w:val="center"/>
          </w:tcPr>
          <w:p w14:paraId="0379F8CD" w14:textId="463789F0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26 (21.8%)</w:t>
            </w:r>
          </w:p>
        </w:tc>
        <w:tc>
          <w:tcPr>
            <w:tcW w:w="0" w:type="auto"/>
            <w:vAlign w:val="center"/>
          </w:tcPr>
          <w:p w14:paraId="794A8C90" w14:textId="124D6AB4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32 (27.6%)</w:t>
            </w:r>
          </w:p>
        </w:tc>
      </w:tr>
      <w:tr w:rsidR="009F6BBB" w:rsidRPr="00555458" w14:paraId="1181841C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4FAF1F2B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C4B8E8A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49A7F669" w14:textId="78468B06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1.76 (1.28, 3.15)</w:t>
            </w:r>
          </w:p>
        </w:tc>
        <w:tc>
          <w:tcPr>
            <w:tcW w:w="0" w:type="auto"/>
            <w:vAlign w:val="center"/>
          </w:tcPr>
          <w:p w14:paraId="4BA4EF6A" w14:textId="37CFB80A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-1.97 (-3.62, -1.25)</w:t>
            </w:r>
          </w:p>
        </w:tc>
      </w:tr>
      <w:tr w:rsidR="009F6BBB" w:rsidRPr="00555458" w14:paraId="5325D26F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30B5EE67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E87C327" w14:textId="41F74FC6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0" w:type="auto"/>
            <w:vAlign w:val="center"/>
          </w:tcPr>
          <w:p w14:paraId="495691EC" w14:textId="77ACABE3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61.7 (7.6)</w:t>
            </w:r>
          </w:p>
        </w:tc>
        <w:tc>
          <w:tcPr>
            <w:tcW w:w="0" w:type="auto"/>
            <w:vAlign w:val="center"/>
          </w:tcPr>
          <w:p w14:paraId="1928F403" w14:textId="55995DB4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62.2 (6.</w:t>
            </w:r>
            <w:r w:rsidR="00555458">
              <w:rPr>
                <w:rFonts w:ascii="Arial" w:hAnsi="Arial" w:cs="Arial"/>
              </w:rPr>
              <w:t>5</w:t>
            </w:r>
            <w:r w:rsidRPr="00555458">
              <w:rPr>
                <w:rFonts w:ascii="Arial" w:hAnsi="Arial" w:cs="Arial"/>
              </w:rPr>
              <w:t>)</w:t>
            </w:r>
          </w:p>
        </w:tc>
      </w:tr>
      <w:tr w:rsidR="009F6BBB" w:rsidRPr="00555458" w14:paraId="26273E34" w14:textId="77777777" w:rsidTr="00555458">
        <w:trPr>
          <w:jc w:val="center"/>
        </w:trPr>
        <w:tc>
          <w:tcPr>
            <w:tcW w:w="0" w:type="auto"/>
            <w:vMerge w:val="restart"/>
            <w:vAlign w:val="center"/>
          </w:tcPr>
          <w:p w14:paraId="6D06C0C4" w14:textId="1C00A079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Asian</w:t>
            </w:r>
          </w:p>
        </w:tc>
        <w:tc>
          <w:tcPr>
            <w:tcW w:w="0" w:type="auto"/>
            <w:vAlign w:val="center"/>
          </w:tcPr>
          <w:p w14:paraId="371E143E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0" w:type="auto"/>
            <w:vAlign w:val="center"/>
          </w:tcPr>
          <w:p w14:paraId="17FB5DE0" w14:textId="4F12308A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3 (2.5%)</w:t>
            </w:r>
          </w:p>
        </w:tc>
        <w:tc>
          <w:tcPr>
            <w:tcW w:w="0" w:type="auto"/>
            <w:vAlign w:val="center"/>
          </w:tcPr>
          <w:p w14:paraId="214D1B91" w14:textId="07DCEBB0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7 (6.0%)</w:t>
            </w:r>
          </w:p>
        </w:tc>
      </w:tr>
      <w:tr w:rsidR="009F6BBB" w:rsidRPr="00555458" w14:paraId="6DB1DECC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4A8A1107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DBC25F7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0" w:type="auto"/>
            <w:vAlign w:val="center"/>
          </w:tcPr>
          <w:p w14:paraId="26094834" w14:textId="7F93254C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2.22 (1.87, 2.49)</w:t>
            </w:r>
          </w:p>
        </w:tc>
        <w:tc>
          <w:tcPr>
            <w:tcW w:w="0" w:type="auto"/>
            <w:vAlign w:val="center"/>
          </w:tcPr>
          <w:p w14:paraId="4D23B3B4" w14:textId="79370572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-1.9 (-2.58, -1.23)</w:t>
            </w:r>
          </w:p>
        </w:tc>
      </w:tr>
      <w:tr w:rsidR="009F6BBB" w:rsidRPr="00555458" w14:paraId="1A0A9320" w14:textId="77777777" w:rsidTr="00555458">
        <w:trPr>
          <w:jc w:val="center"/>
        </w:trPr>
        <w:tc>
          <w:tcPr>
            <w:tcW w:w="0" w:type="auto"/>
            <w:vMerge/>
            <w:vAlign w:val="center"/>
          </w:tcPr>
          <w:p w14:paraId="5BBD3337" w14:textId="7777777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462AF9B" w14:textId="232BB317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0" w:type="auto"/>
            <w:vAlign w:val="center"/>
          </w:tcPr>
          <w:p w14:paraId="58F792FE" w14:textId="6FD24736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65.3 (10.8)</w:t>
            </w:r>
          </w:p>
        </w:tc>
        <w:tc>
          <w:tcPr>
            <w:tcW w:w="0" w:type="auto"/>
            <w:vAlign w:val="center"/>
          </w:tcPr>
          <w:p w14:paraId="2CCEF144" w14:textId="167107DD" w:rsidR="009F6BBB" w:rsidRPr="00555458" w:rsidRDefault="009F6BBB" w:rsidP="00555458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66.9 (6.2)</w:t>
            </w:r>
          </w:p>
        </w:tc>
      </w:tr>
    </w:tbl>
    <w:p w14:paraId="2BF22722" w14:textId="3E7930B7" w:rsidR="00423C71" w:rsidRDefault="00423C71" w:rsidP="00423C71">
      <w:pPr>
        <w:spacing w:after="0" w:line="240" w:lineRule="auto"/>
        <w:jc w:val="both"/>
        <w:rPr>
          <w:rFonts w:ascii="Arial" w:hAnsi="Arial" w:cs="Arial"/>
        </w:rPr>
      </w:pPr>
      <w:r w:rsidRPr="007D36F1">
        <w:rPr>
          <w:rFonts w:ascii="Arial" w:hAnsi="Arial" w:cs="Arial"/>
        </w:rPr>
        <w:t xml:space="preserve">Abbreviations: </w:t>
      </w:r>
      <w:r w:rsidR="00050E7D">
        <w:rPr>
          <w:rFonts w:ascii="Arial" w:hAnsi="Arial" w:cs="Arial"/>
        </w:rPr>
        <w:t xml:space="preserve">PRS=polygenic risk score; </w:t>
      </w:r>
      <w:r w:rsidRPr="007D36F1">
        <w:rPr>
          <w:rFonts w:ascii="Arial" w:hAnsi="Arial" w:cs="Arial"/>
        </w:rPr>
        <w:t>Min=Minimum; Max=Maximum; SD=Standard Deviation</w:t>
      </w:r>
    </w:p>
    <w:p w14:paraId="1779D966" w14:textId="77777777" w:rsidR="002C4AD7" w:rsidRDefault="002C4AD7" w:rsidP="00423C71">
      <w:pPr>
        <w:spacing w:after="0" w:line="240" w:lineRule="auto"/>
        <w:jc w:val="both"/>
        <w:rPr>
          <w:rFonts w:ascii="Arial" w:hAnsi="Arial" w:cs="Arial"/>
        </w:rPr>
      </w:pPr>
    </w:p>
    <w:p w14:paraId="374A6696" w14:textId="6B368068" w:rsidR="002C4AD7" w:rsidRDefault="002C4AD7" w:rsidP="00173A51">
      <w:pPr>
        <w:spacing w:after="0" w:line="240" w:lineRule="auto"/>
        <w:rPr>
          <w:rFonts w:ascii="Arial" w:hAnsi="Arial" w:cs="Arial"/>
        </w:rPr>
      </w:pPr>
      <w:r w:rsidRPr="007D36F1">
        <w:rPr>
          <w:rFonts w:ascii="Arial" w:hAnsi="Arial" w:cs="Arial"/>
          <w:b/>
        </w:rPr>
        <w:t xml:space="preserve">Supplemental </w:t>
      </w:r>
      <w:r w:rsidRPr="004E5F87">
        <w:rPr>
          <w:rFonts w:ascii="Arial" w:hAnsi="Arial" w:cs="Arial"/>
          <w:b/>
        </w:rPr>
        <w:t>Table 1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</w:rPr>
        <w:t>.  Demographic features of MGBB patients invited for comprehensive examination</w:t>
      </w:r>
      <w:r w:rsidR="006C33A7">
        <w:rPr>
          <w:rFonts w:ascii="Arial" w:hAnsi="Arial" w:cs="Arial"/>
        </w:rPr>
        <w:t xml:space="preserve"> stratified by PRS</w:t>
      </w:r>
      <w:r w:rsidR="00324D28">
        <w:rPr>
          <w:rFonts w:ascii="Arial" w:hAnsi="Arial" w:cs="Arial"/>
        </w:rPr>
        <w:t xml:space="preserve"> (N=</w:t>
      </w:r>
      <w:r w:rsidR="00EB7028">
        <w:rPr>
          <w:rFonts w:ascii="Arial" w:hAnsi="Arial" w:cs="Arial"/>
        </w:rPr>
        <w:t>284</w:t>
      </w:r>
      <w:r w:rsidR="00324D28">
        <w:rPr>
          <w:rFonts w:ascii="Arial" w:hAnsi="Arial" w:cs="Arial"/>
        </w:rPr>
        <w:t>)</w:t>
      </w:r>
    </w:p>
    <w:p w14:paraId="03D40943" w14:textId="77777777" w:rsidR="00423C71" w:rsidRDefault="00423C71" w:rsidP="00423C7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819"/>
        <w:gridCol w:w="3306"/>
        <w:gridCol w:w="2070"/>
        <w:gridCol w:w="2070"/>
      </w:tblGrid>
      <w:tr w:rsidR="00A96EF6" w:rsidRPr="00555458" w14:paraId="03CF6838" w14:textId="77777777" w:rsidTr="00173A51">
        <w:trPr>
          <w:jc w:val="center"/>
        </w:trPr>
        <w:tc>
          <w:tcPr>
            <w:tcW w:w="5125" w:type="dxa"/>
            <w:gridSpan w:val="2"/>
            <w:vAlign w:val="center"/>
          </w:tcPr>
          <w:p w14:paraId="2ACD3ED5" w14:textId="74A6C17E" w:rsidR="00A96EF6" w:rsidRPr="00555458" w:rsidRDefault="00A96EF6" w:rsidP="00423C71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1EF04839" w14:textId="77777777" w:rsidR="00A96EF6" w:rsidRPr="00555458" w:rsidRDefault="00A96EF6" w:rsidP="00423C71">
            <w:pPr>
              <w:jc w:val="center"/>
              <w:rPr>
                <w:rFonts w:ascii="Arial" w:hAnsi="Arial" w:cs="Arial"/>
                <w:b/>
              </w:rPr>
            </w:pPr>
            <w:r w:rsidRPr="00555458">
              <w:rPr>
                <w:rFonts w:ascii="Arial" w:hAnsi="Arial" w:cs="Arial"/>
                <w:b/>
              </w:rPr>
              <w:t>High PRS</w:t>
            </w:r>
          </w:p>
        </w:tc>
        <w:tc>
          <w:tcPr>
            <w:tcW w:w="2070" w:type="dxa"/>
            <w:vAlign w:val="center"/>
          </w:tcPr>
          <w:p w14:paraId="030F7A31" w14:textId="77777777" w:rsidR="00A96EF6" w:rsidRPr="00555458" w:rsidRDefault="00A96EF6" w:rsidP="00423C71">
            <w:pPr>
              <w:jc w:val="center"/>
              <w:rPr>
                <w:rFonts w:ascii="Arial" w:hAnsi="Arial" w:cs="Arial"/>
                <w:b/>
              </w:rPr>
            </w:pPr>
            <w:r w:rsidRPr="00555458">
              <w:rPr>
                <w:rFonts w:ascii="Arial" w:hAnsi="Arial" w:cs="Arial"/>
                <w:b/>
              </w:rPr>
              <w:t>Low PRS</w:t>
            </w:r>
          </w:p>
        </w:tc>
      </w:tr>
      <w:tr w:rsidR="0056327C" w:rsidRPr="00555458" w14:paraId="17E8F5C9" w14:textId="77777777" w:rsidTr="00173A51">
        <w:trPr>
          <w:jc w:val="center"/>
        </w:trPr>
        <w:tc>
          <w:tcPr>
            <w:tcW w:w="5125" w:type="dxa"/>
            <w:gridSpan w:val="2"/>
            <w:vAlign w:val="center"/>
          </w:tcPr>
          <w:p w14:paraId="46DDEB96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</w:t>
            </w:r>
          </w:p>
        </w:tc>
        <w:tc>
          <w:tcPr>
            <w:tcW w:w="2070" w:type="dxa"/>
            <w:vAlign w:val="center"/>
          </w:tcPr>
          <w:p w14:paraId="4AA3AFA6" w14:textId="213BDA64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2070" w:type="dxa"/>
            <w:vAlign w:val="center"/>
          </w:tcPr>
          <w:p w14:paraId="04965FE1" w14:textId="036890DC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</w:tr>
      <w:tr w:rsidR="0056327C" w:rsidRPr="00555458" w14:paraId="052BE2DF" w14:textId="77777777" w:rsidTr="00173A51">
        <w:trPr>
          <w:jc w:val="center"/>
        </w:trPr>
        <w:tc>
          <w:tcPr>
            <w:tcW w:w="5125" w:type="dxa"/>
            <w:gridSpan w:val="2"/>
            <w:vAlign w:val="center"/>
          </w:tcPr>
          <w:p w14:paraId="5F29D897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2070" w:type="dxa"/>
            <w:vAlign w:val="center"/>
          </w:tcPr>
          <w:p w14:paraId="6366F803" w14:textId="0F3C83B9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2.16 (1.67, 4.34)</w:t>
            </w:r>
          </w:p>
        </w:tc>
        <w:tc>
          <w:tcPr>
            <w:tcW w:w="2070" w:type="dxa"/>
            <w:vAlign w:val="center"/>
          </w:tcPr>
          <w:p w14:paraId="00457F28" w14:textId="5C6DDBD6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-2.21 (-3.79, -1.75)</w:t>
            </w:r>
          </w:p>
        </w:tc>
      </w:tr>
      <w:tr w:rsidR="0056327C" w:rsidRPr="00555458" w14:paraId="3772FF90" w14:textId="77777777" w:rsidTr="00173A51">
        <w:trPr>
          <w:jc w:val="center"/>
        </w:trPr>
        <w:tc>
          <w:tcPr>
            <w:tcW w:w="5125" w:type="dxa"/>
            <w:gridSpan w:val="2"/>
            <w:vAlign w:val="center"/>
          </w:tcPr>
          <w:p w14:paraId="7FAB4779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Ancestral Normalized PRS percentile (Min, Max)</w:t>
            </w:r>
          </w:p>
        </w:tc>
        <w:tc>
          <w:tcPr>
            <w:tcW w:w="2070" w:type="dxa"/>
            <w:vAlign w:val="center"/>
          </w:tcPr>
          <w:p w14:paraId="68E1D996" w14:textId="37C2123E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96, 100</w:t>
            </w:r>
          </w:p>
        </w:tc>
        <w:tc>
          <w:tcPr>
            <w:tcW w:w="2070" w:type="dxa"/>
            <w:vAlign w:val="center"/>
          </w:tcPr>
          <w:p w14:paraId="3B654774" w14:textId="348A611A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1, 5</w:t>
            </w:r>
          </w:p>
        </w:tc>
      </w:tr>
      <w:tr w:rsidR="0056327C" w:rsidRPr="00555458" w14:paraId="01B8B517" w14:textId="77777777" w:rsidTr="00173A51">
        <w:trPr>
          <w:jc w:val="center"/>
        </w:trPr>
        <w:tc>
          <w:tcPr>
            <w:tcW w:w="5125" w:type="dxa"/>
            <w:gridSpan w:val="2"/>
            <w:vAlign w:val="center"/>
          </w:tcPr>
          <w:p w14:paraId="51C309A8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 (SD)</w:t>
            </w:r>
          </w:p>
        </w:tc>
        <w:tc>
          <w:tcPr>
            <w:tcW w:w="2070" w:type="dxa"/>
            <w:vAlign w:val="center"/>
          </w:tcPr>
          <w:p w14:paraId="425663C6" w14:textId="335D6A20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64.6 (12.0)</w:t>
            </w:r>
          </w:p>
        </w:tc>
        <w:tc>
          <w:tcPr>
            <w:tcW w:w="2070" w:type="dxa"/>
            <w:vAlign w:val="center"/>
          </w:tcPr>
          <w:p w14:paraId="073E726F" w14:textId="71B9853A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64.6 (12.1)</w:t>
            </w:r>
          </w:p>
        </w:tc>
      </w:tr>
      <w:tr w:rsidR="0056327C" w:rsidRPr="00555458" w14:paraId="450E8A97" w14:textId="77777777" w:rsidTr="00173A51">
        <w:trPr>
          <w:jc w:val="center"/>
        </w:trPr>
        <w:tc>
          <w:tcPr>
            <w:tcW w:w="5125" w:type="dxa"/>
            <w:gridSpan w:val="2"/>
            <w:vAlign w:val="center"/>
          </w:tcPr>
          <w:p w14:paraId="2607DFA4" w14:textId="3C59F6C6" w:rsidR="0056327C" w:rsidRPr="00555458" w:rsidRDefault="00602F55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 w:rsidRPr="00555458">
              <w:rPr>
                <w:rFonts w:ascii="Arial" w:hAnsi="Arial" w:cs="Arial"/>
              </w:rPr>
              <w:t xml:space="preserve"> </w:t>
            </w:r>
            <w:r w:rsidR="0056327C" w:rsidRPr="00555458">
              <w:rPr>
                <w:rFonts w:ascii="Arial" w:hAnsi="Arial" w:cs="Arial"/>
              </w:rPr>
              <w:t>(%Male)</w:t>
            </w:r>
          </w:p>
        </w:tc>
        <w:tc>
          <w:tcPr>
            <w:tcW w:w="2070" w:type="dxa"/>
            <w:vAlign w:val="center"/>
          </w:tcPr>
          <w:p w14:paraId="171B5779" w14:textId="23FFACDF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42.20%</w:t>
            </w:r>
          </w:p>
        </w:tc>
        <w:tc>
          <w:tcPr>
            <w:tcW w:w="2070" w:type="dxa"/>
            <w:vAlign w:val="center"/>
          </w:tcPr>
          <w:p w14:paraId="0EF76C9D" w14:textId="31C5C8C4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49.20%</w:t>
            </w:r>
          </w:p>
        </w:tc>
      </w:tr>
      <w:tr w:rsidR="00A96EF6" w:rsidRPr="00555458" w14:paraId="28222B6E" w14:textId="77777777" w:rsidTr="00173A51">
        <w:trPr>
          <w:jc w:val="center"/>
        </w:trPr>
        <w:tc>
          <w:tcPr>
            <w:tcW w:w="9265" w:type="dxa"/>
            <w:gridSpan w:val="4"/>
            <w:vAlign w:val="center"/>
          </w:tcPr>
          <w:p w14:paraId="59E7AE9A" w14:textId="77777777" w:rsidR="00A96EF6" w:rsidRPr="00555458" w:rsidRDefault="00A96EF6" w:rsidP="00555458">
            <w:pPr>
              <w:jc w:val="center"/>
              <w:rPr>
                <w:rFonts w:ascii="Arial" w:hAnsi="Arial" w:cs="Arial"/>
                <w:b/>
              </w:rPr>
            </w:pPr>
            <w:r w:rsidRPr="00555458">
              <w:rPr>
                <w:rFonts w:ascii="Arial" w:hAnsi="Arial" w:cs="Arial"/>
                <w:b/>
              </w:rPr>
              <w:t>Genetically inferred ancestries</w:t>
            </w:r>
          </w:p>
        </w:tc>
      </w:tr>
      <w:tr w:rsidR="0056327C" w:rsidRPr="00555458" w14:paraId="4B9B5A8B" w14:textId="77777777" w:rsidTr="00173A51">
        <w:trPr>
          <w:jc w:val="center"/>
        </w:trPr>
        <w:tc>
          <w:tcPr>
            <w:tcW w:w="0" w:type="auto"/>
            <w:vMerge w:val="restart"/>
            <w:vAlign w:val="center"/>
          </w:tcPr>
          <w:p w14:paraId="41E8DA80" w14:textId="61EEC5AF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European</w:t>
            </w:r>
          </w:p>
        </w:tc>
        <w:tc>
          <w:tcPr>
            <w:tcW w:w="3260" w:type="dxa"/>
            <w:vAlign w:val="center"/>
          </w:tcPr>
          <w:p w14:paraId="1D133B8A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2070" w:type="dxa"/>
            <w:vAlign w:val="center"/>
          </w:tcPr>
          <w:p w14:paraId="05DFEB36" w14:textId="1FB28394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133 (85.4%)</w:t>
            </w:r>
          </w:p>
        </w:tc>
        <w:tc>
          <w:tcPr>
            <w:tcW w:w="2070" w:type="dxa"/>
            <w:vAlign w:val="center"/>
          </w:tcPr>
          <w:p w14:paraId="7A4F346E" w14:textId="0EE255E1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106 (81.5%)</w:t>
            </w:r>
          </w:p>
        </w:tc>
      </w:tr>
      <w:tr w:rsidR="0056327C" w:rsidRPr="00555458" w14:paraId="476939E7" w14:textId="77777777" w:rsidTr="00173A51">
        <w:trPr>
          <w:jc w:val="center"/>
        </w:trPr>
        <w:tc>
          <w:tcPr>
            <w:tcW w:w="0" w:type="auto"/>
            <w:vMerge/>
            <w:vAlign w:val="center"/>
          </w:tcPr>
          <w:p w14:paraId="21ED66A2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B870A0D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2070" w:type="dxa"/>
            <w:vAlign w:val="center"/>
          </w:tcPr>
          <w:p w14:paraId="76996D36" w14:textId="147FF22E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2.16 (1.75, 4.34)</w:t>
            </w:r>
          </w:p>
        </w:tc>
        <w:tc>
          <w:tcPr>
            <w:tcW w:w="2070" w:type="dxa"/>
            <w:vAlign w:val="center"/>
          </w:tcPr>
          <w:p w14:paraId="76FF9E4F" w14:textId="74E1689E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-2.15 (-3.72, -1.75)</w:t>
            </w:r>
          </w:p>
        </w:tc>
      </w:tr>
      <w:tr w:rsidR="0056327C" w:rsidRPr="00555458" w14:paraId="052B5DFA" w14:textId="77777777" w:rsidTr="00173A51">
        <w:trPr>
          <w:jc w:val="center"/>
        </w:trPr>
        <w:tc>
          <w:tcPr>
            <w:tcW w:w="0" w:type="auto"/>
            <w:vMerge/>
            <w:vAlign w:val="center"/>
          </w:tcPr>
          <w:p w14:paraId="2ADF40D7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1C73D7D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2070" w:type="dxa"/>
            <w:vAlign w:val="center"/>
          </w:tcPr>
          <w:p w14:paraId="638EC5E4" w14:textId="2D4F647E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65.7 (11.8)</w:t>
            </w:r>
          </w:p>
        </w:tc>
        <w:tc>
          <w:tcPr>
            <w:tcW w:w="2070" w:type="dxa"/>
            <w:vAlign w:val="center"/>
          </w:tcPr>
          <w:p w14:paraId="774AA1BA" w14:textId="767478C4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66.0 (11.2)</w:t>
            </w:r>
          </w:p>
        </w:tc>
      </w:tr>
      <w:tr w:rsidR="0056327C" w:rsidRPr="00555458" w14:paraId="3CC819F7" w14:textId="77777777" w:rsidTr="00173A51">
        <w:trPr>
          <w:jc w:val="center"/>
        </w:trPr>
        <w:tc>
          <w:tcPr>
            <w:tcW w:w="0" w:type="auto"/>
            <w:vMerge w:val="restart"/>
            <w:vAlign w:val="center"/>
          </w:tcPr>
          <w:p w14:paraId="6BC0E79B" w14:textId="2022BCB1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African</w:t>
            </w:r>
          </w:p>
        </w:tc>
        <w:tc>
          <w:tcPr>
            <w:tcW w:w="3260" w:type="dxa"/>
            <w:vAlign w:val="center"/>
          </w:tcPr>
          <w:p w14:paraId="62821074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2070" w:type="dxa"/>
            <w:vAlign w:val="center"/>
          </w:tcPr>
          <w:p w14:paraId="32BE28C1" w14:textId="48B68D30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 (9.1%)</w:t>
            </w:r>
          </w:p>
        </w:tc>
        <w:tc>
          <w:tcPr>
            <w:tcW w:w="2070" w:type="dxa"/>
            <w:vAlign w:val="center"/>
          </w:tcPr>
          <w:p w14:paraId="442E3C32" w14:textId="7AE52FAB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 (8.5%)</w:t>
            </w:r>
          </w:p>
        </w:tc>
      </w:tr>
      <w:tr w:rsidR="0056327C" w:rsidRPr="00555458" w14:paraId="7142C035" w14:textId="77777777" w:rsidTr="00173A51">
        <w:trPr>
          <w:jc w:val="center"/>
        </w:trPr>
        <w:tc>
          <w:tcPr>
            <w:tcW w:w="0" w:type="auto"/>
            <w:vMerge/>
            <w:vAlign w:val="center"/>
          </w:tcPr>
          <w:p w14:paraId="6398DD5D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A71214F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2070" w:type="dxa"/>
            <w:vAlign w:val="center"/>
          </w:tcPr>
          <w:p w14:paraId="6117BC73" w14:textId="775AFF53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2.05 (1.67, 2.68)</w:t>
            </w:r>
          </w:p>
        </w:tc>
        <w:tc>
          <w:tcPr>
            <w:tcW w:w="2070" w:type="dxa"/>
            <w:vAlign w:val="center"/>
          </w:tcPr>
          <w:p w14:paraId="66A55F37" w14:textId="60F22D1D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-2.60 (-3.79, -1.91)</w:t>
            </w:r>
          </w:p>
        </w:tc>
      </w:tr>
      <w:tr w:rsidR="0056327C" w:rsidRPr="00555458" w14:paraId="51143C02" w14:textId="77777777" w:rsidTr="00173A51">
        <w:trPr>
          <w:jc w:val="center"/>
        </w:trPr>
        <w:tc>
          <w:tcPr>
            <w:tcW w:w="0" w:type="auto"/>
            <w:vMerge/>
            <w:vAlign w:val="center"/>
          </w:tcPr>
          <w:p w14:paraId="28D49B6E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F5B8D45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 (SD)</w:t>
            </w:r>
          </w:p>
        </w:tc>
        <w:tc>
          <w:tcPr>
            <w:tcW w:w="2070" w:type="dxa"/>
            <w:vAlign w:val="center"/>
          </w:tcPr>
          <w:p w14:paraId="764786C0" w14:textId="7F09FB28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58.6 (10.5)</w:t>
            </w:r>
          </w:p>
        </w:tc>
        <w:tc>
          <w:tcPr>
            <w:tcW w:w="2070" w:type="dxa"/>
            <w:vAlign w:val="center"/>
          </w:tcPr>
          <w:p w14:paraId="3109692A" w14:textId="25C88CF5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54.0 (16.1)</w:t>
            </w:r>
          </w:p>
        </w:tc>
      </w:tr>
      <w:tr w:rsidR="0056327C" w:rsidRPr="00555458" w14:paraId="5E73C7BD" w14:textId="77777777" w:rsidTr="00173A51">
        <w:trPr>
          <w:jc w:val="center"/>
        </w:trPr>
        <w:tc>
          <w:tcPr>
            <w:tcW w:w="0" w:type="auto"/>
            <w:vMerge w:val="restart"/>
            <w:vAlign w:val="center"/>
          </w:tcPr>
          <w:p w14:paraId="104F0B12" w14:textId="6FAD9E4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Mixed American</w:t>
            </w:r>
          </w:p>
        </w:tc>
        <w:tc>
          <w:tcPr>
            <w:tcW w:w="3260" w:type="dxa"/>
            <w:vAlign w:val="center"/>
          </w:tcPr>
          <w:p w14:paraId="43686C0F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2070" w:type="dxa"/>
            <w:vAlign w:val="center"/>
          </w:tcPr>
          <w:p w14:paraId="18064FF9" w14:textId="042CD9FC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 (3.3%)</w:t>
            </w:r>
          </w:p>
        </w:tc>
        <w:tc>
          <w:tcPr>
            <w:tcW w:w="2070" w:type="dxa"/>
            <w:vAlign w:val="center"/>
          </w:tcPr>
          <w:p w14:paraId="4536B2BD" w14:textId="417E9620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 (5.4%)</w:t>
            </w:r>
          </w:p>
        </w:tc>
      </w:tr>
      <w:tr w:rsidR="0056327C" w:rsidRPr="00555458" w14:paraId="746E0D15" w14:textId="77777777" w:rsidTr="00173A51">
        <w:trPr>
          <w:jc w:val="center"/>
        </w:trPr>
        <w:tc>
          <w:tcPr>
            <w:tcW w:w="0" w:type="auto"/>
            <w:vMerge/>
            <w:vAlign w:val="center"/>
          </w:tcPr>
          <w:p w14:paraId="1AC277A7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3174FAEA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2070" w:type="dxa"/>
            <w:vAlign w:val="center"/>
          </w:tcPr>
          <w:p w14:paraId="6FCAB427" w14:textId="570561FC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2.35 (1.80, 3.34)</w:t>
            </w:r>
          </w:p>
        </w:tc>
        <w:tc>
          <w:tcPr>
            <w:tcW w:w="2070" w:type="dxa"/>
            <w:vAlign w:val="center"/>
          </w:tcPr>
          <w:p w14:paraId="4E6E3181" w14:textId="2A667C5B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-2.41 (-2.82, -2.02)</w:t>
            </w:r>
          </w:p>
        </w:tc>
      </w:tr>
      <w:tr w:rsidR="0056327C" w:rsidRPr="00555458" w14:paraId="57A36D6B" w14:textId="77777777" w:rsidTr="00173A51">
        <w:trPr>
          <w:jc w:val="center"/>
        </w:trPr>
        <w:tc>
          <w:tcPr>
            <w:tcW w:w="0" w:type="auto"/>
            <w:vMerge/>
            <w:vAlign w:val="center"/>
          </w:tcPr>
          <w:p w14:paraId="3CF8DC0F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321F07FD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2070" w:type="dxa"/>
            <w:vAlign w:val="center"/>
          </w:tcPr>
          <w:p w14:paraId="6B8234E6" w14:textId="55E14346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53.8 (10.8)</w:t>
            </w:r>
          </w:p>
        </w:tc>
        <w:tc>
          <w:tcPr>
            <w:tcW w:w="2070" w:type="dxa"/>
            <w:vAlign w:val="center"/>
          </w:tcPr>
          <w:p w14:paraId="7D343A09" w14:textId="260959A0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60.3 (14.0)</w:t>
            </w:r>
          </w:p>
        </w:tc>
      </w:tr>
      <w:tr w:rsidR="0056327C" w:rsidRPr="00555458" w14:paraId="28D4F2F6" w14:textId="77777777" w:rsidTr="00173A51">
        <w:trPr>
          <w:jc w:val="center"/>
        </w:trPr>
        <w:tc>
          <w:tcPr>
            <w:tcW w:w="0" w:type="auto"/>
            <w:vMerge w:val="restart"/>
            <w:vAlign w:val="center"/>
          </w:tcPr>
          <w:p w14:paraId="33A98F58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Asian</w:t>
            </w:r>
          </w:p>
        </w:tc>
        <w:tc>
          <w:tcPr>
            <w:tcW w:w="3260" w:type="dxa"/>
            <w:vAlign w:val="center"/>
          </w:tcPr>
          <w:p w14:paraId="0AECE4E9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N (%)</w:t>
            </w:r>
          </w:p>
        </w:tc>
        <w:tc>
          <w:tcPr>
            <w:tcW w:w="2070" w:type="dxa"/>
            <w:vAlign w:val="center"/>
          </w:tcPr>
          <w:p w14:paraId="3D166C20" w14:textId="15197525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 (1.3%)</w:t>
            </w:r>
          </w:p>
        </w:tc>
        <w:tc>
          <w:tcPr>
            <w:tcW w:w="2070" w:type="dxa"/>
            <w:vAlign w:val="center"/>
          </w:tcPr>
          <w:p w14:paraId="203EEB48" w14:textId="4F08F908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 (4.6%)</w:t>
            </w:r>
          </w:p>
        </w:tc>
      </w:tr>
      <w:tr w:rsidR="0056327C" w:rsidRPr="00555458" w14:paraId="5B991119" w14:textId="77777777" w:rsidTr="00173A51">
        <w:trPr>
          <w:jc w:val="center"/>
        </w:trPr>
        <w:tc>
          <w:tcPr>
            <w:tcW w:w="0" w:type="auto"/>
            <w:vMerge/>
            <w:vAlign w:val="center"/>
          </w:tcPr>
          <w:p w14:paraId="0C799DFD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30AEA57D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PRS (Min, Max)</w:t>
            </w:r>
          </w:p>
        </w:tc>
        <w:tc>
          <w:tcPr>
            <w:tcW w:w="2070" w:type="dxa"/>
            <w:vAlign w:val="center"/>
          </w:tcPr>
          <w:p w14:paraId="370F7731" w14:textId="7B0EA0FE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2.20 (1.96, 2.44)</w:t>
            </w:r>
          </w:p>
        </w:tc>
        <w:tc>
          <w:tcPr>
            <w:tcW w:w="2070" w:type="dxa"/>
            <w:vAlign w:val="center"/>
          </w:tcPr>
          <w:p w14:paraId="675C50EA" w14:textId="5C73A0F5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-2.28 (-3.03, -1.89)</w:t>
            </w:r>
          </w:p>
        </w:tc>
      </w:tr>
      <w:tr w:rsidR="0056327C" w:rsidRPr="00555458" w14:paraId="19552B1D" w14:textId="77777777" w:rsidTr="00173A51">
        <w:trPr>
          <w:jc w:val="center"/>
        </w:trPr>
        <w:tc>
          <w:tcPr>
            <w:tcW w:w="0" w:type="auto"/>
            <w:vMerge/>
            <w:vAlign w:val="center"/>
          </w:tcPr>
          <w:p w14:paraId="1A31E219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06BB8FC9" w14:textId="77777777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 w:rsidRPr="00555458">
              <w:rPr>
                <w:rFonts w:ascii="Arial" w:hAnsi="Arial" w:cs="Arial"/>
              </w:rPr>
              <w:t>Mean Age, years (SD)</w:t>
            </w:r>
          </w:p>
        </w:tc>
        <w:tc>
          <w:tcPr>
            <w:tcW w:w="2070" w:type="dxa"/>
            <w:vAlign w:val="center"/>
          </w:tcPr>
          <w:p w14:paraId="6487B60F" w14:textId="2FA47008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61.0 (19.8)</w:t>
            </w:r>
          </w:p>
        </w:tc>
        <w:tc>
          <w:tcPr>
            <w:tcW w:w="2070" w:type="dxa"/>
            <w:vAlign w:val="center"/>
          </w:tcPr>
          <w:p w14:paraId="45604573" w14:textId="63FFFB3F" w:rsidR="0056327C" w:rsidRPr="00555458" w:rsidRDefault="0056327C" w:rsidP="00563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61.7 (7.1)</w:t>
            </w:r>
          </w:p>
        </w:tc>
      </w:tr>
    </w:tbl>
    <w:p w14:paraId="34D89EBD" w14:textId="790B76F0" w:rsidR="009F6BBB" w:rsidRDefault="00404887" w:rsidP="003668A4">
      <w:pPr>
        <w:tabs>
          <w:tab w:val="left" w:pos="75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Abbreviations: Min=Minimum; Max=Maximum; SD=Standard Deviation</w:t>
      </w:r>
      <w:r w:rsidR="003668A4">
        <w:rPr>
          <w:rFonts w:ascii="Arial" w:hAnsi="Arial" w:cs="Arial"/>
        </w:rPr>
        <w:tab/>
      </w:r>
    </w:p>
    <w:p w14:paraId="47DEBCD0" w14:textId="06238648" w:rsidR="003668A4" w:rsidRPr="00EF60BA" w:rsidRDefault="00EF60BA" w:rsidP="003668A4">
      <w:pPr>
        <w:tabs>
          <w:tab w:val="left" w:pos="7570"/>
        </w:tabs>
        <w:spacing w:after="0" w:line="240" w:lineRule="auto"/>
        <w:jc w:val="both"/>
        <w:rPr>
          <w:rFonts w:ascii="Arial" w:hAnsi="Arial" w:cs="Arial"/>
          <w:b/>
        </w:rPr>
      </w:pPr>
      <w:r w:rsidRPr="00EF60BA">
        <w:rPr>
          <w:rFonts w:ascii="Arial" w:hAnsi="Arial" w:cs="Arial"/>
          <w:b/>
        </w:rPr>
        <w:lastRenderedPageBreak/>
        <w:t xml:space="preserve">Supplementary Table 2. Previously undiagnosed glaucoma in the highest and lowest polygenic risk score (PRS) </w:t>
      </w:r>
      <w:proofErr w:type="spellStart"/>
      <w:r w:rsidRPr="00EF60BA">
        <w:rPr>
          <w:rFonts w:ascii="Arial" w:hAnsi="Arial" w:cs="Arial"/>
          <w:b/>
        </w:rPr>
        <w:t>decile</w:t>
      </w:r>
      <w:proofErr w:type="spellEnd"/>
      <w:r w:rsidRPr="00EF60BA">
        <w:rPr>
          <w:rFonts w:ascii="Arial" w:hAnsi="Arial" w:cs="Arial"/>
          <w:b/>
        </w:rPr>
        <w:t xml:space="preserve"> group</w:t>
      </w:r>
      <w:r w:rsidR="00FA66DA">
        <w:rPr>
          <w:rFonts w:ascii="Arial" w:hAnsi="Arial" w:cs="Arial"/>
          <w:b/>
        </w:rPr>
        <w:t>s</w:t>
      </w:r>
      <w:r w:rsidRPr="00EF60BA">
        <w:rPr>
          <w:rFonts w:ascii="Arial" w:hAnsi="Arial" w:cs="Arial"/>
          <w:b/>
        </w:rPr>
        <w:t xml:space="preserve"> in two </w:t>
      </w:r>
      <w:proofErr w:type="spellStart"/>
      <w:r w:rsidRPr="00EF60BA">
        <w:rPr>
          <w:rFonts w:ascii="Arial" w:hAnsi="Arial" w:cs="Arial"/>
          <w:b/>
        </w:rPr>
        <w:t>biobanks</w:t>
      </w:r>
      <w:proofErr w:type="spellEnd"/>
      <w:r w:rsidRPr="00EF60BA">
        <w:rPr>
          <w:rFonts w:ascii="Arial" w:hAnsi="Arial" w:cs="Arial"/>
          <w:b/>
        </w:rPr>
        <w:t>.</w:t>
      </w:r>
    </w:p>
    <w:p w14:paraId="46FE597E" w14:textId="77777777" w:rsidR="003668A4" w:rsidRDefault="003668A4" w:rsidP="003668A4">
      <w:pPr>
        <w:tabs>
          <w:tab w:val="left" w:pos="757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2240"/>
        <w:gridCol w:w="3870"/>
        <w:gridCol w:w="3888"/>
      </w:tblGrid>
      <w:tr w:rsidR="003668A4" w:rsidRPr="003668A4" w14:paraId="6990D32F" w14:textId="77777777" w:rsidTr="00EF60BA">
        <w:trPr>
          <w:trHeight w:val="54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A501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FFE89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8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Highest PRS </w:t>
            </w:r>
            <w:proofErr w:type="spellStart"/>
            <w:r w:rsidRPr="003668A4">
              <w:rPr>
                <w:rFonts w:ascii="Arial" w:eastAsia="Times New Roman" w:hAnsi="Arial" w:cs="Arial"/>
                <w:b/>
                <w:bCs/>
                <w:color w:val="000000"/>
              </w:rPr>
              <w:t>decile</w:t>
            </w:r>
            <w:proofErr w:type="spellEnd"/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D29F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8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Lowest PRS </w:t>
            </w:r>
            <w:proofErr w:type="spellStart"/>
            <w:r w:rsidRPr="003668A4">
              <w:rPr>
                <w:rFonts w:ascii="Arial" w:eastAsia="Times New Roman" w:hAnsi="Arial" w:cs="Arial"/>
                <w:b/>
                <w:bCs/>
                <w:color w:val="000000"/>
              </w:rPr>
              <w:t>decile</w:t>
            </w:r>
            <w:proofErr w:type="spellEnd"/>
          </w:p>
        </w:tc>
      </w:tr>
      <w:tr w:rsidR="003668A4" w:rsidRPr="003668A4" w14:paraId="3E376BF7" w14:textId="77777777" w:rsidTr="00EF60BA">
        <w:trPr>
          <w:trHeight w:val="7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29F77" w14:textId="77777777" w:rsidR="003668A4" w:rsidRPr="003668A4" w:rsidRDefault="003668A4" w:rsidP="003668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9FED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8A4">
              <w:rPr>
                <w:rFonts w:ascii="Arial" w:eastAsia="Times New Roman" w:hAnsi="Arial" w:cs="Arial"/>
                <w:b/>
                <w:bCs/>
                <w:color w:val="000000"/>
              </w:rPr>
              <w:t>Previously Undiagnosed / Glaucoma Cases (%), N=51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1F24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8A4">
              <w:rPr>
                <w:rFonts w:ascii="Arial" w:eastAsia="Times New Roman" w:hAnsi="Arial" w:cs="Arial"/>
                <w:b/>
                <w:bCs/>
                <w:color w:val="000000"/>
              </w:rPr>
              <w:t>Previously Undiagnosed / Glaucoma Cases (%), N=10</w:t>
            </w:r>
          </w:p>
        </w:tc>
      </w:tr>
      <w:tr w:rsidR="003668A4" w:rsidRPr="003668A4" w14:paraId="65B46D83" w14:textId="77777777" w:rsidTr="00EF60B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5ABEF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668A4">
              <w:rPr>
                <w:rFonts w:ascii="Arial" w:eastAsia="Times New Roman" w:hAnsi="Arial" w:cs="Arial"/>
                <w:color w:val="000000"/>
              </w:rPr>
              <w:t>Bio</w:t>
            </w:r>
            <w:r w:rsidRPr="003C7FF7">
              <w:rPr>
                <w:rFonts w:ascii="Arial" w:eastAsia="Times New Roman" w:hAnsi="Arial" w:cs="Arial"/>
                <w:i/>
                <w:iCs/>
                <w:color w:val="000000"/>
              </w:rPr>
              <w:t>Me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DB6B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13/27 (48.1%)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91C8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2/4 (50%)</w:t>
            </w:r>
          </w:p>
        </w:tc>
      </w:tr>
      <w:tr w:rsidR="003668A4" w:rsidRPr="003668A4" w14:paraId="289295D3" w14:textId="77777777" w:rsidTr="00EF60B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1BD9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MGBB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24D5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11/24 (45.8%)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C06B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4/6 (66.7%)</w:t>
            </w:r>
          </w:p>
        </w:tc>
      </w:tr>
      <w:tr w:rsidR="003668A4" w:rsidRPr="003668A4" w14:paraId="0D31ABD2" w14:textId="77777777" w:rsidTr="00EF60B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8809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668A4">
              <w:rPr>
                <w:rFonts w:ascii="Arial" w:eastAsia="Times New Roman" w:hAnsi="Arial" w:cs="Arial"/>
                <w:color w:val="000000"/>
              </w:rPr>
              <w:t>Bio</w:t>
            </w:r>
            <w:r w:rsidRPr="003C7FF7">
              <w:rPr>
                <w:rFonts w:ascii="Arial" w:eastAsia="Times New Roman" w:hAnsi="Arial" w:cs="Arial"/>
                <w:i/>
                <w:iCs/>
                <w:color w:val="000000"/>
              </w:rPr>
              <w:t>Me</w:t>
            </w:r>
            <w:proofErr w:type="spellEnd"/>
            <w:r w:rsidRPr="003668A4">
              <w:rPr>
                <w:rFonts w:ascii="Arial" w:eastAsia="Times New Roman" w:hAnsi="Arial" w:cs="Arial"/>
                <w:color w:val="000000"/>
              </w:rPr>
              <w:t xml:space="preserve"> &amp; MGBB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8694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24/51 (47.1%)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4B648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6/10 (60%)</w:t>
            </w:r>
          </w:p>
        </w:tc>
      </w:tr>
      <w:tr w:rsidR="003668A4" w:rsidRPr="003668A4" w14:paraId="686843A8" w14:textId="77777777" w:rsidTr="00EF60B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4B97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European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B174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13/29 (44.8%)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8191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3/3 (100%)</w:t>
            </w:r>
          </w:p>
        </w:tc>
      </w:tr>
      <w:tr w:rsidR="003668A4" w:rsidRPr="003668A4" w14:paraId="455799EA" w14:textId="77777777" w:rsidTr="00EF60B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75C7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African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B07E5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7/15 (46.7%)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A34D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3/4 (75%)</w:t>
            </w:r>
          </w:p>
        </w:tc>
      </w:tr>
      <w:tr w:rsidR="003668A4" w:rsidRPr="003668A4" w14:paraId="6E994A14" w14:textId="77777777" w:rsidTr="00EF60B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70C9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Mixed American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BB37F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4/6 (66.7%)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FF3B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0/3 (0%)</w:t>
            </w:r>
          </w:p>
        </w:tc>
      </w:tr>
      <w:tr w:rsidR="003668A4" w:rsidRPr="003668A4" w14:paraId="2F44AF72" w14:textId="77777777" w:rsidTr="00EF60B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BE4B2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Asian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24DC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0/1 (0%)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FB522" w14:textId="77777777" w:rsidR="003668A4" w:rsidRPr="003668A4" w:rsidRDefault="003668A4" w:rsidP="00366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668A4">
              <w:rPr>
                <w:rFonts w:ascii="Arial" w:eastAsia="Times New Roman" w:hAnsi="Arial" w:cs="Arial"/>
                <w:color w:val="000000"/>
              </w:rPr>
              <w:t>0/0</w:t>
            </w:r>
          </w:p>
        </w:tc>
      </w:tr>
    </w:tbl>
    <w:p w14:paraId="5643835E" w14:textId="3757BD76" w:rsidR="00925784" w:rsidRPr="00EF60BA" w:rsidRDefault="00EF60BA" w:rsidP="00E07A0B">
      <w:pPr>
        <w:spacing w:after="240" w:line="360" w:lineRule="auto"/>
        <w:jc w:val="both"/>
        <w:rPr>
          <w:rFonts w:ascii="Arial" w:hAnsi="Arial" w:cs="Arial"/>
        </w:rPr>
      </w:pPr>
      <w:r w:rsidRPr="00EF60BA">
        <w:rPr>
          <w:rFonts w:ascii="Arial" w:hAnsi="Arial" w:cs="Arial"/>
        </w:rPr>
        <w:t xml:space="preserve">Abbreviations: MGBB, Mass General Brigham </w:t>
      </w:r>
      <w:proofErr w:type="spellStart"/>
      <w:r w:rsidRPr="00EF60BA">
        <w:rPr>
          <w:rFonts w:ascii="Arial" w:hAnsi="Arial" w:cs="Arial"/>
        </w:rPr>
        <w:t>Biobank</w:t>
      </w:r>
      <w:proofErr w:type="spellEnd"/>
    </w:p>
    <w:p w14:paraId="2F7D621B" w14:textId="37D089CE" w:rsidR="008541A2" w:rsidRPr="00052A73" w:rsidRDefault="008541A2" w:rsidP="008A0137">
      <w:pPr>
        <w:spacing w:after="0" w:line="240" w:lineRule="auto"/>
        <w:jc w:val="both"/>
        <w:rPr>
          <w:rFonts w:ascii="Arial" w:hAnsi="Arial" w:cs="Arial"/>
          <w:b/>
        </w:rPr>
      </w:pPr>
      <w:r w:rsidRPr="00052A73">
        <w:rPr>
          <w:rFonts w:ascii="Arial" w:hAnsi="Arial" w:cs="Arial"/>
          <w:b/>
        </w:rPr>
        <w:t>References</w:t>
      </w:r>
    </w:p>
    <w:p w14:paraId="27C46FDD" w14:textId="65755CC1" w:rsidR="00E47533" w:rsidRPr="008A0137" w:rsidRDefault="00E47533" w:rsidP="008A0137">
      <w:pPr>
        <w:spacing w:after="0" w:line="240" w:lineRule="auto"/>
        <w:jc w:val="both"/>
        <w:rPr>
          <w:rFonts w:ascii="Arial" w:hAnsi="Arial" w:cs="Arial"/>
        </w:rPr>
      </w:pPr>
      <w:r w:rsidRPr="008A0137">
        <w:rPr>
          <w:rFonts w:ascii="Arial" w:hAnsi="Arial" w:cs="Arial"/>
        </w:rPr>
        <w:t xml:space="preserve">Boutin NT, </w:t>
      </w:r>
      <w:proofErr w:type="spellStart"/>
      <w:r w:rsidRPr="008A0137">
        <w:rPr>
          <w:rFonts w:ascii="Arial" w:hAnsi="Arial" w:cs="Arial"/>
        </w:rPr>
        <w:t>Schecter</w:t>
      </w:r>
      <w:proofErr w:type="spellEnd"/>
      <w:r w:rsidRPr="008A0137">
        <w:rPr>
          <w:rFonts w:ascii="Arial" w:hAnsi="Arial" w:cs="Arial"/>
        </w:rPr>
        <w:t xml:space="preserve"> SB, Perez EF, et al. The Evolution of a Large </w:t>
      </w:r>
      <w:proofErr w:type="spellStart"/>
      <w:r w:rsidRPr="008A0137">
        <w:rPr>
          <w:rFonts w:ascii="Arial" w:hAnsi="Arial" w:cs="Arial"/>
        </w:rPr>
        <w:t>Biobank</w:t>
      </w:r>
      <w:proofErr w:type="spellEnd"/>
      <w:r w:rsidRPr="008A0137">
        <w:rPr>
          <w:rFonts w:ascii="Arial" w:hAnsi="Arial" w:cs="Arial"/>
        </w:rPr>
        <w:t xml:space="preserve"> at Mass General Brigham. </w:t>
      </w:r>
      <w:r w:rsidRPr="008A0137">
        <w:rPr>
          <w:rFonts w:ascii="Arial" w:hAnsi="Arial" w:cs="Arial"/>
          <w:i/>
          <w:iCs/>
        </w:rPr>
        <w:t xml:space="preserve">J </w:t>
      </w:r>
      <w:proofErr w:type="spellStart"/>
      <w:r w:rsidRPr="008A0137">
        <w:rPr>
          <w:rFonts w:ascii="Arial" w:hAnsi="Arial" w:cs="Arial"/>
          <w:i/>
          <w:iCs/>
        </w:rPr>
        <w:t>Pers</w:t>
      </w:r>
      <w:proofErr w:type="spellEnd"/>
      <w:r w:rsidRPr="008A0137">
        <w:rPr>
          <w:rFonts w:ascii="Arial" w:hAnsi="Arial" w:cs="Arial"/>
          <w:i/>
          <w:iCs/>
        </w:rPr>
        <w:t xml:space="preserve"> Med</w:t>
      </w:r>
      <w:r w:rsidRPr="008A0137">
        <w:rPr>
          <w:rFonts w:ascii="Arial" w:hAnsi="Arial" w:cs="Arial"/>
        </w:rPr>
        <w:t>. 2022</w:t>
      </w:r>
      <w:proofErr w:type="gramStart"/>
      <w:r w:rsidRPr="008A0137">
        <w:rPr>
          <w:rFonts w:ascii="Arial" w:hAnsi="Arial" w:cs="Arial"/>
        </w:rPr>
        <w:t>;12</w:t>
      </w:r>
      <w:proofErr w:type="gramEnd"/>
      <w:r w:rsidRPr="008A0137">
        <w:rPr>
          <w:rFonts w:ascii="Arial" w:hAnsi="Arial" w:cs="Arial"/>
        </w:rPr>
        <w:t xml:space="preserve">(8):1323. </w:t>
      </w:r>
    </w:p>
    <w:p w14:paraId="573EED98" w14:textId="77777777" w:rsidR="008A0137" w:rsidRPr="008A0137" w:rsidRDefault="008A0137" w:rsidP="008A0137">
      <w:pPr>
        <w:spacing w:after="0" w:line="240" w:lineRule="auto"/>
        <w:jc w:val="both"/>
        <w:rPr>
          <w:rFonts w:ascii="Arial" w:hAnsi="Arial" w:cs="Arial"/>
        </w:rPr>
      </w:pPr>
    </w:p>
    <w:p w14:paraId="7E05E4AE" w14:textId="2F677964" w:rsidR="00462B2A" w:rsidRPr="008A0137" w:rsidRDefault="00462B2A" w:rsidP="008A0137">
      <w:pPr>
        <w:pStyle w:val="Bibliography"/>
        <w:spacing w:after="0" w:line="240" w:lineRule="auto"/>
        <w:rPr>
          <w:rFonts w:ascii="Arial" w:hAnsi="Arial" w:cs="Arial"/>
        </w:rPr>
      </w:pPr>
      <w:proofErr w:type="spellStart"/>
      <w:r w:rsidRPr="008A0137">
        <w:rPr>
          <w:rFonts w:ascii="Arial" w:hAnsi="Arial" w:cs="Arial"/>
        </w:rPr>
        <w:t>Bycroft</w:t>
      </w:r>
      <w:proofErr w:type="spellEnd"/>
      <w:r w:rsidRPr="008A0137">
        <w:rPr>
          <w:rFonts w:ascii="Arial" w:hAnsi="Arial" w:cs="Arial"/>
        </w:rPr>
        <w:t xml:space="preserve"> C, Freeman C, </w:t>
      </w:r>
      <w:proofErr w:type="spellStart"/>
      <w:r w:rsidRPr="008A0137">
        <w:rPr>
          <w:rFonts w:ascii="Arial" w:hAnsi="Arial" w:cs="Arial"/>
        </w:rPr>
        <w:t>Petkova</w:t>
      </w:r>
      <w:proofErr w:type="spellEnd"/>
      <w:r w:rsidRPr="008A0137">
        <w:rPr>
          <w:rFonts w:ascii="Arial" w:hAnsi="Arial" w:cs="Arial"/>
        </w:rPr>
        <w:t xml:space="preserve"> D, et al. Genome-wide genetic data on ~500,000 UK </w:t>
      </w:r>
      <w:proofErr w:type="spellStart"/>
      <w:r w:rsidRPr="008A0137">
        <w:rPr>
          <w:rFonts w:ascii="Arial" w:hAnsi="Arial" w:cs="Arial"/>
        </w:rPr>
        <w:t>Biobank</w:t>
      </w:r>
      <w:proofErr w:type="spellEnd"/>
      <w:r w:rsidRPr="008A0137">
        <w:rPr>
          <w:rFonts w:ascii="Arial" w:hAnsi="Arial" w:cs="Arial"/>
        </w:rPr>
        <w:t xml:space="preserve"> participant</w:t>
      </w:r>
      <w:r w:rsidR="00FA66DA">
        <w:rPr>
          <w:rFonts w:ascii="Arial" w:hAnsi="Arial" w:cs="Arial"/>
        </w:rPr>
        <w:t>s</w:t>
      </w:r>
      <w:r w:rsidRPr="008A0137">
        <w:rPr>
          <w:rFonts w:ascii="Arial" w:hAnsi="Arial" w:cs="Arial"/>
        </w:rPr>
        <w:t xml:space="preserve">. Published online </w:t>
      </w:r>
      <w:r w:rsidR="00FA66DA">
        <w:rPr>
          <w:rFonts w:ascii="Arial" w:hAnsi="Arial" w:cs="Arial"/>
        </w:rPr>
        <w:t xml:space="preserve">in </w:t>
      </w:r>
      <w:r w:rsidRPr="008A0137">
        <w:rPr>
          <w:rFonts w:ascii="Arial" w:hAnsi="Arial" w:cs="Arial"/>
        </w:rPr>
        <w:t xml:space="preserve">2017. </w:t>
      </w:r>
    </w:p>
    <w:p w14:paraId="242DCF57" w14:textId="77777777" w:rsidR="008A0137" w:rsidRPr="008A0137" w:rsidRDefault="008A0137" w:rsidP="008A0137">
      <w:pPr>
        <w:spacing w:after="0" w:line="240" w:lineRule="auto"/>
        <w:rPr>
          <w:rFonts w:ascii="Arial" w:hAnsi="Arial" w:cs="Arial"/>
        </w:rPr>
      </w:pPr>
    </w:p>
    <w:p w14:paraId="14ACE4CD" w14:textId="46582F48" w:rsidR="00462B2A" w:rsidRPr="008A0137" w:rsidRDefault="00462B2A" w:rsidP="008A0137">
      <w:pPr>
        <w:spacing w:after="0" w:line="240" w:lineRule="auto"/>
        <w:jc w:val="both"/>
        <w:rPr>
          <w:rFonts w:ascii="Arial" w:hAnsi="Arial" w:cs="Arial"/>
        </w:rPr>
      </w:pPr>
      <w:r w:rsidRPr="008A0137">
        <w:rPr>
          <w:rFonts w:ascii="Arial" w:hAnsi="Arial" w:cs="Arial"/>
        </w:rPr>
        <w:t xml:space="preserve">Chen R, </w:t>
      </w:r>
      <w:proofErr w:type="spellStart"/>
      <w:r w:rsidRPr="008A0137">
        <w:rPr>
          <w:rFonts w:ascii="Arial" w:hAnsi="Arial" w:cs="Arial"/>
        </w:rPr>
        <w:t>Petrazzini</w:t>
      </w:r>
      <w:proofErr w:type="spellEnd"/>
      <w:r w:rsidRPr="008A0137">
        <w:rPr>
          <w:rFonts w:ascii="Arial" w:hAnsi="Arial" w:cs="Arial"/>
        </w:rPr>
        <w:t xml:space="preserve"> BO, Duffy Á, Rocheleau G, Jordan D, Bansal M, Do R. Trans-ancestral rare variant association study with machine learning-based </w:t>
      </w:r>
      <w:proofErr w:type="spellStart"/>
      <w:r w:rsidRPr="008A0137">
        <w:rPr>
          <w:rFonts w:ascii="Arial" w:hAnsi="Arial" w:cs="Arial"/>
        </w:rPr>
        <w:t>phenotyping</w:t>
      </w:r>
      <w:proofErr w:type="spellEnd"/>
      <w:r w:rsidRPr="008A0137">
        <w:rPr>
          <w:rFonts w:ascii="Arial" w:hAnsi="Arial" w:cs="Arial"/>
        </w:rPr>
        <w:t xml:space="preserve"> for metabolic dysfunction-associated </w:t>
      </w:r>
      <w:proofErr w:type="spellStart"/>
      <w:r w:rsidRPr="008A0137">
        <w:rPr>
          <w:rFonts w:ascii="Arial" w:hAnsi="Arial" w:cs="Arial"/>
        </w:rPr>
        <w:t>steatotic</w:t>
      </w:r>
      <w:proofErr w:type="spellEnd"/>
      <w:r w:rsidRPr="008A0137">
        <w:rPr>
          <w:rFonts w:ascii="Arial" w:hAnsi="Arial" w:cs="Arial"/>
        </w:rPr>
        <w:t xml:space="preserve"> liver disease. Genome Biol. 2025 Mar 10</w:t>
      </w:r>
      <w:proofErr w:type="gramStart"/>
      <w:r w:rsidRPr="008A0137">
        <w:rPr>
          <w:rFonts w:ascii="Arial" w:hAnsi="Arial" w:cs="Arial"/>
        </w:rPr>
        <w:t>;26</w:t>
      </w:r>
      <w:proofErr w:type="gramEnd"/>
      <w:r w:rsidRPr="008A0137">
        <w:rPr>
          <w:rFonts w:ascii="Arial" w:hAnsi="Arial" w:cs="Arial"/>
        </w:rPr>
        <w:t>(1):50.</w:t>
      </w:r>
    </w:p>
    <w:p w14:paraId="0C77FE65" w14:textId="77777777" w:rsidR="008A0137" w:rsidRPr="008A0137" w:rsidRDefault="008A0137" w:rsidP="008A0137">
      <w:pPr>
        <w:spacing w:after="0" w:line="240" w:lineRule="auto"/>
        <w:jc w:val="both"/>
        <w:rPr>
          <w:rFonts w:ascii="Arial" w:hAnsi="Arial" w:cs="Arial"/>
        </w:rPr>
      </w:pPr>
    </w:p>
    <w:p w14:paraId="72B1CBCD" w14:textId="29E464B8" w:rsidR="00FF340E" w:rsidRPr="008A0137" w:rsidRDefault="00FF340E" w:rsidP="008A0137">
      <w:pPr>
        <w:pStyle w:val="Bibliography"/>
        <w:spacing w:after="0" w:line="240" w:lineRule="auto"/>
        <w:rPr>
          <w:rFonts w:ascii="Arial" w:hAnsi="Arial" w:cs="Arial"/>
        </w:rPr>
      </w:pPr>
      <w:r w:rsidRPr="008A0137">
        <w:rPr>
          <w:rFonts w:ascii="Arial" w:hAnsi="Arial" w:cs="Arial"/>
        </w:rPr>
        <w:t xml:space="preserve">Gharahkhani P, Jorgenson E, </w:t>
      </w:r>
      <w:proofErr w:type="spellStart"/>
      <w:r w:rsidRPr="008A0137">
        <w:rPr>
          <w:rFonts w:ascii="Arial" w:hAnsi="Arial" w:cs="Arial"/>
        </w:rPr>
        <w:t>Hysi</w:t>
      </w:r>
      <w:proofErr w:type="spellEnd"/>
      <w:r w:rsidRPr="008A0137">
        <w:rPr>
          <w:rFonts w:ascii="Arial" w:hAnsi="Arial" w:cs="Arial"/>
        </w:rPr>
        <w:t xml:space="preserve"> P, et al. Genome-wide meta-analysis identifies 127 open-angle glaucoma loci with consistent effect across ancestries. </w:t>
      </w:r>
      <w:r w:rsidRPr="008A0137">
        <w:rPr>
          <w:rFonts w:ascii="Arial" w:hAnsi="Arial" w:cs="Arial"/>
          <w:i/>
          <w:iCs/>
        </w:rPr>
        <w:t xml:space="preserve">Nat </w:t>
      </w:r>
      <w:proofErr w:type="spellStart"/>
      <w:r w:rsidRPr="008A0137">
        <w:rPr>
          <w:rFonts w:ascii="Arial" w:hAnsi="Arial" w:cs="Arial"/>
          <w:i/>
          <w:iCs/>
        </w:rPr>
        <w:t>Commun</w:t>
      </w:r>
      <w:proofErr w:type="spellEnd"/>
      <w:r w:rsidRPr="008A0137">
        <w:rPr>
          <w:rFonts w:ascii="Arial" w:hAnsi="Arial" w:cs="Arial"/>
        </w:rPr>
        <w:t>. 2021</w:t>
      </w:r>
      <w:proofErr w:type="gramStart"/>
      <w:r w:rsidRPr="008A0137">
        <w:rPr>
          <w:rFonts w:ascii="Arial" w:hAnsi="Arial" w:cs="Arial"/>
        </w:rPr>
        <w:t>;12</w:t>
      </w:r>
      <w:proofErr w:type="gramEnd"/>
      <w:r w:rsidRPr="008A0137">
        <w:rPr>
          <w:rFonts w:ascii="Arial" w:hAnsi="Arial" w:cs="Arial"/>
        </w:rPr>
        <w:t xml:space="preserve">(1):1258. </w:t>
      </w:r>
    </w:p>
    <w:p w14:paraId="72672E99" w14:textId="77777777" w:rsidR="008A0137" w:rsidRPr="008A0137" w:rsidRDefault="008A0137" w:rsidP="008A0137">
      <w:pPr>
        <w:spacing w:after="0" w:line="240" w:lineRule="auto"/>
        <w:rPr>
          <w:rFonts w:ascii="Arial" w:hAnsi="Arial" w:cs="Arial"/>
        </w:rPr>
      </w:pPr>
    </w:p>
    <w:p w14:paraId="55538237" w14:textId="35B9A33F" w:rsidR="00FF340E" w:rsidRDefault="00FF340E" w:rsidP="008A0137">
      <w:pPr>
        <w:spacing w:after="0" w:line="240" w:lineRule="auto"/>
        <w:rPr>
          <w:rFonts w:ascii="Arial" w:hAnsi="Arial" w:cs="Arial"/>
        </w:rPr>
      </w:pPr>
      <w:proofErr w:type="spellStart"/>
      <w:r w:rsidRPr="008A0137">
        <w:rPr>
          <w:rFonts w:ascii="Arial" w:hAnsi="Arial" w:cs="Arial"/>
        </w:rPr>
        <w:t>Mak</w:t>
      </w:r>
      <w:proofErr w:type="spellEnd"/>
      <w:r w:rsidRPr="008A0137">
        <w:rPr>
          <w:rFonts w:ascii="Arial" w:hAnsi="Arial" w:cs="Arial"/>
        </w:rPr>
        <w:t xml:space="preserve"> TSH, </w:t>
      </w:r>
      <w:proofErr w:type="spellStart"/>
      <w:r w:rsidRPr="008A0137">
        <w:rPr>
          <w:rFonts w:ascii="Arial" w:hAnsi="Arial" w:cs="Arial"/>
        </w:rPr>
        <w:t>Porsch</w:t>
      </w:r>
      <w:proofErr w:type="spellEnd"/>
      <w:r w:rsidRPr="008A0137">
        <w:rPr>
          <w:rFonts w:ascii="Arial" w:hAnsi="Arial" w:cs="Arial"/>
        </w:rPr>
        <w:t xml:space="preserve"> RM, Choi SW, Zhou X, Sham PC. Polygenic scores via penalized regression on summary statistics. </w:t>
      </w:r>
      <w:r w:rsidRPr="008A0137">
        <w:rPr>
          <w:rFonts w:ascii="Arial" w:hAnsi="Arial" w:cs="Arial"/>
          <w:i/>
          <w:iCs/>
        </w:rPr>
        <w:t xml:space="preserve">Genet </w:t>
      </w:r>
      <w:proofErr w:type="spellStart"/>
      <w:r w:rsidRPr="008A0137">
        <w:rPr>
          <w:rFonts w:ascii="Arial" w:hAnsi="Arial" w:cs="Arial"/>
          <w:i/>
          <w:iCs/>
        </w:rPr>
        <w:t>Epidemiol</w:t>
      </w:r>
      <w:proofErr w:type="spellEnd"/>
      <w:r w:rsidRPr="008A0137">
        <w:rPr>
          <w:rFonts w:ascii="Arial" w:hAnsi="Arial" w:cs="Arial"/>
        </w:rPr>
        <w:t>. 2017</w:t>
      </w:r>
      <w:proofErr w:type="gramStart"/>
      <w:r w:rsidRPr="008A0137">
        <w:rPr>
          <w:rFonts w:ascii="Arial" w:hAnsi="Arial" w:cs="Arial"/>
        </w:rPr>
        <w:t>;41</w:t>
      </w:r>
      <w:proofErr w:type="gramEnd"/>
      <w:r w:rsidRPr="008A0137">
        <w:rPr>
          <w:rFonts w:ascii="Arial" w:hAnsi="Arial" w:cs="Arial"/>
        </w:rPr>
        <w:t xml:space="preserve">(6):469-480. </w:t>
      </w:r>
    </w:p>
    <w:p w14:paraId="1C94DAC8" w14:textId="77777777" w:rsidR="008A0137" w:rsidRPr="008A0137" w:rsidRDefault="008A0137" w:rsidP="008A0137">
      <w:pPr>
        <w:spacing w:after="0" w:line="240" w:lineRule="auto"/>
        <w:rPr>
          <w:rFonts w:ascii="Arial" w:hAnsi="Arial" w:cs="Arial"/>
        </w:rPr>
      </w:pPr>
    </w:p>
    <w:p w14:paraId="7D454A68" w14:textId="664483D2" w:rsidR="00FF340E" w:rsidRDefault="00FF340E" w:rsidP="008A0137">
      <w:pPr>
        <w:pStyle w:val="Bibliography"/>
        <w:spacing w:after="0" w:line="240" w:lineRule="auto"/>
        <w:rPr>
          <w:rFonts w:ascii="Arial" w:hAnsi="Arial" w:cs="Arial"/>
        </w:rPr>
      </w:pPr>
      <w:r w:rsidRPr="008A0137">
        <w:rPr>
          <w:rFonts w:ascii="Arial" w:hAnsi="Arial" w:cs="Arial"/>
        </w:rPr>
        <w:t xml:space="preserve">Sekimitsu S, Xiang D, Smith SL, et al. Deep Ocular </w:t>
      </w:r>
      <w:proofErr w:type="spellStart"/>
      <w:r w:rsidRPr="008A0137">
        <w:rPr>
          <w:rFonts w:ascii="Arial" w:hAnsi="Arial" w:cs="Arial"/>
        </w:rPr>
        <w:t>Phenotyping</w:t>
      </w:r>
      <w:proofErr w:type="spellEnd"/>
      <w:r w:rsidRPr="008A0137">
        <w:rPr>
          <w:rFonts w:ascii="Arial" w:hAnsi="Arial" w:cs="Arial"/>
        </w:rPr>
        <w:t xml:space="preserve"> </w:t>
      </w:r>
      <w:proofErr w:type="gramStart"/>
      <w:r w:rsidRPr="008A0137">
        <w:rPr>
          <w:rFonts w:ascii="Arial" w:hAnsi="Arial" w:cs="Arial"/>
        </w:rPr>
        <w:t>Across</w:t>
      </w:r>
      <w:proofErr w:type="gramEnd"/>
      <w:r w:rsidRPr="008A0137">
        <w:rPr>
          <w:rFonts w:ascii="Arial" w:hAnsi="Arial" w:cs="Arial"/>
        </w:rPr>
        <w:t xml:space="preserve"> Primary Open-Angle Glaucoma Genetic Burden. </w:t>
      </w:r>
      <w:r w:rsidRPr="008A0137">
        <w:rPr>
          <w:rFonts w:ascii="Arial" w:hAnsi="Arial" w:cs="Arial"/>
          <w:i/>
          <w:iCs/>
        </w:rPr>
        <w:t xml:space="preserve">JAMA </w:t>
      </w:r>
      <w:proofErr w:type="spellStart"/>
      <w:r w:rsidRPr="008A0137">
        <w:rPr>
          <w:rFonts w:ascii="Arial" w:hAnsi="Arial" w:cs="Arial"/>
          <w:i/>
          <w:iCs/>
        </w:rPr>
        <w:t>Ophthalmol</w:t>
      </w:r>
      <w:proofErr w:type="spellEnd"/>
      <w:r w:rsidRPr="008A0137">
        <w:rPr>
          <w:rFonts w:ascii="Arial" w:hAnsi="Arial" w:cs="Arial"/>
        </w:rPr>
        <w:t>. 2023</w:t>
      </w:r>
      <w:proofErr w:type="gramStart"/>
      <w:r w:rsidRPr="008A0137">
        <w:rPr>
          <w:rFonts w:ascii="Arial" w:hAnsi="Arial" w:cs="Arial"/>
        </w:rPr>
        <w:t>;141</w:t>
      </w:r>
      <w:proofErr w:type="gramEnd"/>
      <w:r w:rsidRPr="008A0137">
        <w:rPr>
          <w:rFonts w:ascii="Arial" w:hAnsi="Arial" w:cs="Arial"/>
        </w:rPr>
        <w:t xml:space="preserve">(9):891-899. </w:t>
      </w:r>
    </w:p>
    <w:p w14:paraId="1599DDE9" w14:textId="77777777" w:rsidR="008A0137" w:rsidRPr="008A0137" w:rsidRDefault="008A0137" w:rsidP="008A0137"/>
    <w:p w14:paraId="3EF28AA8" w14:textId="25C3DABF" w:rsidR="00AC454A" w:rsidRDefault="00AC454A" w:rsidP="008A0137">
      <w:pPr>
        <w:spacing w:after="0" w:line="240" w:lineRule="auto"/>
        <w:rPr>
          <w:rFonts w:ascii="Arial" w:hAnsi="Arial" w:cs="Arial"/>
        </w:rPr>
      </w:pPr>
      <w:r w:rsidRPr="008A0137">
        <w:rPr>
          <w:rFonts w:ascii="Arial" w:hAnsi="Arial" w:cs="Arial"/>
        </w:rPr>
        <w:t xml:space="preserve">Tran JH, Kang J, Han E, Gupta U, Seresirikachorn K, Vy HMT, Zhao Y, Rocheleau G, Luo Y, Lee R, Do R, Friedman DS, Kang JH, Wiggs JL, Pasquale LR, </w:t>
      </w:r>
      <w:proofErr w:type="spellStart"/>
      <w:r w:rsidRPr="008A0137">
        <w:rPr>
          <w:rFonts w:ascii="Arial" w:hAnsi="Arial" w:cs="Arial"/>
        </w:rPr>
        <w:t>Segrè</w:t>
      </w:r>
      <w:proofErr w:type="spellEnd"/>
      <w:r w:rsidRPr="008A0137">
        <w:rPr>
          <w:rFonts w:ascii="Arial" w:hAnsi="Arial" w:cs="Arial"/>
        </w:rPr>
        <w:t xml:space="preserve"> AV, Zebardast N. Use of Diagnostic Codes for Primary Open-Angle Glaucoma Polygenic Risk Score Construction in Electronic Health Record-Linked </w:t>
      </w:r>
      <w:proofErr w:type="spellStart"/>
      <w:r w:rsidRPr="008A0137">
        <w:rPr>
          <w:rFonts w:ascii="Arial" w:hAnsi="Arial" w:cs="Arial"/>
        </w:rPr>
        <w:t>Biobanks</w:t>
      </w:r>
      <w:proofErr w:type="spellEnd"/>
      <w:r w:rsidRPr="008A0137">
        <w:rPr>
          <w:rFonts w:ascii="Arial" w:hAnsi="Arial" w:cs="Arial"/>
        </w:rPr>
        <w:t xml:space="preserve">. Am J </w:t>
      </w:r>
      <w:proofErr w:type="spellStart"/>
      <w:r w:rsidRPr="008A0137">
        <w:rPr>
          <w:rFonts w:ascii="Arial" w:hAnsi="Arial" w:cs="Arial"/>
        </w:rPr>
        <w:t>Ophthalmol</w:t>
      </w:r>
      <w:proofErr w:type="spellEnd"/>
      <w:r w:rsidRPr="008A0137">
        <w:rPr>
          <w:rFonts w:ascii="Arial" w:hAnsi="Arial" w:cs="Arial"/>
        </w:rPr>
        <w:t>. 2024 Nov</w:t>
      </w:r>
      <w:proofErr w:type="gramStart"/>
      <w:r w:rsidRPr="008A0137">
        <w:rPr>
          <w:rFonts w:ascii="Arial" w:hAnsi="Arial" w:cs="Arial"/>
        </w:rPr>
        <w:t>;267:204</w:t>
      </w:r>
      <w:proofErr w:type="gramEnd"/>
      <w:r w:rsidRPr="008A0137">
        <w:rPr>
          <w:rFonts w:ascii="Arial" w:hAnsi="Arial" w:cs="Arial"/>
        </w:rPr>
        <w:t>-212.</w:t>
      </w:r>
    </w:p>
    <w:p w14:paraId="4AE2F069" w14:textId="77777777" w:rsidR="008A0137" w:rsidRPr="008A0137" w:rsidRDefault="008A0137" w:rsidP="008A0137">
      <w:pPr>
        <w:spacing w:after="0" w:line="240" w:lineRule="auto"/>
        <w:rPr>
          <w:rFonts w:ascii="Arial" w:hAnsi="Arial" w:cs="Arial"/>
        </w:rPr>
      </w:pPr>
    </w:p>
    <w:p w14:paraId="29E80FF3" w14:textId="19A4106D" w:rsidR="00FF340E" w:rsidRDefault="00FF340E" w:rsidP="008A0137">
      <w:pPr>
        <w:spacing w:after="0" w:line="240" w:lineRule="auto"/>
        <w:rPr>
          <w:rFonts w:ascii="Arial" w:hAnsi="Arial" w:cs="Arial"/>
        </w:rPr>
      </w:pPr>
      <w:r w:rsidRPr="008A0137">
        <w:rPr>
          <w:rFonts w:ascii="Arial" w:hAnsi="Arial" w:cs="Arial"/>
        </w:rPr>
        <w:t xml:space="preserve">de Vries VA, Hanyuda A, Vergroesen JE, Do R, Friedman DS, Kraft P, </w:t>
      </w:r>
      <w:proofErr w:type="spellStart"/>
      <w:r w:rsidRPr="008A0137">
        <w:rPr>
          <w:rFonts w:ascii="Arial" w:hAnsi="Arial" w:cs="Arial"/>
        </w:rPr>
        <w:t>Turman</w:t>
      </w:r>
      <w:proofErr w:type="spellEnd"/>
      <w:r w:rsidRPr="008A0137">
        <w:rPr>
          <w:rFonts w:ascii="Arial" w:hAnsi="Arial" w:cs="Arial"/>
        </w:rPr>
        <w:t xml:space="preserve"> C, Luo YL, Tran JH, </w:t>
      </w:r>
      <w:proofErr w:type="spellStart"/>
      <w:r w:rsidRPr="008A0137">
        <w:rPr>
          <w:rFonts w:ascii="Arial" w:hAnsi="Arial" w:cs="Arial"/>
        </w:rPr>
        <w:t>Liefers</w:t>
      </w:r>
      <w:proofErr w:type="spellEnd"/>
      <w:r w:rsidRPr="008A0137">
        <w:rPr>
          <w:rFonts w:ascii="Arial" w:hAnsi="Arial" w:cs="Arial"/>
        </w:rPr>
        <w:t xml:space="preserve"> B, Wong SH, Lee RH, Zebardast N, </w:t>
      </w:r>
      <w:proofErr w:type="spellStart"/>
      <w:r w:rsidRPr="008A0137">
        <w:rPr>
          <w:rFonts w:ascii="Arial" w:hAnsi="Arial" w:cs="Arial"/>
        </w:rPr>
        <w:t>Klaver</w:t>
      </w:r>
      <w:proofErr w:type="spellEnd"/>
      <w:r w:rsidRPr="008A0137">
        <w:rPr>
          <w:rFonts w:ascii="Arial" w:hAnsi="Arial" w:cs="Arial"/>
        </w:rPr>
        <w:t xml:space="preserve"> CCW, </w:t>
      </w:r>
      <w:proofErr w:type="spellStart"/>
      <w:r w:rsidRPr="008A0137">
        <w:rPr>
          <w:rFonts w:ascii="Arial" w:hAnsi="Arial" w:cs="Arial"/>
        </w:rPr>
        <w:t>Segrè</w:t>
      </w:r>
      <w:proofErr w:type="spellEnd"/>
      <w:r w:rsidRPr="008A0137">
        <w:rPr>
          <w:rFonts w:ascii="Arial" w:hAnsi="Arial" w:cs="Arial"/>
        </w:rPr>
        <w:t xml:space="preserve"> AV, Pasquale LR, Wiggs JL, Kang JH, Ramdas WD. The Clinical Usefulness of a Glaucoma Polygenic Risk Score in 4 Population-Based European Ancestry Cohorts. Ophthalmology. 2025 Feb</w:t>
      </w:r>
      <w:proofErr w:type="gramStart"/>
      <w:r w:rsidRPr="008A0137">
        <w:rPr>
          <w:rFonts w:ascii="Arial" w:hAnsi="Arial" w:cs="Arial"/>
        </w:rPr>
        <w:t>;132</w:t>
      </w:r>
      <w:proofErr w:type="gramEnd"/>
      <w:r w:rsidRPr="008A0137">
        <w:rPr>
          <w:rFonts w:ascii="Arial" w:hAnsi="Arial" w:cs="Arial"/>
        </w:rPr>
        <w:t>(2):228-237.</w:t>
      </w:r>
    </w:p>
    <w:p w14:paraId="7F2DD1E5" w14:textId="77777777" w:rsidR="008A0137" w:rsidRPr="008A0137" w:rsidRDefault="008A0137" w:rsidP="008A0137">
      <w:pPr>
        <w:spacing w:after="0" w:line="240" w:lineRule="auto"/>
        <w:rPr>
          <w:rFonts w:ascii="Arial" w:hAnsi="Arial" w:cs="Arial"/>
        </w:rPr>
      </w:pPr>
    </w:p>
    <w:p w14:paraId="4616E31D" w14:textId="0A6B06A9" w:rsidR="00FF340E" w:rsidRPr="008A0137" w:rsidRDefault="00FF340E" w:rsidP="008A0137">
      <w:pPr>
        <w:spacing w:after="0" w:line="240" w:lineRule="auto"/>
        <w:rPr>
          <w:rFonts w:ascii="Arial" w:hAnsi="Arial" w:cs="Arial"/>
        </w:rPr>
      </w:pPr>
      <w:r w:rsidRPr="008A0137">
        <w:rPr>
          <w:rFonts w:ascii="Arial" w:hAnsi="Arial" w:cs="Arial"/>
        </w:rPr>
        <w:lastRenderedPageBreak/>
        <w:t xml:space="preserve">Singh RK, Zhao Y, Elze T, Fingert J, Gordon M, Kass MA, Luo Y, Pasquale LR, Scheetz T, </w:t>
      </w:r>
      <w:proofErr w:type="spellStart"/>
      <w:r w:rsidRPr="008A0137">
        <w:rPr>
          <w:rFonts w:ascii="Arial" w:hAnsi="Arial" w:cs="Arial"/>
        </w:rPr>
        <w:t>Segrè</w:t>
      </w:r>
      <w:proofErr w:type="spellEnd"/>
      <w:r w:rsidRPr="008A0137">
        <w:rPr>
          <w:rFonts w:ascii="Arial" w:hAnsi="Arial" w:cs="Arial"/>
        </w:rPr>
        <w:t xml:space="preserve"> AV, Wiggs JL, Zebardast N.</w:t>
      </w:r>
      <w:r w:rsidR="00052A73" w:rsidRPr="008A0137">
        <w:rPr>
          <w:rFonts w:ascii="Arial" w:hAnsi="Arial" w:cs="Arial"/>
        </w:rPr>
        <w:t xml:space="preserve"> Polygenic Risk Scores for Glaucoma Onset in the Ocular Hypertension Treatment Study. </w:t>
      </w:r>
      <w:r w:rsidRPr="008A0137">
        <w:rPr>
          <w:rFonts w:ascii="Arial" w:hAnsi="Arial" w:cs="Arial"/>
        </w:rPr>
        <w:t xml:space="preserve">JAMA </w:t>
      </w:r>
      <w:proofErr w:type="spellStart"/>
      <w:r w:rsidRPr="008A0137">
        <w:rPr>
          <w:rFonts w:ascii="Arial" w:hAnsi="Arial" w:cs="Arial"/>
        </w:rPr>
        <w:t>Ophthalmol</w:t>
      </w:r>
      <w:proofErr w:type="spellEnd"/>
      <w:r w:rsidRPr="008A0137">
        <w:rPr>
          <w:rFonts w:ascii="Arial" w:hAnsi="Arial" w:cs="Arial"/>
        </w:rPr>
        <w:t>. 2024 Apr 1</w:t>
      </w:r>
      <w:proofErr w:type="gramStart"/>
      <w:r w:rsidRPr="008A0137">
        <w:rPr>
          <w:rFonts w:ascii="Arial" w:hAnsi="Arial" w:cs="Arial"/>
        </w:rPr>
        <w:t>;142</w:t>
      </w:r>
      <w:proofErr w:type="gramEnd"/>
      <w:r w:rsidRPr="008A0137">
        <w:rPr>
          <w:rFonts w:ascii="Arial" w:hAnsi="Arial" w:cs="Arial"/>
        </w:rPr>
        <w:t>(4):356-363.</w:t>
      </w:r>
    </w:p>
    <w:p w14:paraId="0795C908" w14:textId="77777777" w:rsidR="00FF340E" w:rsidRPr="00FF340E" w:rsidRDefault="00FF340E" w:rsidP="00FF340E"/>
    <w:p w14:paraId="2C420EFA" w14:textId="77777777" w:rsidR="00FF340E" w:rsidRPr="00FF340E" w:rsidRDefault="00FF340E" w:rsidP="00FF340E"/>
    <w:p w14:paraId="3D3D45F6" w14:textId="77777777" w:rsidR="00FF340E" w:rsidRPr="00C8316E" w:rsidRDefault="00FF340E" w:rsidP="00E07A0B">
      <w:pPr>
        <w:spacing w:after="240" w:line="360" w:lineRule="auto"/>
        <w:jc w:val="both"/>
        <w:rPr>
          <w:rFonts w:ascii="Arial" w:hAnsi="Arial" w:cs="Arial"/>
          <w:b/>
        </w:rPr>
      </w:pPr>
    </w:p>
    <w:p w14:paraId="372BF6CE" w14:textId="77777777" w:rsidR="00E07A0B" w:rsidRDefault="00E07A0B" w:rsidP="00584FD0">
      <w:pPr>
        <w:rPr>
          <w:rFonts w:ascii="Times New Roman" w:hAnsi="Times New Roman" w:cs="Times New Roman"/>
        </w:rPr>
      </w:pPr>
    </w:p>
    <w:p w14:paraId="00ADCA98" w14:textId="77777777" w:rsidR="00584FD0" w:rsidRDefault="00584FD0"/>
    <w:sectPr w:rsidR="00584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C10B12" w16cex:dateUtc="2025-06-14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77A746" w16cid:durableId="4377A746"/>
  <w16cid:commentId w16cid:paraId="7A70DD9D" w16cid:durableId="11C10B12"/>
  <w16cid:commentId w16cid:paraId="54E94D04" w16cid:durableId="54E94D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E0652"/>
    <w:multiLevelType w:val="multilevel"/>
    <w:tmpl w:val="72CE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63FDA"/>
    <w:multiLevelType w:val="multilevel"/>
    <w:tmpl w:val="86E4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D0"/>
    <w:rsid w:val="000017F7"/>
    <w:rsid w:val="0002335E"/>
    <w:rsid w:val="00030BA1"/>
    <w:rsid w:val="000314A7"/>
    <w:rsid w:val="00031836"/>
    <w:rsid w:val="00050E7D"/>
    <w:rsid w:val="00051D8E"/>
    <w:rsid w:val="00052A73"/>
    <w:rsid w:val="00056A08"/>
    <w:rsid w:val="0006535A"/>
    <w:rsid w:val="00065E02"/>
    <w:rsid w:val="000815DD"/>
    <w:rsid w:val="00083C9B"/>
    <w:rsid w:val="00092BA8"/>
    <w:rsid w:val="000A2215"/>
    <w:rsid w:val="000A68D3"/>
    <w:rsid w:val="000D1BBA"/>
    <w:rsid w:val="000E7070"/>
    <w:rsid w:val="001032B9"/>
    <w:rsid w:val="001104DF"/>
    <w:rsid w:val="00127EA0"/>
    <w:rsid w:val="001329D5"/>
    <w:rsid w:val="00146189"/>
    <w:rsid w:val="00164767"/>
    <w:rsid w:val="00166C8F"/>
    <w:rsid w:val="00173193"/>
    <w:rsid w:val="00173A51"/>
    <w:rsid w:val="001A56BB"/>
    <w:rsid w:val="001A5A9E"/>
    <w:rsid w:val="001C3E3C"/>
    <w:rsid w:val="001D1D49"/>
    <w:rsid w:val="001E6147"/>
    <w:rsid w:val="001F1726"/>
    <w:rsid w:val="00207838"/>
    <w:rsid w:val="00231F6B"/>
    <w:rsid w:val="00263F17"/>
    <w:rsid w:val="002665F5"/>
    <w:rsid w:val="00277684"/>
    <w:rsid w:val="0028147D"/>
    <w:rsid w:val="00295CCE"/>
    <w:rsid w:val="0029676D"/>
    <w:rsid w:val="002A0FB4"/>
    <w:rsid w:val="002A1822"/>
    <w:rsid w:val="002A5D72"/>
    <w:rsid w:val="002B1706"/>
    <w:rsid w:val="002C0A06"/>
    <w:rsid w:val="002C4AD7"/>
    <w:rsid w:val="002E37F5"/>
    <w:rsid w:val="002E70DC"/>
    <w:rsid w:val="002F641D"/>
    <w:rsid w:val="00300C00"/>
    <w:rsid w:val="00301E52"/>
    <w:rsid w:val="00303C5C"/>
    <w:rsid w:val="00304DDF"/>
    <w:rsid w:val="003148E8"/>
    <w:rsid w:val="00315FCF"/>
    <w:rsid w:val="00322395"/>
    <w:rsid w:val="00324D28"/>
    <w:rsid w:val="00347088"/>
    <w:rsid w:val="003668A4"/>
    <w:rsid w:val="003706EB"/>
    <w:rsid w:val="00375268"/>
    <w:rsid w:val="00397009"/>
    <w:rsid w:val="003A52CB"/>
    <w:rsid w:val="003B5B0C"/>
    <w:rsid w:val="003C7A9A"/>
    <w:rsid w:val="003C7FF7"/>
    <w:rsid w:val="003D07DA"/>
    <w:rsid w:val="003E7102"/>
    <w:rsid w:val="003F1AF2"/>
    <w:rsid w:val="003F38FC"/>
    <w:rsid w:val="00404887"/>
    <w:rsid w:val="00423C71"/>
    <w:rsid w:val="00430BDA"/>
    <w:rsid w:val="0044351B"/>
    <w:rsid w:val="00446738"/>
    <w:rsid w:val="00447229"/>
    <w:rsid w:val="00451E8A"/>
    <w:rsid w:val="00462B2A"/>
    <w:rsid w:val="004764BF"/>
    <w:rsid w:val="004A55CD"/>
    <w:rsid w:val="004A598E"/>
    <w:rsid w:val="004A742E"/>
    <w:rsid w:val="004B39A8"/>
    <w:rsid w:val="004B6943"/>
    <w:rsid w:val="004B70A0"/>
    <w:rsid w:val="004C4B1F"/>
    <w:rsid w:val="004E552F"/>
    <w:rsid w:val="00501E82"/>
    <w:rsid w:val="00524A0B"/>
    <w:rsid w:val="00527A02"/>
    <w:rsid w:val="00551B50"/>
    <w:rsid w:val="00551E5C"/>
    <w:rsid w:val="00555458"/>
    <w:rsid w:val="00555C4E"/>
    <w:rsid w:val="0056282C"/>
    <w:rsid w:val="0056327C"/>
    <w:rsid w:val="00564D39"/>
    <w:rsid w:val="005651DD"/>
    <w:rsid w:val="00584FD0"/>
    <w:rsid w:val="00585BB0"/>
    <w:rsid w:val="00587100"/>
    <w:rsid w:val="00590A1C"/>
    <w:rsid w:val="005B6AF9"/>
    <w:rsid w:val="005C31D9"/>
    <w:rsid w:val="005D1084"/>
    <w:rsid w:val="005E0642"/>
    <w:rsid w:val="005E1C26"/>
    <w:rsid w:val="00602F55"/>
    <w:rsid w:val="006131A0"/>
    <w:rsid w:val="006158D8"/>
    <w:rsid w:val="00636A00"/>
    <w:rsid w:val="00636C84"/>
    <w:rsid w:val="00642B34"/>
    <w:rsid w:val="00670A58"/>
    <w:rsid w:val="00695D75"/>
    <w:rsid w:val="006974C3"/>
    <w:rsid w:val="006C0F31"/>
    <w:rsid w:val="006C33A7"/>
    <w:rsid w:val="006D7BD6"/>
    <w:rsid w:val="006E2A9C"/>
    <w:rsid w:val="006E3DBE"/>
    <w:rsid w:val="006F536F"/>
    <w:rsid w:val="006F7229"/>
    <w:rsid w:val="00700FF1"/>
    <w:rsid w:val="00703DB7"/>
    <w:rsid w:val="0071004B"/>
    <w:rsid w:val="00710FD5"/>
    <w:rsid w:val="007315DA"/>
    <w:rsid w:val="00734B0E"/>
    <w:rsid w:val="00736092"/>
    <w:rsid w:val="00743FBA"/>
    <w:rsid w:val="0076434F"/>
    <w:rsid w:val="007748FB"/>
    <w:rsid w:val="007833DA"/>
    <w:rsid w:val="00787A04"/>
    <w:rsid w:val="00791215"/>
    <w:rsid w:val="007A311A"/>
    <w:rsid w:val="007A4D08"/>
    <w:rsid w:val="007A612B"/>
    <w:rsid w:val="007A69DC"/>
    <w:rsid w:val="007B60EE"/>
    <w:rsid w:val="007C0833"/>
    <w:rsid w:val="007C261C"/>
    <w:rsid w:val="007C625B"/>
    <w:rsid w:val="007C72E4"/>
    <w:rsid w:val="007D36F1"/>
    <w:rsid w:val="007D6482"/>
    <w:rsid w:val="007E2ED6"/>
    <w:rsid w:val="007E476F"/>
    <w:rsid w:val="007E4BF5"/>
    <w:rsid w:val="00822A57"/>
    <w:rsid w:val="008430C7"/>
    <w:rsid w:val="008541A2"/>
    <w:rsid w:val="0085690C"/>
    <w:rsid w:val="00861DED"/>
    <w:rsid w:val="008675AF"/>
    <w:rsid w:val="00867EC5"/>
    <w:rsid w:val="00870AEB"/>
    <w:rsid w:val="00890E67"/>
    <w:rsid w:val="008A0137"/>
    <w:rsid w:val="008C4154"/>
    <w:rsid w:val="008E71CC"/>
    <w:rsid w:val="008F1ED5"/>
    <w:rsid w:val="00903C89"/>
    <w:rsid w:val="00922CCE"/>
    <w:rsid w:val="00925784"/>
    <w:rsid w:val="00935BF9"/>
    <w:rsid w:val="00941B54"/>
    <w:rsid w:val="00956667"/>
    <w:rsid w:val="00972C10"/>
    <w:rsid w:val="009763C4"/>
    <w:rsid w:val="0098271E"/>
    <w:rsid w:val="00982815"/>
    <w:rsid w:val="009870B2"/>
    <w:rsid w:val="009913BC"/>
    <w:rsid w:val="009A196F"/>
    <w:rsid w:val="009B145B"/>
    <w:rsid w:val="009C0007"/>
    <w:rsid w:val="009C3409"/>
    <w:rsid w:val="009D3204"/>
    <w:rsid w:val="009E25CE"/>
    <w:rsid w:val="009F6BBB"/>
    <w:rsid w:val="00A16A2C"/>
    <w:rsid w:val="00A250A2"/>
    <w:rsid w:val="00A47C71"/>
    <w:rsid w:val="00A64848"/>
    <w:rsid w:val="00A72B53"/>
    <w:rsid w:val="00A77258"/>
    <w:rsid w:val="00A83228"/>
    <w:rsid w:val="00A84958"/>
    <w:rsid w:val="00A90655"/>
    <w:rsid w:val="00A96EF6"/>
    <w:rsid w:val="00AA335F"/>
    <w:rsid w:val="00AA78D0"/>
    <w:rsid w:val="00AB7FD6"/>
    <w:rsid w:val="00AC454A"/>
    <w:rsid w:val="00AC4F82"/>
    <w:rsid w:val="00AC531B"/>
    <w:rsid w:val="00AE04D5"/>
    <w:rsid w:val="00AF08D0"/>
    <w:rsid w:val="00B02502"/>
    <w:rsid w:val="00B17EE2"/>
    <w:rsid w:val="00B31606"/>
    <w:rsid w:val="00B335C9"/>
    <w:rsid w:val="00B4420D"/>
    <w:rsid w:val="00B53919"/>
    <w:rsid w:val="00B54865"/>
    <w:rsid w:val="00B55389"/>
    <w:rsid w:val="00B55FC7"/>
    <w:rsid w:val="00B755AB"/>
    <w:rsid w:val="00B8451D"/>
    <w:rsid w:val="00B93BBB"/>
    <w:rsid w:val="00B93BCE"/>
    <w:rsid w:val="00B94970"/>
    <w:rsid w:val="00BC18D2"/>
    <w:rsid w:val="00BC3E04"/>
    <w:rsid w:val="00BC7420"/>
    <w:rsid w:val="00BE55C7"/>
    <w:rsid w:val="00C0495F"/>
    <w:rsid w:val="00C13EA9"/>
    <w:rsid w:val="00C47C48"/>
    <w:rsid w:val="00C62649"/>
    <w:rsid w:val="00C64718"/>
    <w:rsid w:val="00C66902"/>
    <w:rsid w:val="00C66BBD"/>
    <w:rsid w:val="00C73A53"/>
    <w:rsid w:val="00C8316E"/>
    <w:rsid w:val="00C84AC8"/>
    <w:rsid w:val="00CA59B8"/>
    <w:rsid w:val="00CD2A19"/>
    <w:rsid w:val="00CF508B"/>
    <w:rsid w:val="00CF5553"/>
    <w:rsid w:val="00D03AA3"/>
    <w:rsid w:val="00D202B4"/>
    <w:rsid w:val="00D2128B"/>
    <w:rsid w:val="00D34E01"/>
    <w:rsid w:val="00D37B66"/>
    <w:rsid w:val="00D37C8C"/>
    <w:rsid w:val="00D44F0F"/>
    <w:rsid w:val="00D46B41"/>
    <w:rsid w:val="00D75398"/>
    <w:rsid w:val="00D90D0D"/>
    <w:rsid w:val="00D93A75"/>
    <w:rsid w:val="00DA1C46"/>
    <w:rsid w:val="00DA5116"/>
    <w:rsid w:val="00DB4804"/>
    <w:rsid w:val="00DC6450"/>
    <w:rsid w:val="00DC7BC0"/>
    <w:rsid w:val="00DC7D9E"/>
    <w:rsid w:val="00DD51A2"/>
    <w:rsid w:val="00DF224A"/>
    <w:rsid w:val="00DF5744"/>
    <w:rsid w:val="00E07A0B"/>
    <w:rsid w:val="00E10800"/>
    <w:rsid w:val="00E16CB7"/>
    <w:rsid w:val="00E41FF4"/>
    <w:rsid w:val="00E47533"/>
    <w:rsid w:val="00E914A5"/>
    <w:rsid w:val="00E94B4A"/>
    <w:rsid w:val="00E96CB3"/>
    <w:rsid w:val="00EA378C"/>
    <w:rsid w:val="00EB7028"/>
    <w:rsid w:val="00EC15E1"/>
    <w:rsid w:val="00ED5220"/>
    <w:rsid w:val="00EF5454"/>
    <w:rsid w:val="00EF60BA"/>
    <w:rsid w:val="00F047FF"/>
    <w:rsid w:val="00F06BE8"/>
    <w:rsid w:val="00F06D77"/>
    <w:rsid w:val="00F23A7B"/>
    <w:rsid w:val="00F518EF"/>
    <w:rsid w:val="00F66BC8"/>
    <w:rsid w:val="00F6791F"/>
    <w:rsid w:val="00F7393C"/>
    <w:rsid w:val="00F7730C"/>
    <w:rsid w:val="00F93325"/>
    <w:rsid w:val="00F95B1C"/>
    <w:rsid w:val="00FA66DA"/>
    <w:rsid w:val="00FB0C6D"/>
    <w:rsid w:val="00FC08BC"/>
    <w:rsid w:val="00FC35DE"/>
    <w:rsid w:val="00FC3657"/>
    <w:rsid w:val="00FD426B"/>
    <w:rsid w:val="00FD7203"/>
    <w:rsid w:val="00FE5CC3"/>
    <w:rsid w:val="00FE68D8"/>
    <w:rsid w:val="00FF340E"/>
    <w:rsid w:val="00FF3C79"/>
    <w:rsid w:val="00FF585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00D2"/>
  <w15:chartTrackingRefBased/>
  <w15:docId w15:val="{F7CE74F2-9CC1-498A-B8CF-328F88ED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4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FD0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FD0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D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A0B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A0B"/>
    <w:rPr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6F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4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F340E"/>
  </w:style>
  <w:style w:type="character" w:styleId="Hyperlink">
    <w:name w:val="Hyperlink"/>
    <w:basedOn w:val="DefaultParagraphFont"/>
    <w:uiPriority w:val="99"/>
    <w:unhideWhenUsed/>
    <w:rsid w:val="00FF340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C7B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grelab.meei.harvard.edu/data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8D80-57BA-44DF-A9EE-D8833952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Wiggs, Janey</dc:creator>
  <cp:keywords/>
  <dc:description/>
  <cp:lastModifiedBy>Wiggs, Janey</cp:lastModifiedBy>
  <cp:revision>2</cp:revision>
  <dcterms:created xsi:type="dcterms:W3CDTF">2025-07-18T14:58:00Z</dcterms:created>
  <dcterms:modified xsi:type="dcterms:W3CDTF">2025-07-18T14:58:00Z</dcterms:modified>
</cp:coreProperties>
</file>