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513B" w14:textId="77777777" w:rsidR="00691B58" w:rsidRDefault="00691B58" w:rsidP="00691B58">
      <w:pPr>
        <w:wordWrap/>
        <w:rPr>
          <w:rFonts w:ascii="Times New Roman" w:hAnsi="Times New Roman" w:cs="Times New Roman"/>
          <w:sz w:val="20"/>
          <w:szCs w:val="20"/>
        </w:rPr>
      </w:pPr>
      <w:r w:rsidRPr="00C34448">
        <w:rPr>
          <w:rFonts w:ascii="Times New Roman" w:hAnsi="Times New Roman" w:cs="Times New Roman"/>
          <w:sz w:val="20"/>
          <w:szCs w:val="20"/>
        </w:rPr>
        <w:t xml:space="preserve">Additional file </w:t>
      </w:r>
      <w:r>
        <w:rPr>
          <w:rFonts w:ascii="Times New Roman" w:hAnsi="Times New Roman" w:cs="Times New Roman" w:hint="eastAsia"/>
          <w:sz w:val="20"/>
          <w:szCs w:val="20"/>
        </w:rPr>
        <w:t>2</w:t>
      </w:r>
      <w:r w:rsidRPr="00C34448">
        <w:rPr>
          <w:rFonts w:ascii="Times New Roman" w:hAnsi="Times New Roman" w:cs="Times New Roman" w:hint="eastAsia"/>
          <w:sz w:val="20"/>
          <w:szCs w:val="20"/>
        </w:rPr>
        <w:t>.</w:t>
      </w:r>
      <w:r>
        <w:rPr>
          <w:rFonts w:ascii="Times New Roman" w:hAnsi="Times New Roman" w:cs="Times New Roman" w:hint="eastAsia"/>
          <w:sz w:val="20"/>
          <w:szCs w:val="20"/>
        </w:rPr>
        <w:t xml:space="preserve"> </w:t>
      </w:r>
    </w:p>
    <w:p w14:paraId="5EEA8515" w14:textId="77777777" w:rsidR="00691B58" w:rsidRPr="00691B58" w:rsidRDefault="00691B58" w:rsidP="00691B58">
      <w:pPr>
        <w:rPr>
          <w:rFonts w:ascii="Times New Roman" w:hAnsi="Times New Roman" w:cs="Times New Roman"/>
          <w:b/>
          <w:bCs/>
        </w:rPr>
      </w:pPr>
    </w:p>
    <w:p w14:paraId="606E4692" w14:textId="1DFF1C39" w:rsidR="00691B58" w:rsidRPr="00691B58" w:rsidRDefault="00691B58" w:rsidP="00691B58">
      <w:pPr>
        <w:rPr>
          <w:rFonts w:ascii="Times New Roman" w:hAnsi="Times New Roman" w:cs="Times New Roman"/>
          <w:b/>
          <w:bCs/>
        </w:rPr>
      </w:pPr>
      <w:r w:rsidRPr="00691B58">
        <w:rPr>
          <w:rFonts w:ascii="Times New Roman" w:hAnsi="Times New Roman" w:cs="Times New Roman"/>
          <w:b/>
          <w:bCs/>
        </w:rPr>
        <w:t>Sample Size Adequacy Justification for Comparing EQ-5D-5L and HINT-8 in CIN/CIS Patients</w:t>
      </w:r>
    </w:p>
    <w:p w14:paraId="7CBE512B" w14:textId="77777777" w:rsidR="00691B58" w:rsidRDefault="00691B58" w:rsidP="00691B58">
      <w:pPr>
        <w:wordWrap/>
        <w:rPr>
          <w:rFonts w:ascii="Times New Roman" w:hAnsi="Times New Roman" w:cs="Times New Roman"/>
          <w:sz w:val="20"/>
          <w:szCs w:val="20"/>
        </w:rPr>
      </w:pPr>
    </w:p>
    <w:p w14:paraId="019636BE" w14:textId="57B959FE" w:rsidR="00691B58" w:rsidRPr="00691B58" w:rsidRDefault="00691B58" w:rsidP="00691B58">
      <w:pPr>
        <w:wordWrap/>
        <w:rPr>
          <w:rFonts w:ascii="Times New Roman" w:hAnsi="Times New Roman" w:cs="Times New Roman"/>
          <w:sz w:val="20"/>
          <w:szCs w:val="20"/>
        </w:rPr>
      </w:pPr>
      <w:r w:rsidRPr="00691B58">
        <w:rPr>
          <w:rFonts w:ascii="Times New Roman" w:hAnsi="Times New Roman" w:cs="Times New Roman"/>
          <w:sz w:val="20"/>
          <w:szCs w:val="20"/>
        </w:rPr>
        <w:t>This document provides a unified narrative justification for the sample size of 80 participants in our study comparing the EQ-5D-5L and HINT-8 instruments to assess health-related quality of life (</w:t>
      </w:r>
      <w:proofErr w:type="spellStart"/>
      <w:r w:rsidRPr="00691B58">
        <w:rPr>
          <w:rFonts w:ascii="Times New Roman" w:hAnsi="Times New Roman" w:cs="Times New Roman"/>
          <w:sz w:val="20"/>
          <w:szCs w:val="20"/>
        </w:rPr>
        <w:t>HRQoL</w:t>
      </w:r>
      <w:proofErr w:type="spellEnd"/>
      <w:r w:rsidRPr="00691B58">
        <w:rPr>
          <w:rFonts w:ascii="Times New Roman" w:hAnsi="Times New Roman" w:cs="Times New Roman"/>
          <w:sz w:val="20"/>
          <w:szCs w:val="20"/>
        </w:rPr>
        <w:t>) among women diagnosed with cervical intraepithelial neoplasia (CIN) or carcinoma in situ (CIS). Ensuring methodological transparency in sample size determination is critical for the reliability and validity of psychometric research.</w:t>
      </w:r>
    </w:p>
    <w:p w14:paraId="33B9335F" w14:textId="77777777" w:rsidR="00691B58" w:rsidRDefault="00691B58" w:rsidP="00691B58">
      <w:pPr>
        <w:wordWrap/>
        <w:rPr>
          <w:rFonts w:ascii="Times New Roman" w:hAnsi="Times New Roman" w:cs="Times New Roman"/>
          <w:b/>
          <w:bCs/>
          <w:sz w:val="20"/>
          <w:szCs w:val="20"/>
        </w:rPr>
      </w:pPr>
    </w:p>
    <w:p w14:paraId="7ABED97B" w14:textId="39D95C6B" w:rsidR="00691B58" w:rsidRPr="00691B58" w:rsidRDefault="00691B58" w:rsidP="00691B58">
      <w:pPr>
        <w:wordWrap/>
        <w:rPr>
          <w:rFonts w:ascii="Times New Roman" w:hAnsi="Times New Roman" w:cs="Times New Roman"/>
          <w:b/>
          <w:bCs/>
          <w:sz w:val="20"/>
          <w:szCs w:val="20"/>
        </w:rPr>
      </w:pPr>
      <w:r w:rsidRPr="00691B58">
        <w:rPr>
          <w:rFonts w:ascii="Times New Roman" w:hAnsi="Times New Roman" w:cs="Times New Roman" w:hint="eastAsia"/>
          <w:b/>
          <w:bCs/>
          <w:sz w:val="20"/>
          <w:szCs w:val="20"/>
        </w:rPr>
        <w:t>1.</w:t>
      </w:r>
      <w:r>
        <w:rPr>
          <w:rFonts w:ascii="Times New Roman" w:hAnsi="Times New Roman" w:cs="Times New Roman"/>
          <w:b/>
          <w:bCs/>
          <w:sz w:val="20"/>
          <w:szCs w:val="20"/>
        </w:rPr>
        <w:t xml:space="preserve"> </w:t>
      </w:r>
      <w:r w:rsidRPr="00691B58">
        <w:rPr>
          <w:rFonts w:ascii="Times New Roman" w:hAnsi="Times New Roman" w:cs="Times New Roman"/>
          <w:b/>
          <w:bCs/>
          <w:sz w:val="20"/>
          <w:szCs w:val="20"/>
        </w:rPr>
        <w:t>Study Design and Primary Analyses</w:t>
      </w:r>
    </w:p>
    <w:p w14:paraId="06AA4850" w14:textId="77777777" w:rsidR="00691B58" w:rsidRPr="00691B58" w:rsidRDefault="00691B58" w:rsidP="00691B58">
      <w:pPr>
        <w:wordWrap/>
        <w:rPr>
          <w:rFonts w:ascii="Times New Roman" w:hAnsi="Times New Roman" w:cs="Times New Roman"/>
          <w:sz w:val="20"/>
          <w:szCs w:val="20"/>
        </w:rPr>
      </w:pPr>
      <w:r w:rsidRPr="00691B58">
        <w:rPr>
          <w:rFonts w:ascii="Times New Roman" w:hAnsi="Times New Roman" w:cs="Times New Roman"/>
          <w:sz w:val="20"/>
          <w:szCs w:val="20"/>
        </w:rPr>
        <w:t>This cross-sectional, multicenter study was conducted from August 2023 to February 2024 across 12 tertiary hospitals in Korea. The study enrolled 80 women diagnosed with CIN or CIS. The methodological approach included:</w:t>
      </w:r>
    </w:p>
    <w:p w14:paraId="4DA4D10B" w14:textId="77777777" w:rsidR="00691B58" w:rsidRPr="00691B58" w:rsidRDefault="00691B58" w:rsidP="00691B58">
      <w:pPr>
        <w:numPr>
          <w:ilvl w:val="0"/>
          <w:numId w:val="1"/>
        </w:numPr>
        <w:wordWrap/>
        <w:rPr>
          <w:rFonts w:ascii="Times New Roman" w:hAnsi="Times New Roman" w:cs="Times New Roman"/>
          <w:sz w:val="20"/>
          <w:szCs w:val="20"/>
        </w:rPr>
      </w:pPr>
      <w:r w:rsidRPr="00691B58">
        <w:rPr>
          <w:rFonts w:ascii="Times New Roman" w:hAnsi="Times New Roman" w:cs="Times New Roman"/>
          <w:b/>
          <w:bCs/>
          <w:sz w:val="20"/>
          <w:szCs w:val="20"/>
        </w:rPr>
        <w:t>Correlation analysis (Pearson’s r)</w:t>
      </w:r>
    </w:p>
    <w:p w14:paraId="46F484BD" w14:textId="77777777" w:rsidR="00691B58" w:rsidRPr="00691B58" w:rsidRDefault="00691B58" w:rsidP="00691B58">
      <w:pPr>
        <w:numPr>
          <w:ilvl w:val="0"/>
          <w:numId w:val="1"/>
        </w:numPr>
        <w:wordWrap/>
        <w:rPr>
          <w:rFonts w:ascii="Times New Roman" w:hAnsi="Times New Roman" w:cs="Times New Roman"/>
          <w:sz w:val="20"/>
          <w:szCs w:val="20"/>
        </w:rPr>
      </w:pPr>
      <w:r w:rsidRPr="00691B58">
        <w:rPr>
          <w:rFonts w:ascii="Times New Roman" w:hAnsi="Times New Roman" w:cs="Times New Roman"/>
          <w:b/>
          <w:bCs/>
          <w:sz w:val="20"/>
          <w:szCs w:val="20"/>
        </w:rPr>
        <w:t>Agreement analysis (Intraclass Correlation Coefficient, ICC)</w:t>
      </w:r>
    </w:p>
    <w:p w14:paraId="2D951629" w14:textId="77777777" w:rsidR="00691B58" w:rsidRPr="00691B58" w:rsidRDefault="00691B58" w:rsidP="00691B58">
      <w:pPr>
        <w:numPr>
          <w:ilvl w:val="0"/>
          <w:numId w:val="1"/>
        </w:numPr>
        <w:wordWrap/>
        <w:rPr>
          <w:rFonts w:ascii="Times New Roman" w:hAnsi="Times New Roman" w:cs="Times New Roman"/>
          <w:sz w:val="20"/>
          <w:szCs w:val="20"/>
        </w:rPr>
      </w:pPr>
      <w:r w:rsidRPr="00691B58">
        <w:rPr>
          <w:rFonts w:ascii="Times New Roman" w:hAnsi="Times New Roman" w:cs="Times New Roman"/>
          <w:b/>
          <w:bCs/>
          <w:sz w:val="20"/>
          <w:szCs w:val="20"/>
        </w:rPr>
        <w:t>Reliability analysis (Cronbach’s alpha)</w:t>
      </w:r>
    </w:p>
    <w:p w14:paraId="4B7FF205" w14:textId="77777777" w:rsidR="00691B58" w:rsidRPr="00691B58" w:rsidRDefault="00691B58" w:rsidP="00691B58">
      <w:pPr>
        <w:numPr>
          <w:ilvl w:val="0"/>
          <w:numId w:val="1"/>
        </w:numPr>
        <w:wordWrap/>
        <w:rPr>
          <w:rFonts w:ascii="Times New Roman" w:hAnsi="Times New Roman" w:cs="Times New Roman"/>
          <w:sz w:val="20"/>
          <w:szCs w:val="20"/>
        </w:rPr>
      </w:pPr>
      <w:r w:rsidRPr="00691B58">
        <w:rPr>
          <w:rFonts w:ascii="Times New Roman" w:hAnsi="Times New Roman" w:cs="Times New Roman"/>
          <w:b/>
          <w:bCs/>
          <w:sz w:val="20"/>
          <w:szCs w:val="20"/>
        </w:rPr>
        <w:t>Bland-Altman analysis</w:t>
      </w:r>
    </w:p>
    <w:p w14:paraId="06747C77" w14:textId="77777777" w:rsidR="00691B58" w:rsidRPr="00691B58" w:rsidRDefault="00691B58" w:rsidP="00691B58">
      <w:pPr>
        <w:numPr>
          <w:ilvl w:val="0"/>
          <w:numId w:val="1"/>
        </w:numPr>
        <w:wordWrap/>
        <w:rPr>
          <w:rFonts w:ascii="Times New Roman" w:hAnsi="Times New Roman" w:cs="Times New Roman"/>
          <w:sz w:val="20"/>
          <w:szCs w:val="20"/>
        </w:rPr>
      </w:pPr>
      <w:r w:rsidRPr="00691B58">
        <w:rPr>
          <w:rFonts w:ascii="Times New Roman" w:hAnsi="Times New Roman" w:cs="Times New Roman"/>
          <w:b/>
          <w:bCs/>
          <w:sz w:val="20"/>
          <w:szCs w:val="20"/>
        </w:rPr>
        <w:t>Group comparisons (Mann-Whitney U, Kruskal-Wallis tests)</w:t>
      </w:r>
    </w:p>
    <w:p w14:paraId="3DD7A21E" w14:textId="77777777" w:rsidR="00691B58" w:rsidRPr="00691B58" w:rsidRDefault="00691B58" w:rsidP="00691B58">
      <w:pPr>
        <w:wordWrap/>
        <w:rPr>
          <w:rFonts w:ascii="Times New Roman" w:hAnsi="Times New Roman" w:cs="Times New Roman"/>
          <w:sz w:val="20"/>
          <w:szCs w:val="20"/>
        </w:rPr>
      </w:pPr>
      <w:r w:rsidRPr="00691B58">
        <w:rPr>
          <w:rFonts w:ascii="Times New Roman" w:hAnsi="Times New Roman" w:cs="Times New Roman"/>
          <w:sz w:val="20"/>
          <w:szCs w:val="20"/>
        </w:rPr>
        <w:t>This multicenter design was intended to maximize the generalizability and external validity of the findings.</w:t>
      </w:r>
    </w:p>
    <w:p w14:paraId="434C55E1" w14:textId="77777777" w:rsidR="00691B58" w:rsidRDefault="00691B58" w:rsidP="00691B58">
      <w:pPr>
        <w:wordWrap/>
        <w:rPr>
          <w:rFonts w:ascii="Times New Roman" w:hAnsi="Times New Roman" w:cs="Times New Roman"/>
          <w:b/>
          <w:bCs/>
          <w:sz w:val="20"/>
          <w:szCs w:val="20"/>
        </w:rPr>
      </w:pPr>
    </w:p>
    <w:p w14:paraId="14733E48" w14:textId="52E5FEE5" w:rsidR="00691B58" w:rsidRPr="00691B58" w:rsidRDefault="00691B58" w:rsidP="00691B58">
      <w:pPr>
        <w:wordWrap/>
        <w:rPr>
          <w:rFonts w:ascii="Times New Roman" w:hAnsi="Times New Roman" w:cs="Times New Roman"/>
          <w:b/>
          <w:bCs/>
          <w:sz w:val="20"/>
          <w:szCs w:val="20"/>
        </w:rPr>
      </w:pPr>
      <w:r>
        <w:rPr>
          <w:rFonts w:ascii="Times New Roman" w:hAnsi="Times New Roman" w:cs="Times New Roman" w:hint="eastAsia"/>
          <w:b/>
          <w:bCs/>
          <w:sz w:val="20"/>
          <w:szCs w:val="20"/>
        </w:rPr>
        <w:t xml:space="preserve">2. </w:t>
      </w:r>
      <w:r w:rsidRPr="00691B58">
        <w:rPr>
          <w:rFonts w:ascii="Times New Roman" w:hAnsi="Times New Roman" w:cs="Times New Roman"/>
          <w:b/>
          <w:bCs/>
          <w:sz w:val="20"/>
          <w:szCs w:val="20"/>
        </w:rPr>
        <w:t>Sample Size Calculation Rationale</w:t>
      </w:r>
    </w:p>
    <w:p w14:paraId="2428FA6B" w14:textId="12FC666B" w:rsidR="00691B58" w:rsidRPr="00691B58" w:rsidRDefault="00691B58" w:rsidP="00691B58">
      <w:pPr>
        <w:wordWrap/>
        <w:rPr>
          <w:rFonts w:ascii="Times New Roman" w:hAnsi="Times New Roman" w:cs="Times New Roman"/>
          <w:b/>
          <w:bCs/>
          <w:sz w:val="20"/>
          <w:szCs w:val="20"/>
        </w:rPr>
      </w:pPr>
      <w:r>
        <w:rPr>
          <w:rFonts w:ascii="Times New Roman" w:hAnsi="Times New Roman" w:cs="Times New Roman" w:hint="eastAsia"/>
          <w:b/>
          <w:bCs/>
          <w:sz w:val="20"/>
          <w:szCs w:val="20"/>
        </w:rPr>
        <w:t xml:space="preserve">2-1. </w:t>
      </w:r>
      <w:r w:rsidRPr="00691B58">
        <w:rPr>
          <w:rFonts w:ascii="Times New Roman" w:hAnsi="Times New Roman" w:cs="Times New Roman"/>
          <w:b/>
          <w:bCs/>
          <w:sz w:val="20"/>
          <w:szCs w:val="20"/>
        </w:rPr>
        <w:t>Correlation Analysis</w:t>
      </w:r>
    </w:p>
    <w:p w14:paraId="531B9F6E" w14:textId="091039C2" w:rsidR="00691B58" w:rsidRPr="00691B58" w:rsidRDefault="00691B58" w:rsidP="00691B58">
      <w:pPr>
        <w:wordWrap/>
        <w:rPr>
          <w:rFonts w:ascii="Times New Roman" w:hAnsi="Times New Roman" w:cs="Times New Roman"/>
          <w:sz w:val="20"/>
          <w:szCs w:val="20"/>
        </w:rPr>
      </w:pPr>
      <w:r w:rsidRPr="00691B58">
        <w:rPr>
          <w:rFonts w:ascii="Times New Roman" w:hAnsi="Times New Roman" w:cs="Times New Roman"/>
          <w:sz w:val="20"/>
          <w:szCs w:val="20"/>
        </w:rPr>
        <w:t xml:space="preserve">The primary consideration in determining the sample size was the requirement for robust correlation analysis between the two </w:t>
      </w:r>
      <w:proofErr w:type="spellStart"/>
      <w:r w:rsidRPr="00691B58">
        <w:rPr>
          <w:rFonts w:ascii="Times New Roman" w:hAnsi="Times New Roman" w:cs="Times New Roman"/>
          <w:sz w:val="20"/>
          <w:szCs w:val="20"/>
        </w:rPr>
        <w:t>HRQoL</w:t>
      </w:r>
      <w:proofErr w:type="spellEnd"/>
      <w:r w:rsidRPr="00691B58">
        <w:rPr>
          <w:rFonts w:ascii="Times New Roman" w:hAnsi="Times New Roman" w:cs="Times New Roman"/>
          <w:sz w:val="20"/>
          <w:szCs w:val="20"/>
        </w:rPr>
        <w:t xml:space="preserve"> instruments. The target was to detect a correlation coefficient of r </w:t>
      </w:r>
      <w:r w:rsidRPr="00691B58">
        <w:rPr>
          <w:rFonts w:ascii="Times New Roman" w:eastAsia="맑은 고딕" w:hAnsi="Times New Roman" w:cs="Times New Roman"/>
          <w:sz w:val="20"/>
          <w:szCs w:val="20"/>
        </w:rPr>
        <w:t>≥</w:t>
      </w:r>
      <w:r w:rsidRPr="00691B58">
        <w:rPr>
          <w:rFonts w:ascii="Times New Roman" w:hAnsi="Times New Roman" w:cs="Times New Roman"/>
          <w:sz w:val="20"/>
          <w:szCs w:val="20"/>
        </w:rPr>
        <w:t> 0.7 (indicative of a large effect) using a significance level (α) of 0.05 (two-sided) and statistical power of 80%. According to Cohen’s guidelines, detecting a large effect (r = 0.5) requires a minimum of 29 subjects, while a very large effect (r = 0.7) requires only 13 subjects</w:t>
      </w:r>
      <w:r w:rsidR="007F37F5">
        <w:rPr>
          <w:rFonts w:ascii="Times New Roman" w:hAnsi="Times New Roman" w:cs="Times New Roman" w:hint="eastAsia"/>
          <w:sz w:val="20"/>
          <w:szCs w:val="20"/>
        </w:rPr>
        <w:t xml:space="preserve"> </w:t>
      </w:r>
      <w:r w:rsidR="007F37F5">
        <w:rPr>
          <w:rFonts w:ascii="Times New Roman" w:hAnsi="Times New Roman" w:cs="Times New Roman"/>
          <w:sz w:val="20"/>
          <w:szCs w:val="20"/>
        </w:rPr>
        <w:fldChar w:fldCharType="begin"/>
      </w:r>
      <w:r w:rsidR="007F37F5">
        <w:rPr>
          <w:rFonts w:ascii="Times New Roman" w:hAnsi="Times New Roman" w:cs="Times New Roman"/>
          <w:sz w:val="20"/>
          <w:szCs w:val="20"/>
        </w:rPr>
        <w:instrText xml:space="preserve"> ADDIN EN.CITE &lt;EndNote&gt;&lt;Cite&gt;&lt;Author&gt;Bujang&lt;/Author&gt;&lt;Year&gt;2016&lt;/Year&gt;&lt;RecNum&gt;53&lt;/RecNum&gt;&lt;DisplayText&gt;(1)&lt;/DisplayText&gt;&lt;record&gt;&lt;rec-number&gt;53&lt;/rec-number&gt;&lt;foreign-keys&gt;&lt;key app="EN" db-id="0pwxxwrpasetv2e0ef6vvz2d9t2dvfrdt9fw" timestamp="1752668295"&gt;53&lt;/key&gt;&lt;/foreign-keys&gt;&lt;ref-type name="Journal Article"&gt;17&lt;/ref-type&gt;&lt;contributors&gt;&lt;authors&gt;&lt;author&gt;Bujang, Mohamad Adam&lt;/author&gt;&lt;author&gt;Baharum, Nurakmal&lt;/author&gt;&lt;/authors&gt;&lt;/contributors&gt;&lt;titles&gt;&lt;title&gt;Sample size guideline for correlation analysis&lt;/title&gt;&lt;secondary-title&gt;World&lt;/secondary-title&gt;&lt;/titles&gt;&lt;periodical&gt;&lt;full-title&gt;World&lt;/full-title&gt;&lt;/periodical&gt;&lt;pages&gt;37-46&lt;/pages&gt;&lt;volume&gt;3&lt;/volume&gt;&lt;number&gt;1&lt;/number&gt;&lt;dates&gt;&lt;year&gt;2016&lt;/year&gt;&lt;/dates&gt;&lt;urls&gt;&lt;/urls&gt;&lt;/record&gt;&lt;/Cite&gt;&lt;/EndNote&gt;</w:instrText>
      </w:r>
      <w:r w:rsidR="007F37F5">
        <w:rPr>
          <w:rFonts w:ascii="Times New Roman" w:hAnsi="Times New Roman" w:cs="Times New Roman"/>
          <w:sz w:val="20"/>
          <w:szCs w:val="20"/>
        </w:rPr>
        <w:fldChar w:fldCharType="separate"/>
      </w:r>
      <w:r w:rsidR="007F37F5">
        <w:rPr>
          <w:rFonts w:ascii="Times New Roman" w:hAnsi="Times New Roman" w:cs="Times New Roman"/>
          <w:noProof/>
          <w:sz w:val="20"/>
          <w:szCs w:val="20"/>
        </w:rPr>
        <w:t>(1)</w:t>
      </w:r>
      <w:r w:rsidR="007F37F5">
        <w:rPr>
          <w:rFonts w:ascii="Times New Roman" w:hAnsi="Times New Roman" w:cs="Times New Roman"/>
          <w:sz w:val="20"/>
          <w:szCs w:val="20"/>
        </w:rPr>
        <w:fldChar w:fldCharType="end"/>
      </w:r>
      <w:r w:rsidRPr="007F37F5">
        <w:rPr>
          <w:rFonts w:ascii="Times New Roman" w:hAnsi="Times New Roman" w:cs="Times New Roman"/>
          <w:sz w:val="20"/>
          <w:szCs w:val="20"/>
        </w:rPr>
        <w:t>.</w:t>
      </w:r>
      <w:r w:rsidRPr="00691B58">
        <w:rPr>
          <w:rFonts w:ascii="Times New Roman" w:hAnsi="Times New Roman" w:cs="Times New Roman"/>
          <w:color w:val="EE0000"/>
          <w:sz w:val="20"/>
          <w:szCs w:val="20"/>
        </w:rPr>
        <w:t xml:space="preserve"> </w:t>
      </w:r>
      <w:r w:rsidRPr="00691B58">
        <w:rPr>
          <w:rFonts w:ascii="Times New Roman" w:hAnsi="Times New Roman" w:cs="Times New Roman"/>
          <w:sz w:val="20"/>
          <w:szCs w:val="20"/>
        </w:rPr>
        <w:t>In this study, an observed correlation of r = 0.792 was achieved, confirming that a sample size of 80 provides well over 99% power and is more than sufficient for this type of analysis.</w:t>
      </w:r>
    </w:p>
    <w:p w14:paraId="13599995" w14:textId="77777777" w:rsidR="00691B58" w:rsidRDefault="00691B58" w:rsidP="00691B58">
      <w:pPr>
        <w:wordWrap/>
        <w:rPr>
          <w:rFonts w:ascii="Times New Roman" w:hAnsi="Times New Roman" w:cs="Times New Roman"/>
          <w:b/>
          <w:bCs/>
          <w:sz w:val="20"/>
          <w:szCs w:val="20"/>
        </w:rPr>
      </w:pPr>
    </w:p>
    <w:p w14:paraId="65C02084" w14:textId="790145EB" w:rsidR="00691B58" w:rsidRPr="00691B58" w:rsidRDefault="00691B58" w:rsidP="00691B58">
      <w:pPr>
        <w:wordWrap/>
        <w:rPr>
          <w:rFonts w:ascii="Times New Roman" w:hAnsi="Times New Roman" w:cs="Times New Roman"/>
          <w:b/>
          <w:bCs/>
          <w:sz w:val="20"/>
          <w:szCs w:val="20"/>
        </w:rPr>
      </w:pPr>
      <w:r>
        <w:rPr>
          <w:rFonts w:ascii="Times New Roman" w:hAnsi="Times New Roman" w:cs="Times New Roman" w:hint="eastAsia"/>
          <w:b/>
          <w:bCs/>
          <w:sz w:val="20"/>
          <w:szCs w:val="20"/>
        </w:rPr>
        <w:t xml:space="preserve">2-2. </w:t>
      </w:r>
      <w:r w:rsidRPr="00691B58">
        <w:rPr>
          <w:rFonts w:ascii="Times New Roman" w:hAnsi="Times New Roman" w:cs="Times New Roman"/>
          <w:b/>
          <w:bCs/>
          <w:sz w:val="20"/>
          <w:szCs w:val="20"/>
        </w:rPr>
        <w:t>Reliability Analysis (Cronbach’s Alpha)</w:t>
      </w:r>
    </w:p>
    <w:p w14:paraId="16AC54D4" w14:textId="6FEE1366" w:rsidR="00691B58" w:rsidRPr="00691B58" w:rsidRDefault="00691B58" w:rsidP="00691B58">
      <w:pPr>
        <w:wordWrap/>
        <w:rPr>
          <w:rFonts w:ascii="Times New Roman" w:hAnsi="Times New Roman" w:cs="Times New Roman"/>
          <w:color w:val="EE0000"/>
          <w:sz w:val="20"/>
          <w:szCs w:val="20"/>
        </w:rPr>
      </w:pPr>
      <w:r w:rsidRPr="00691B58">
        <w:rPr>
          <w:rFonts w:ascii="Times New Roman" w:hAnsi="Times New Roman" w:cs="Times New Roman"/>
          <w:sz w:val="20"/>
          <w:szCs w:val="20"/>
        </w:rPr>
        <w:t>For reliability analysis using Cronbach’s alpha, several recognized standards for psychometric validation studies were applied</w:t>
      </w:r>
      <w:r>
        <w:rPr>
          <w:rFonts w:ascii="Times New Roman" w:hAnsi="Times New Roman" w:cs="Times New Roman" w:hint="eastAsia"/>
          <w:sz w:val="20"/>
          <w:szCs w:val="20"/>
        </w:rPr>
        <w:t xml:space="preserve"> </w:t>
      </w:r>
      <w:r w:rsidR="00607CBA">
        <w:rPr>
          <w:rFonts w:ascii="Times New Roman" w:hAnsi="Times New Roman" w:cs="Times New Roman"/>
          <w:sz w:val="20"/>
          <w:szCs w:val="20"/>
        </w:rPr>
        <w:fldChar w:fldCharType="begin"/>
      </w:r>
      <w:r w:rsidR="00EB577D">
        <w:rPr>
          <w:rFonts w:ascii="Times New Roman" w:hAnsi="Times New Roman" w:cs="Times New Roman"/>
          <w:sz w:val="20"/>
          <w:szCs w:val="20"/>
        </w:rPr>
        <w:instrText xml:space="preserve"> ADDIN EN.CITE &lt;EndNote&gt;&lt;Cite&gt;&lt;Author&gt;Gunawan&lt;/Author&gt;&lt;Year&gt;2021&lt;/Year&gt;&lt;RecNum&gt;54&lt;/RecNum&gt;&lt;DisplayText&gt;(2, 3)&lt;/DisplayText&gt;&lt;record&gt;&lt;rec-number&gt;54&lt;/rec-number&gt;&lt;foreign-keys&gt;&lt;key app="EN" db-id="0pwxxwrpasetv2e0ef6vvz2d9t2dvfrdt9fw" timestamp="1752668370"&gt;54&lt;/key&gt;&lt;/foreign-keys&gt;&lt;ref-type name="Journal Article"&gt;17&lt;/ref-type&gt;&lt;contributors&gt;&lt;authors&gt;&lt;author&gt;Gunawan, Joko&lt;/author&gt;&lt;author&gt;Marzilli, Colleen&lt;/author&gt;&lt;author&gt;Aungsuroch, Yupin&lt;/author&gt;&lt;/authors&gt;&lt;/contributors&gt;&lt;titles&gt;&lt;title&gt;Establishing appropriate sample size for developing and validating a questionnaire in nursing research&lt;/title&gt;&lt;secondary-title&gt;Belitung Nursing Journal&lt;/secondary-title&gt;&lt;/titles&gt;&lt;periodical&gt;&lt;full-title&gt;Belitung Nursing Journal&lt;/full-title&gt;&lt;/periodical&gt;&lt;pages&gt;356&lt;/pages&gt;&lt;volume&gt;7&lt;/volume&gt;&lt;number&gt;5&lt;/number&gt;&lt;dates&gt;&lt;year&gt;2021&lt;/year&gt;&lt;/dates&gt;&lt;urls&gt;&lt;/urls&gt;&lt;/record&gt;&lt;/Cite&gt;&lt;Cite&gt;&lt;Author&gt;Rouquette&lt;/Author&gt;&lt;Year&gt;2011&lt;/Year&gt;&lt;RecNum&gt;55&lt;/RecNum&gt;&lt;record&gt;&lt;rec-number&gt;55&lt;/rec-number&gt;&lt;foreign-keys&gt;&lt;key app="EN" db-id="0pwxxwrpasetv2e0ef6vvz2d9t2dvfrdt9fw" timestamp="1752668443"&gt;55&lt;/key&gt;&lt;/foreign-keys&gt;&lt;ref-type name="Journal Article"&gt;17&lt;/ref-type&gt;&lt;contributors&gt;&lt;authors&gt;&lt;author&gt;Rouquette, Alexandra&lt;/author&gt;&lt;author&gt;Falissard, Bruno&lt;/author&gt;&lt;/authors&gt;&lt;/contributors&gt;&lt;titles&gt;&lt;title&gt;Sample size requirements for the internal validation of psychiatric scales&lt;/title&gt;&lt;secondary-title&gt;International journal of methods in psychiatric research&lt;/secondary-title&gt;&lt;/titles&gt;&lt;periodical&gt;&lt;full-title&gt;International journal of methods in psychiatric research&lt;/full-title&gt;&lt;/periodical&gt;&lt;pages&gt;235-249&lt;/pages&gt;&lt;volume&gt;20&lt;/volume&gt;&lt;number&gt;4&lt;/number&gt;&lt;dates&gt;&lt;year&gt;2011&lt;/year&gt;&lt;/dates&gt;&lt;isbn&gt;1049-8931&lt;/isbn&gt;&lt;urls&gt;&lt;/urls&gt;&lt;/record&gt;&lt;/Cite&gt;&lt;/EndNote&gt;</w:instrText>
      </w:r>
      <w:r w:rsidR="00607CBA">
        <w:rPr>
          <w:rFonts w:ascii="Times New Roman" w:hAnsi="Times New Roman" w:cs="Times New Roman"/>
          <w:sz w:val="20"/>
          <w:szCs w:val="20"/>
        </w:rPr>
        <w:fldChar w:fldCharType="separate"/>
      </w:r>
      <w:r w:rsidR="00EB577D">
        <w:rPr>
          <w:rFonts w:ascii="Times New Roman" w:hAnsi="Times New Roman" w:cs="Times New Roman"/>
          <w:noProof/>
          <w:sz w:val="20"/>
          <w:szCs w:val="20"/>
        </w:rPr>
        <w:t>(2, 3)</w:t>
      </w:r>
      <w:r w:rsidR="00607CBA">
        <w:rPr>
          <w:rFonts w:ascii="Times New Roman" w:hAnsi="Times New Roman" w:cs="Times New Roman"/>
          <w:sz w:val="20"/>
          <w:szCs w:val="20"/>
        </w:rPr>
        <w:fldChar w:fldCharType="end"/>
      </w:r>
      <w:r w:rsidR="006D1860">
        <w:rPr>
          <w:rFonts w:ascii="Times New Roman" w:hAnsi="Times New Roman" w:cs="Times New Roman" w:hint="eastAsia"/>
          <w:sz w:val="20"/>
          <w:szCs w:val="20"/>
        </w:rPr>
        <w:t xml:space="preserve">: </w:t>
      </w:r>
    </w:p>
    <w:p w14:paraId="6C3EF991" w14:textId="77777777" w:rsidR="00691B58" w:rsidRPr="00691B58" w:rsidRDefault="00691B58" w:rsidP="00691B58">
      <w:pPr>
        <w:numPr>
          <w:ilvl w:val="0"/>
          <w:numId w:val="2"/>
        </w:numPr>
        <w:wordWrap/>
        <w:rPr>
          <w:rFonts w:ascii="Times New Roman" w:hAnsi="Times New Roman" w:cs="Times New Roman"/>
          <w:sz w:val="20"/>
          <w:szCs w:val="20"/>
        </w:rPr>
      </w:pPr>
      <w:r w:rsidRPr="00691B58">
        <w:rPr>
          <w:rFonts w:ascii="Times New Roman" w:hAnsi="Times New Roman" w:cs="Times New Roman"/>
          <w:sz w:val="20"/>
          <w:szCs w:val="20"/>
        </w:rPr>
        <w:t>A minimum of 50 participants is generally recommended.</w:t>
      </w:r>
    </w:p>
    <w:p w14:paraId="46F9247D" w14:textId="77777777" w:rsidR="00691B58" w:rsidRPr="00691B58" w:rsidRDefault="00691B58" w:rsidP="00691B58">
      <w:pPr>
        <w:numPr>
          <w:ilvl w:val="0"/>
          <w:numId w:val="2"/>
        </w:numPr>
        <w:wordWrap/>
        <w:rPr>
          <w:rFonts w:ascii="Times New Roman" w:hAnsi="Times New Roman" w:cs="Times New Roman"/>
          <w:sz w:val="20"/>
          <w:szCs w:val="20"/>
        </w:rPr>
      </w:pPr>
      <w:r w:rsidRPr="00691B58">
        <w:rPr>
          <w:rFonts w:ascii="Times New Roman" w:hAnsi="Times New Roman" w:cs="Times New Roman"/>
          <w:sz w:val="20"/>
          <w:szCs w:val="20"/>
        </w:rPr>
        <w:t>A sample size of approximately 100 is considered appropriate for typical studies.</w:t>
      </w:r>
    </w:p>
    <w:p w14:paraId="5EF9B024" w14:textId="77777777" w:rsidR="00691B58" w:rsidRPr="00691B58" w:rsidRDefault="00691B58" w:rsidP="00691B58">
      <w:pPr>
        <w:numPr>
          <w:ilvl w:val="0"/>
          <w:numId w:val="2"/>
        </w:numPr>
        <w:wordWrap/>
        <w:rPr>
          <w:rFonts w:ascii="Times New Roman" w:hAnsi="Times New Roman" w:cs="Times New Roman"/>
          <w:sz w:val="20"/>
          <w:szCs w:val="20"/>
        </w:rPr>
      </w:pPr>
      <w:r w:rsidRPr="00691B58">
        <w:rPr>
          <w:rFonts w:ascii="Times New Roman" w:hAnsi="Times New Roman" w:cs="Times New Roman"/>
          <w:sz w:val="20"/>
          <w:szCs w:val="20"/>
        </w:rPr>
        <w:t>For greater precision, over 200 participants may be preferred.</w:t>
      </w:r>
    </w:p>
    <w:p w14:paraId="2BE74207" w14:textId="77777777" w:rsidR="00691B58" w:rsidRPr="00691B58" w:rsidRDefault="00691B58" w:rsidP="00691B58">
      <w:pPr>
        <w:numPr>
          <w:ilvl w:val="0"/>
          <w:numId w:val="2"/>
        </w:numPr>
        <w:wordWrap/>
        <w:rPr>
          <w:rFonts w:ascii="Times New Roman" w:hAnsi="Times New Roman" w:cs="Times New Roman"/>
          <w:sz w:val="20"/>
          <w:szCs w:val="20"/>
        </w:rPr>
      </w:pPr>
      <w:r w:rsidRPr="00691B58">
        <w:rPr>
          <w:rFonts w:ascii="Times New Roman" w:hAnsi="Times New Roman" w:cs="Times New Roman"/>
          <w:sz w:val="20"/>
          <w:szCs w:val="20"/>
        </w:rPr>
        <w:t>For basic reliability verification, 50–100 participants is a commonly cited range, with 100–200 as the preferred range.</w:t>
      </w:r>
    </w:p>
    <w:p w14:paraId="61DCBE10" w14:textId="77777777" w:rsidR="00691B58" w:rsidRPr="00691B58" w:rsidRDefault="00691B58" w:rsidP="00691B58">
      <w:pPr>
        <w:wordWrap/>
        <w:rPr>
          <w:rFonts w:ascii="Times New Roman" w:hAnsi="Times New Roman" w:cs="Times New Roman"/>
          <w:sz w:val="20"/>
          <w:szCs w:val="20"/>
        </w:rPr>
      </w:pPr>
      <w:r w:rsidRPr="00691B58">
        <w:rPr>
          <w:rFonts w:ascii="Times New Roman" w:hAnsi="Times New Roman" w:cs="Times New Roman"/>
          <w:sz w:val="20"/>
          <w:szCs w:val="20"/>
        </w:rPr>
        <w:t>Thus, the sample size of 80 is regarded as adequate for estimating Cronbach’s alpha and aligns well with standard recommendations for basic reliability assessment.</w:t>
      </w:r>
    </w:p>
    <w:p w14:paraId="6C745C81" w14:textId="087500FC" w:rsidR="00691B58" w:rsidRPr="00691B58" w:rsidRDefault="00691B58" w:rsidP="00691B58">
      <w:pPr>
        <w:wordWrap/>
        <w:rPr>
          <w:rFonts w:ascii="Times New Roman" w:hAnsi="Times New Roman" w:cs="Times New Roman"/>
          <w:b/>
          <w:bCs/>
          <w:sz w:val="20"/>
          <w:szCs w:val="20"/>
        </w:rPr>
      </w:pPr>
      <w:r>
        <w:rPr>
          <w:rFonts w:ascii="Times New Roman" w:hAnsi="Times New Roman" w:cs="Times New Roman" w:hint="eastAsia"/>
          <w:b/>
          <w:bCs/>
          <w:sz w:val="20"/>
          <w:szCs w:val="20"/>
        </w:rPr>
        <w:lastRenderedPageBreak/>
        <w:t xml:space="preserve">2-3. </w:t>
      </w:r>
      <w:r w:rsidRPr="00691B58">
        <w:rPr>
          <w:rFonts w:ascii="Times New Roman" w:hAnsi="Times New Roman" w:cs="Times New Roman"/>
          <w:b/>
          <w:bCs/>
          <w:sz w:val="20"/>
          <w:szCs w:val="20"/>
        </w:rPr>
        <w:t>Agreement Analysis (ICC)</w:t>
      </w:r>
    </w:p>
    <w:p w14:paraId="470DA1E5" w14:textId="3E13475B" w:rsidR="00691B58" w:rsidRPr="00691B58" w:rsidRDefault="00691B58" w:rsidP="00691B58">
      <w:pPr>
        <w:wordWrap/>
        <w:rPr>
          <w:rFonts w:ascii="Times New Roman" w:hAnsi="Times New Roman" w:cs="Times New Roman"/>
          <w:color w:val="EE0000"/>
          <w:sz w:val="20"/>
          <w:szCs w:val="20"/>
        </w:rPr>
      </w:pPr>
      <w:r w:rsidRPr="00691B58">
        <w:rPr>
          <w:rFonts w:ascii="Times New Roman" w:hAnsi="Times New Roman" w:cs="Times New Roman"/>
          <w:sz w:val="20"/>
          <w:szCs w:val="20"/>
        </w:rPr>
        <w:t>To estimate the intraclass correlation coefficient (ICC), the following criteria guided the sample size</w:t>
      </w:r>
      <w:r w:rsidR="002B0106">
        <w:rPr>
          <w:rFonts w:ascii="Times New Roman" w:hAnsi="Times New Roman" w:cs="Times New Roman" w:hint="eastAsia"/>
          <w:sz w:val="20"/>
          <w:szCs w:val="20"/>
        </w:rPr>
        <w:t xml:space="preserve"> </w:t>
      </w:r>
      <w:r w:rsidR="002B0106">
        <w:rPr>
          <w:rFonts w:ascii="Times New Roman" w:hAnsi="Times New Roman" w:cs="Times New Roman"/>
          <w:sz w:val="20"/>
          <w:szCs w:val="20"/>
        </w:rPr>
        <w:fldChar w:fldCharType="begin"/>
      </w:r>
      <w:r w:rsidR="002B0106">
        <w:rPr>
          <w:rFonts w:ascii="Times New Roman" w:hAnsi="Times New Roman" w:cs="Times New Roman"/>
          <w:sz w:val="20"/>
          <w:szCs w:val="20"/>
        </w:rPr>
        <w:instrText xml:space="preserve"> ADDIN EN.CITE &lt;EndNote&gt;&lt;Cite&gt;&lt;Author&gt;Han&lt;/Author&gt;&lt;Year&gt;2022&lt;/Year&gt;&lt;RecNum&gt;56&lt;/RecNum&gt;&lt;DisplayText&gt;(4)&lt;/DisplayText&gt;&lt;record&gt;&lt;rec-number&gt;56&lt;/rec-number&gt;&lt;foreign-keys&gt;&lt;key app="EN" db-id="0pwxxwrpasetv2e0ef6vvz2d9t2dvfrdt9fw" timestamp="1752668503"&gt;56&lt;/key&gt;&lt;/foreign-keys&gt;&lt;ref-type name="Journal Article"&gt;17&lt;/ref-type&gt;&lt;contributors&gt;&lt;authors&gt;&lt;author&gt;Han, Oscar&lt;/author&gt;&lt;author&gt;Tan, Hao Wei&lt;/author&gt;&lt;author&gt;Julious, Steven&lt;/author&gt;&lt;author&gt;Sutton, Laura&lt;/author&gt;&lt;author&gt;Jacques, Richard&lt;/author&gt;&lt;author&gt;Lee, Ellen&lt;/author&gt;&lt;author&gt;Lewis, Jen&lt;/author&gt;&lt;author&gt;Walters, Stephen&lt;/author&gt;&lt;/authors&gt;&lt;/contributors&gt;&lt;titles&gt;&lt;title&gt;A descriptive study of samples sizes used in agreement studies published in the PubMed repository&lt;/title&gt;&lt;secondary-title&gt;BMC medical research methodology&lt;/secondary-title&gt;&lt;/titles&gt;&lt;periodical&gt;&lt;full-title&gt;BMC medical research methodology&lt;/full-title&gt;&lt;/periodical&gt;&lt;pages&gt;242&lt;/pages&gt;&lt;volume&gt;22&lt;/volume&gt;&lt;number&gt;1&lt;/number&gt;&lt;dates&gt;&lt;year&gt;2022&lt;/year&gt;&lt;/dates&gt;&lt;isbn&gt;1471-2288&lt;/isbn&gt;&lt;urls&gt;&lt;/urls&gt;&lt;/record&gt;&lt;/Cite&gt;&lt;/EndNote&gt;</w:instrText>
      </w:r>
      <w:r w:rsidR="002B0106">
        <w:rPr>
          <w:rFonts w:ascii="Times New Roman" w:hAnsi="Times New Roman" w:cs="Times New Roman"/>
          <w:sz w:val="20"/>
          <w:szCs w:val="20"/>
        </w:rPr>
        <w:fldChar w:fldCharType="separate"/>
      </w:r>
      <w:r w:rsidR="002B0106">
        <w:rPr>
          <w:rFonts w:ascii="Times New Roman" w:hAnsi="Times New Roman" w:cs="Times New Roman"/>
          <w:noProof/>
          <w:sz w:val="20"/>
          <w:szCs w:val="20"/>
        </w:rPr>
        <w:t>(4)</w:t>
      </w:r>
      <w:r w:rsidR="002B0106">
        <w:rPr>
          <w:rFonts w:ascii="Times New Roman" w:hAnsi="Times New Roman" w:cs="Times New Roman"/>
          <w:sz w:val="20"/>
          <w:szCs w:val="20"/>
        </w:rPr>
        <w:fldChar w:fldCharType="end"/>
      </w:r>
      <w:r w:rsidR="002B0106">
        <w:rPr>
          <w:rFonts w:ascii="Times New Roman" w:hAnsi="Times New Roman" w:cs="Times New Roman" w:hint="eastAsia"/>
          <w:sz w:val="20"/>
          <w:szCs w:val="20"/>
        </w:rPr>
        <w:t>:</w:t>
      </w:r>
      <w:r>
        <w:rPr>
          <w:rFonts w:ascii="Times New Roman" w:hAnsi="Times New Roman" w:cs="Times New Roman" w:hint="eastAsia"/>
          <w:sz w:val="20"/>
          <w:szCs w:val="20"/>
        </w:rPr>
        <w:t xml:space="preserve"> </w:t>
      </w:r>
    </w:p>
    <w:p w14:paraId="7108B0B8" w14:textId="77777777" w:rsidR="00691B58" w:rsidRPr="00691B58" w:rsidRDefault="00691B58" w:rsidP="00691B58">
      <w:pPr>
        <w:numPr>
          <w:ilvl w:val="0"/>
          <w:numId w:val="3"/>
        </w:numPr>
        <w:wordWrap/>
        <w:rPr>
          <w:rFonts w:ascii="Times New Roman" w:hAnsi="Times New Roman" w:cs="Times New Roman"/>
          <w:sz w:val="20"/>
          <w:szCs w:val="20"/>
        </w:rPr>
      </w:pPr>
      <w:r w:rsidRPr="00691B58">
        <w:rPr>
          <w:rFonts w:ascii="Times New Roman" w:hAnsi="Times New Roman" w:cs="Times New Roman"/>
          <w:sz w:val="20"/>
          <w:szCs w:val="20"/>
        </w:rPr>
        <w:t>An expected ICC value of 0.80, representing excellent agreement.</w:t>
      </w:r>
    </w:p>
    <w:p w14:paraId="75707D93" w14:textId="77777777" w:rsidR="00691B58" w:rsidRPr="00691B58" w:rsidRDefault="00691B58" w:rsidP="00691B58">
      <w:pPr>
        <w:numPr>
          <w:ilvl w:val="0"/>
          <w:numId w:val="3"/>
        </w:numPr>
        <w:wordWrap/>
        <w:rPr>
          <w:rFonts w:ascii="Times New Roman" w:hAnsi="Times New Roman" w:cs="Times New Roman"/>
          <w:sz w:val="20"/>
          <w:szCs w:val="20"/>
        </w:rPr>
      </w:pPr>
      <w:r w:rsidRPr="00691B58">
        <w:rPr>
          <w:rFonts w:ascii="Times New Roman" w:hAnsi="Times New Roman" w:cs="Times New Roman"/>
          <w:sz w:val="20"/>
          <w:szCs w:val="20"/>
        </w:rPr>
        <w:t>A confidence interval width of 0.3 or less at the 95% level.</w:t>
      </w:r>
    </w:p>
    <w:p w14:paraId="778E5E9E" w14:textId="77777777" w:rsidR="00691B58" w:rsidRPr="00691B58" w:rsidRDefault="00691B58" w:rsidP="00691B58">
      <w:pPr>
        <w:numPr>
          <w:ilvl w:val="0"/>
          <w:numId w:val="3"/>
        </w:numPr>
        <w:wordWrap/>
        <w:rPr>
          <w:rFonts w:ascii="Times New Roman" w:hAnsi="Times New Roman" w:cs="Times New Roman"/>
          <w:sz w:val="20"/>
          <w:szCs w:val="20"/>
        </w:rPr>
      </w:pPr>
      <w:r w:rsidRPr="00691B58">
        <w:rPr>
          <w:rFonts w:ascii="Times New Roman" w:hAnsi="Times New Roman" w:cs="Times New Roman"/>
          <w:sz w:val="20"/>
          <w:szCs w:val="20"/>
        </w:rPr>
        <w:t xml:space="preserve">A minimum of 30 to 50 participants </w:t>
      </w:r>
      <w:proofErr w:type="gramStart"/>
      <w:r w:rsidRPr="00691B58">
        <w:rPr>
          <w:rFonts w:ascii="Times New Roman" w:hAnsi="Times New Roman" w:cs="Times New Roman"/>
          <w:sz w:val="20"/>
          <w:szCs w:val="20"/>
        </w:rPr>
        <w:t>typically</w:t>
      </w:r>
      <w:proofErr w:type="gramEnd"/>
      <w:r w:rsidRPr="00691B58">
        <w:rPr>
          <w:rFonts w:ascii="Times New Roman" w:hAnsi="Times New Roman" w:cs="Times New Roman"/>
          <w:sz w:val="20"/>
          <w:szCs w:val="20"/>
        </w:rPr>
        <w:t xml:space="preserve"> required to achieve this degree of precision.</w:t>
      </w:r>
    </w:p>
    <w:p w14:paraId="2BD0DB18" w14:textId="77777777" w:rsidR="00691B58" w:rsidRPr="00691B58" w:rsidRDefault="00691B58" w:rsidP="00691B58">
      <w:pPr>
        <w:wordWrap/>
        <w:rPr>
          <w:rFonts w:ascii="Times New Roman" w:hAnsi="Times New Roman" w:cs="Times New Roman"/>
          <w:sz w:val="20"/>
          <w:szCs w:val="20"/>
        </w:rPr>
      </w:pPr>
      <w:r w:rsidRPr="00691B58">
        <w:rPr>
          <w:rFonts w:ascii="Times New Roman" w:hAnsi="Times New Roman" w:cs="Times New Roman"/>
          <w:sz w:val="20"/>
          <w:szCs w:val="20"/>
        </w:rPr>
        <w:t>Therefore, a sample size of 80 ensures adequate precision for ICC analysis and confidently supports the evaluation of agreement between the instruments.</w:t>
      </w:r>
    </w:p>
    <w:p w14:paraId="33FC7938" w14:textId="77777777" w:rsidR="00691B58" w:rsidRDefault="00691B58" w:rsidP="00691B58">
      <w:pPr>
        <w:wordWrap/>
        <w:rPr>
          <w:rFonts w:ascii="Times New Roman" w:hAnsi="Times New Roman" w:cs="Times New Roman"/>
          <w:b/>
          <w:bCs/>
          <w:sz w:val="20"/>
          <w:szCs w:val="20"/>
        </w:rPr>
      </w:pPr>
    </w:p>
    <w:p w14:paraId="0671FFC3" w14:textId="790DBB92" w:rsidR="00691B58" w:rsidRPr="00691B58" w:rsidRDefault="00691B58" w:rsidP="00691B58">
      <w:pPr>
        <w:wordWrap/>
        <w:rPr>
          <w:rFonts w:ascii="Times New Roman" w:hAnsi="Times New Roman" w:cs="Times New Roman"/>
          <w:b/>
          <w:bCs/>
          <w:sz w:val="20"/>
          <w:szCs w:val="20"/>
        </w:rPr>
      </w:pPr>
      <w:r>
        <w:rPr>
          <w:rFonts w:ascii="Times New Roman" w:hAnsi="Times New Roman" w:cs="Times New Roman" w:hint="eastAsia"/>
          <w:b/>
          <w:bCs/>
          <w:sz w:val="20"/>
          <w:szCs w:val="20"/>
        </w:rPr>
        <w:t xml:space="preserve">3. </w:t>
      </w:r>
      <w:r w:rsidRPr="00691B58">
        <w:rPr>
          <w:rFonts w:ascii="Times New Roman" w:hAnsi="Times New Roman" w:cs="Times New Roman"/>
          <w:b/>
          <w:bCs/>
          <w:sz w:val="20"/>
          <w:szCs w:val="20"/>
        </w:rPr>
        <w:t>Statistical Power Analysis</w:t>
      </w:r>
    </w:p>
    <w:p w14:paraId="5E6D9FB9" w14:textId="77777777" w:rsidR="00691B58" w:rsidRPr="00691B58" w:rsidRDefault="00691B58" w:rsidP="00691B58">
      <w:pPr>
        <w:wordWrap/>
        <w:rPr>
          <w:rFonts w:ascii="Times New Roman" w:hAnsi="Times New Roman" w:cs="Times New Roman"/>
          <w:sz w:val="20"/>
          <w:szCs w:val="20"/>
        </w:rPr>
      </w:pPr>
      <w:r w:rsidRPr="00691B58">
        <w:rPr>
          <w:rFonts w:ascii="Times New Roman" w:hAnsi="Times New Roman" w:cs="Times New Roman"/>
          <w:sz w:val="20"/>
          <w:szCs w:val="20"/>
        </w:rPr>
        <w:t>The statistical power analysis confirmed the adequacy of the chosen sample size for key study aims:</w:t>
      </w:r>
    </w:p>
    <w:p w14:paraId="2E956BC7" w14:textId="77777777" w:rsidR="00691B58" w:rsidRPr="00691B58" w:rsidRDefault="00691B58" w:rsidP="00691B58">
      <w:pPr>
        <w:numPr>
          <w:ilvl w:val="0"/>
          <w:numId w:val="4"/>
        </w:numPr>
        <w:wordWrap/>
        <w:rPr>
          <w:rFonts w:ascii="Times New Roman" w:hAnsi="Times New Roman" w:cs="Times New Roman"/>
          <w:sz w:val="20"/>
          <w:szCs w:val="20"/>
        </w:rPr>
      </w:pPr>
      <w:r w:rsidRPr="00691B58">
        <w:rPr>
          <w:rFonts w:ascii="Times New Roman" w:hAnsi="Times New Roman" w:cs="Times New Roman"/>
          <w:b/>
          <w:bCs/>
          <w:sz w:val="20"/>
          <w:szCs w:val="20"/>
        </w:rPr>
        <w:t>Correlation analysis:</w:t>
      </w:r>
      <w:r w:rsidRPr="00691B58">
        <w:rPr>
          <w:rFonts w:ascii="Times New Roman" w:hAnsi="Times New Roman" w:cs="Times New Roman"/>
          <w:sz w:val="20"/>
          <w:szCs w:val="20"/>
        </w:rPr>
        <w:t> With an observed r = 0.792, the analysis had more than 99% power.</w:t>
      </w:r>
    </w:p>
    <w:p w14:paraId="35547687" w14:textId="77777777" w:rsidR="00691B58" w:rsidRPr="00691B58" w:rsidRDefault="00691B58" w:rsidP="00691B58">
      <w:pPr>
        <w:numPr>
          <w:ilvl w:val="0"/>
          <w:numId w:val="4"/>
        </w:numPr>
        <w:wordWrap/>
        <w:rPr>
          <w:rFonts w:ascii="Times New Roman" w:hAnsi="Times New Roman" w:cs="Times New Roman"/>
          <w:sz w:val="20"/>
          <w:szCs w:val="20"/>
        </w:rPr>
      </w:pPr>
      <w:r w:rsidRPr="00691B58">
        <w:rPr>
          <w:rFonts w:ascii="Times New Roman" w:hAnsi="Times New Roman" w:cs="Times New Roman"/>
          <w:b/>
          <w:bCs/>
          <w:sz w:val="20"/>
          <w:szCs w:val="20"/>
        </w:rPr>
        <w:t>Group comparisons (e.g., marital status subgroups):</w:t>
      </w:r>
      <w:r w:rsidRPr="00691B58">
        <w:rPr>
          <w:rFonts w:ascii="Times New Roman" w:hAnsi="Times New Roman" w:cs="Times New Roman"/>
          <w:sz w:val="20"/>
          <w:szCs w:val="20"/>
        </w:rPr>
        <w:t> For the division between married (n=38) and unmarried (n=42) participants, the power was approximately 60–70% for detecting medium effects and 80–90% for large effects.</w:t>
      </w:r>
    </w:p>
    <w:p w14:paraId="0453EC98" w14:textId="77777777" w:rsidR="00691B58" w:rsidRPr="00691B58" w:rsidRDefault="00691B58" w:rsidP="00691B58">
      <w:pPr>
        <w:numPr>
          <w:ilvl w:val="0"/>
          <w:numId w:val="4"/>
        </w:numPr>
        <w:wordWrap/>
        <w:rPr>
          <w:rFonts w:ascii="Times New Roman" w:hAnsi="Times New Roman" w:cs="Times New Roman"/>
          <w:sz w:val="20"/>
          <w:szCs w:val="20"/>
        </w:rPr>
      </w:pPr>
      <w:r w:rsidRPr="00691B58">
        <w:rPr>
          <w:rFonts w:ascii="Times New Roman" w:hAnsi="Times New Roman" w:cs="Times New Roman"/>
          <w:b/>
          <w:bCs/>
          <w:sz w:val="20"/>
          <w:szCs w:val="20"/>
        </w:rPr>
        <w:t>Reliability analysis (Cronbach’s alpha for HINT-8 = 0.859):</w:t>
      </w:r>
      <w:r w:rsidRPr="00691B58">
        <w:rPr>
          <w:rFonts w:ascii="Times New Roman" w:hAnsi="Times New Roman" w:cs="Times New Roman"/>
          <w:sz w:val="20"/>
          <w:szCs w:val="20"/>
        </w:rPr>
        <w:t> The 95% confidence interval was 0.10–0.15, indicating acceptable precision.</w:t>
      </w:r>
    </w:p>
    <w:p w14:paraId="22A824A4" w14:textId="77777777" w:rsidR="00691B58" w:rsidRPr="00691B58" w:rsidRDefault="00691B58" w:rsidP="00691B58">
      <w:pPr>
        <w:numPr>
          <w:ilvl w:val="0"/>
          <w:numId w:val="4"/>
        </w:numPr>
        <w:wordWrap/>
        <w:rPr>
          <w:rFonts w:ascii="Times New Roman" w:hAnsi="Times New Roman" w:cs="Times New Roman"/>
          <w:sz w:val="20"/>
          <w:szCs w:val="20"/>
        </w:rPr>
      </w:pPr>
      <w:r w:rsidRPr="00691B58">
        <w:rPr>
          <w:rFonts w:ascii="Times New Roman" w:hAnsi="Times New Roman" w:cs="Times New Roman"/>
          <w:b/>
          <w:bCs/>
          <w:sz w:val="20"/>
          <w:szCs w:val="20"/>
        </w:rPr>
        <w:t>Effect size considerations:</w:t>
      </w:r>
      <w:r w:rsidRPr="00691B58">
        <w:rPr>
          <w:rFonts w:ascii="Times New Roman" w:hAnsi="Times New Roman" w:cs="Times New Roman"/>
          <w:sz w:val="20"/>
          <w:szCs w:val="20"/>
        </w:rPr>
        <w:t> A small to medium effect size (Cohen’s d = 0.373) was observed; detecting a medium effect (d=0.5) would require roughly 64 subjects per group.</w:t>
      </w:r>
    </w:p>
    <w:p w14:paraId="552D2CA8" w14:textId="77777777" w:rsidR="00691B58" w:rsidRDefault="00691B58" w:rsidP="00691B58">
      <w:pPr>
        <w:wordWrap/>
        <w:rPr>
          <w:rFonts w:ascii="Times New Roman" w:hAnsi="Times New Roman" w:cs="Times New Roman"/>
          <w:b/>
          <w:bCs/>
          <w:sz w:val="20"/>
          <w:szCs w:val="20"/>
        </w:rPr>
      </w:pPr>
    </w:p>
    <w:p w14:paraId="27925B81" w14:textId="288519B3" w:rsidR="00691B58" w:rsidRPr="00691B58" w:rsidRDefault="00691B58" w:rsidP="00691B58">
      <w:pPr>
        <w:wordWrap/>
        <w:rPr>
          <w:rFonts w:ascii="Times New Roman" w:hAnsi="Times New Roman" w:cs="Times New Roman"/>
          <w:b/>
          <w:bCs/>
          <w:sz w:val="20"/>
          <w:szCs w:val="20"/>
        </w:rPr>
      </w:pPr>
      <w:r>
        <w:rPr>
          <w:rFonts w:ascii="Times New Roman" w:hAnsi="Times New Roman" w:cs="Times New Roman" w:hint="eastAsia"/>
          <w:b/>
          <w:bCs/>
          <w:sz w:val="20"/>
          <w:szCs w:val="20"/>
        </w:rPr>
        <w:t xml:space="preserve">4. </w:t>
      </w:r>
      <w:r w:rsidRPr="00691B58">
        <w:rPr>
          <w:rFonts w:ascii="Times New Roman" w:hAnsi="Times New Roman" w:cs="Times New Roman"/>
          <w:b/>
          <w:bCs/>
          <w:sz w:val="20"/>
          <w:szCs w:val="20"/>
        </w:rPr>
        <w:t>Adequacy of Sample Size by Analysis Type</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36"/>
        <w:gridCol w:w="1970"/>
        <w:gridCol w:w="1604"/>
        <w:gridCol w:w="1754"/>
      </w:tblGrid>
      <w:tr w:rsidR="00691B58" w:rsidRPr="00691B58" w14:paraId="1EA21A68" w14:textId="77777777" w:rsidTr="00691B58">
        <w:trPr>
          <w:trHeight w:val="346"/>
          <w:tblHeader/>
        </w:trPr>
        <w:tc>
          <w:tcPr>
            <w:tcW w:w="0" w:type="auto"/>
            <w:tcMar>
              <w:top w:w="120" w:type="dxa"/>
              <w:left w:w="120" w:type="dxa"/>
              <w:bottom w:w="120" w:type="dxa"/>
              <w:right w:w="120" w:type="dxa"/>
            </w:tcMar>
            <w:hideMark/>
          </w:tcPr>
          <w:p w14:paraId="34CD38FC" w14:textId="77777777" w:rsidR="00691B58" w:rsidRPr="00691B58" w:rsidRDefault="00691B58" w:rsidP="00691B58">
            <w:pPr>
              <w:wordWrap/>
              <w:spacing w:after="0"/>
              <w:rPr>
                <w:rFonts w:ascii="Times New Roman" w:hAnsi="Times New Roman" w:cs="Times New Roman"/>
                <w:b/>
                <w:bCs/>
                <w:sz w:val="20"/>
                <w:szCs w:val="20"/>
              </w:rPr>
            </w:pPr>
            <w:r w:rsidRPr="00691B58">
              <w:rPr>
                <w:rFonts w:ascii="Times New Roman" w:hAnsi="Times New Roman" w:cs="Times New Roman"/>
                <w:b/>
                <w:bCs/>
                <w:sz w:val="20"/>
                <w:szCs w:val="20"/>
              </w:rPr>
              <w:t>Analysis Type</w:t>
            </w:r>
          </w:p>
        </w:tc>
        <w:tc>
          <w:tcPr>
            <w:tcW w:w="0" w:type="auto"/>
            <w:tcMar>
              <w:top w:w="120" w:type="dxa"/>
              <w:left w:w="120" w:type="dxa"/>
              <w:bottom w:w="120" w:type="dxa"/>
              <w:right w:w="120" w:type="dxa"/>
            </w:tcMar>
            <w:hideMark/>
          </w:tcPr>
          <w:p w14:paraId="400FDC36" w14:textId="77777777" w:rsidR="00691B58" w:rsidRPr="00691B58" w:rsidRDefault="00691B58" w:rsidP="00691B58">
            <w:pPr>
              <w:wordWrap/>
              <w:spacing w:after="0"/>
              <w:jc w:val="center"/>
              <w:rPr>
                <w:rFonts w:ascii="Times New Roman" w:hAnsi="Times New Roman" w:cs="Times New Roman"/>
                <w:b/>
                <w:bCs/>
                <w:sz w:val="20"/>
                <w:szCs w:val="20"/>
              </w:rPr>
            </w:pPr>
            <w:r w:rsidRPr="00691B58">
              <w:rPr>
                <w:rFonts w:ascii="Times New Roman" w:hAnsi="Times New Roman" w:cs="Times New Roman"/>
                <w:b/>
                <w:bCs/>
                <w:sz w:val="20"/>
                <w:szCs w:val="20"/>
              </w:rPr>
              <w:t>Required N</w:t>
            </w:r>
          </w:p>
        </w:tc>
        <w:tc>
          <w:tcPr>
            <w:tcW w:w="0" w:type="auto"/>
            <w:tcMar>
              <w:top w:w="120" w:type="dxa"/>
              <w:left w:w="120" w:type="dxa"/>
              <w:bottom w:w="120" w:type="dxa"/>
              <w:right w:w="120" w:type="dxa"/>
            </w:tcMar>
            <w:hideMark/>
          </w:tcPr>
          <w:p w14:paraId="3B7FD417" w14:textId="77777777" w:rsidR="00691B58" w:rsidRPr="00691B58" w:rsidRDefault="00691B58" w:rsidP="00691B58">
            <w:pPr>
              <w:wordWrap/>
              <w:spacing w:after="0"/>
              <w:jc w:val="center"/>
              <w:rPr>
                <w:rFonts w:ascii="Times New Roman" w:hAnsi="Times New Roman" w:cs="Times New Roman"/>
                <w:b/>
                <w:bCs/>
                <w:sz w:val="20"/>
                <w:szCs w:val="20"/>
              </w:rPr>
            </w:pPr>
            <w:r w:rsidRPr="00691B58">
              <w:rPr>
                <w:rFonts w:ascii="Times New Roman" w:hAnsi="Times New Roman" w:cs="Times New Roman"/>
                <w:b/>
                <w:bCs/>
                <w:sz w:val="20"/>
                <w:szCs w:val="20"/>
              </w:rPr>
              <w:t>Actual N</w:t>
            </w:r>
          </w:p>
        </w:tc>
        <w:tc>
          <w:tcPr>
            <w:tcW w:w="0" w:type="auto"/>
            <w:tcMar>
              <w:top w:w="120" w:type="dxa"/>
              <w:left w:w="120" w:type="dxa"/>
              <w:bottom w:w="120" w:type="dxa"/>
              <w:right w:w="120" w:type="dxa"/>
            </w:tcMar>
            <w:hideMark/>
          </w:tcPr>
          <w:p w14:paraId="31F85358" w14:textId="77777777" w:rsidR="00691B58" w:rsidRPr="00691B58" w:rsidRDefault="00691B58" w:rsidP="00691B58">
            <w:pPr>
              <w:wordWrap/>
              <w:spacing w:after="0"/>
              <w:jc w:val="center"/>
              <w:rPr>
                <w:rFonts w:ascii="Times New Roman" w:hAnsi="Times New Roman" w:cs="Times New Roman"/>
                <w:b/>
                <w:bCs/>
                <w:sz w:val="20"/>
                <w:szCs w:val="20"/>
              </w:rPr>
            </w:pPr>
            <w:r w:rsidRPr="00691B58">
              <w:rPr>
                <w:rFonts w:ascii="Times New Roman" w:hAnsi="Times New Roman" w:cs="Times New Roman"/>
                <w:b/>
                <w:bCs/>
                <w:sz w:val="20"/>
                <w:szCs w:val="20"/>
              </w:rPr>
              <w:t>Adequacy</w:t>
            </w:r>
          </w:p>
        </w:tc>
      </w:tr>
      <w:tr w:rsidR="00691B58" w:rsidRPr="00691B58" w14:paraId="019D039F" w14:textId="77777777" w:rsidTr="00691B58">
        <w:trPr>
          <w:trHeight w:val="340"/>
        </w:trPr>
        <w:tc>
          <w:tcPr>
            <w:tcW w:w="0" w:type="auto"/>
            <w:tcMar>
              <w:top w:w="137" w:type="dxa"/>
              <w:left w:w="120" w:type="dxa"/>
              <w:bottom w:w="137" w:type="dxa"/>
              <w:right w:w="120" w:type="dxa"/>
            </w:tcMar>
            <w:vAlign w:val="bottom"/>
            <w:hideMark/>
          </w:tcPr>
          <w:p w14:paraId="4BDBCD8A" w14:textId="77777777" w:rsidR="00691B58" w:rsidRPr="00691B58" w:rsidRDefault="00691B58" w:rsidP="00691B58">
            <w:pPr>
              <w:wordWrap/>
              <w:spacing w:after="0"/>
              <w:rPr>
                <w:rFonts w:ascii="Times New Roman" w:hAnsi="Times New Roman" w:cs="Times New Roman"/>
                <w:sz w:val="20"/>
                <w:szCs w:val="20"/>
              </w:rPr>
            </w:pPr>
            <w:r w:rsidRPr="00691B58">
              <w:rPr>
                <w:rFonts w:ascii="Times New Roman" w:hAnsi="Times New Roman" w:cs="Times New Roman"/>
                <w:sz w:val="20"/>
                <w:szCs w:val="20"/>
              </w:rPr>
              <w:t>Correlation</w:t>
            </w:r>
          </w:p>
        </w:tc>
        <w:tc>
          <w:tcPr>
            <w:tcW w:w="0" w:type="auto"/>
            <w:tcMar>
              <w:top w:w="137" w:type="dxa"/>
              <w:left w:w="120" w:type="dxa"/>
              <w:bottom w:w="137" w:type="dxa"/>
              <w:right w:w="120" w:type="dxa"/>
            </w:tcMar>
            <w:vAlign w:val="bottom"/>
            <w:hideMark/>
          </w:tcPr>
          <w:p w14:paraId="4A690518"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13–29</w:t>
            </w:r>
          </w:p>
        </w:tc>
        <w:tc>
          <w:tcPr>
            <w:tcW w:w="0" w:type="auto"/>
            <w:tcMar>
              <w:top w:w="137" w:type="dxa"/>
              <w:left w:w="120" w:type="dxa"/>
              <w:bottom w:w="137" w:type="dxa"/>
              <w:right w:w="120" w:type="dxa"/>
            </w:tcMar>
            <w:vAlign w:val="bottom"/>
            <w:hideMark/>
          </w:tcPr>
          <w:p w14:paraId="39F53B04"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80</w:t>
            </w:r>
          </w:p>
        </w:tc>
        <w:tc>
          <w:tcPr>
            <w:tcW w:w="0" w:type="auto"/>
            <w:tcMar>
              <w:top w:w="137" w:type="dxa"/>
              <w:left w:w="120" w:type="dxa"/>
              <w:bottom w:w="137" w:type="dxa"/>
              <w:right w:w="120" w:type="dxa"/>
            </w:tcMar>
            <w:vAlign w:val="bottom"/>
            <w:hideMark/>
          </w:tcPr>
          <w:p w14:paraId="0FE5E55E"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Sufficient</w:t>
            </w:r>
          </w:p>
        </w:tc>
      </w:tr>
      <w:tr w:rsidR="00691B58" w:rsidRPr="00691B58" w14:paraId="510EF4F4" w14:textId="77777777" w:rsidTr="00691B58">
        <w:trPr>
          <w:trHeight w:val="346"/>
        </w:trPr>
        <w:tc>
          <w:tcPr>
            <w:tcW w:w="0" w:type="auto"/>
            <w:tcMar>
              <w:top w:w="137" w:type="dxa"/>
              <w:left w:w="120" w:type="dxa"/>
              <w:bottom w:w="137" w:type="dxa"/>
              <w:right w:w="120" w:type="dxa"/>
            </w:tcMar>
            <w:vAlign w:val="bottom"/>
            <w:hideMark/>
          </w:tcPr>
          <w:p w14:paraId="7FA08E46" w14:textId="77777777" w:rsidR="00691B58" w:rsidRPr="00691B58" w:rsidRDefault="00691B58" w:rsidP="00691B58">
            <w:pPr>
              <w:wordWrap/>
              <w:spacing w:after="0"/>
              <w:rPr>
                <w:rFonts w:ascii="Times New Roman" w:hAnsi="Times New Roman" w:cs="Times New Roman"/>
                <w:sz w:val="20"/>
                <w:szCs w:val="20"/>
              </w:rPr>
            </w:pPr>
            <w:r w:rsidRPr="00691B58">
              <w:rPr>
                <w:rFonts w:ascii="Times New Roman" w:hAnsi="Times New Roman" w:cs="Times New Roman"/>
                <w:sz w:val="20"/>
                <w:szCs w:val="20"/>
              </w:rPr>
              <w:t>ICC</w:t>
            </w:r>
          </w:p>
        </w:tc>
        <w:tc>
          <w:tcPr>
            <w:tcW w:w="0" w:type="auto"/>
            <w:tcMar>
              <w:top w:w="137" w:type="dxa"/>
              <w:left w:w="120" w:type="dxa"/>
              <w:bottom w:w="137" w:type="dxa"/>
              <w:right w:w="120" w:type="dxa"/>
            </w:tcMar>
            <w:vAlign w:val="bottom"/>
            <w:hideMark/>
          </w:tcPr>
          <w:p w14:paraId="4D7F1761"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30–50</w:t>
            </w:r>
          </w:p>
        </w:tc>
        <w:tc>
          <w:tcPr>
            <w:tcW w:w="0" w:type="auto"/>
            <w:tcMar>
              <w:top w:w="137" w:type="dxa"/>
              <w:left w:w="120" w:type="dxa"/>
              <w:bottom w:w="137" w:type="dxa"/>
              <w:right w:w="120" w:type="dxa"/>
            </w:tcMar>
            <w:vAlign w:val="bottom"/>
            <w:hideMark/>
          </w:tcPr>
          <w:p w14:paraId="1FB0C4AC"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80</w:t>
            </w:r>
          </w:p>
        </w:tc>
        <w:tc>
          <w:tcPr>
            <w:tcW w:w="0" w:type="auto"/>
            <w:tcMar>
              <w:top w:w="137" w:type="dxa"/>
              <w:left w:w="120" w:type="dxa"/>
              <w:bottom w:w="137" w:type="dxa"/>
              <w:right w:w="120" w:type="dxa"/>
            </w:tcMar>
            <w:vAlign w:val="bottom"/>
            <w:hideMark/>
          </w:tcPr>
          <w:p w14:paraId="5B75CB8E"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Sufficient</w:t>
            </w:r>
          </w:p>
        </w:tc>
      </w:tr>
      <w:tr w:rsidR="00691B58" w:rsidRPr="00691B58" w14:paraId="097B6249" w14:textId="77777777" w:rsidTr="00691B58">
        <w:trPr>
          <w:trHeight w:val="340"/>
        </w:trPr>
        <w:tc>
          <w:tcPr>
            <w:tcW w:w="0" w:type="auto"/>
            <w:tcMar>
              <w:top w:w="137" w:type="dxa"/>
              <w:left w:w="120" w:type="dxa"/>
              <w:bottom w:w="137" w:type="dxa"/>
              <w:right w:w="120" w:type="dxa"/>
            </w:tcMar>
            <w:vAlign w:val="bottom"/>
            <w:hideMark/>
          </w:tcPr>
          <w:p w14:paraId="45D823D6" w14:textId="77777777" w:rsidR="00691B58" w:rsidRPr="00691B58" w:rsidRDefault="00691B58" w:rsidP="00691B58">
            <w:pPr>
              <w:wordWrap/>
              <w:spacing w:after="0"/>
              <w:rPr>
                <w:rFonts w:ascii="Times New Roman" w:hAnsi="Times New Roman" w:cs="Times New Roman"/>
                <w:sz w:val="20"/>
                <w:szCs w:val="20"/>
              </w:rPr>
            </w:pPr>
            <w:r w:rsidRPr="00691B58">
              <w:rPr>
                <w:rFonts w:ascii="Times New Roman" w:hAnsi="Times New Roman" w:cs="Times New Roman"/>
                <w:sz w:val="20"/>
                <w:szCs w:val="20"/>
              </w:rPr>
              <w:t>Reliability (Cronbach’s α)</w:t>
            </w:r>
          </w:p>
        </w:tc>
        <w:tc>
          <w:tcPr>
            <w:tcW w:w="0" w:type="auto"/>
            <w:tcMar>
              <w:top w:w="137" w:type="dxa"/>
              <w:left w:w="120" w:type="dxa"/>
              <w:bottom w:w="137" w:type="dxa"/>
              <w:right w:w="120" w:type="dxa"/>
            </w:tcMar>
            <w:vAlign w:val="bottom"/>
            <w:hideMark/>
          </w:tcPr>
          <w:p w14:paraId="0FE39180"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50–100</w:t>
            </w:r>
          </w:p>
        </w:tc>
        <w:tc>
          <w:tcPr>
            <w:tcW w:w="0" w:type="auto"/>
            <w:tcMar>
              <w:top w:w="137" w:type="dxa"/>
              <w:left w:w="120" w:type="dxa"/>
              <w:bottom w:w="137" w:type="dxa"/>
              <w:right w:w="120" w:type="dxa"/>
            </w:tcMar>
            <w:vAlign w:val="bottom"/>
            <w:hideMark/>
          </w:tcPr>
          <w:p w14:paraId="28519D4A"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80</w:t>
            </w:r>
          </w:p>
        </w:tc>
        <w:tc>
          <w:tcPr>
            <w:tcW w:w="0" w:type="auto"/>
            <w:tcMar>
              <w:top w:w="137" w:type="dxa"/>
              <w:left w:w="120" w:type="dxa"/>
              <w:bottom w:w="137" w:type="dxa"/>
              <w:right w:w="120" w:type="dxa"/>
            </w:tcMar>
            <w:vAlign w:val="bottom"/>
            <w:hideMark/>
          </w:tcPr>
          <w:p w14:paraId="5E0BE5CA"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Adequate</w:t>
            </w:r>
          </w:p>
        </w:tc>
      </w:tr>
      <w:tr w:rsidR="00691B58" w:rsidRPr="00691B58" w14:paraId="5B72123A" w14:textId="77777777" w:rsidTr="00691B58">
        <w:trPr>
          <w:trHeight w:val="346"/>
        </w:trPr>
        <w:tc>
          <w:tcPr>
            <w:tcW w:w="0" w:type="auto"/>
            <w:tcMar>
              <w:top w:w="137" w:type="dxa"/>
              <w:left w:w="120" w:type="dxa"/>
              <w:bottom w:w="137" w:type="dxa"/>
              <w:right w:w="120" w:type="dxa"/>
            </w:tcMar>
            <w:vAlign w:val="bottom"/>
            <w:hideMark/>
          </w:tcPr>
          <w:p w14:paraId="5D762D36" w14:textId="77777777" w:rsidR="00691B58" w:rsidRPr="00691B58" w:rsidRDefault="00691B58" w:rsidP="00691B58">
            <w:pPr>
              <w:wordWrap/>
              <w:spacing w:after="0"/>
              <w:rPr>
                <w:rFonts w:ascii="Times New Roman" w:hAnsi="Times New Roman" w:cs="Times New Roman"/>
                <w:sz w:val="20"/>
                <w:szCs w:val="20"/>
              </w:rPr>
            </w:pPr>
            <w:r w:rsidRPr="00691B58">
              <w:rPr>
                <w:rFonts w:ascii="Times New Roman" w:hAnsi="Times New Roman" w:cs="Times New Roman"/>
                <w:sz w:val="20"/>
                <w:szCs w:val="20"/>
              </w:rPr>
              <w:t>Group comparison</w:t>
            </w:r>
          </w:p>
        </w:tc>
        <w:tc>
          <w:tcPr>
            <w:tcW w:w="0" w:type="auto"/>
            <w:tcMar>
              <w:top w:w="137" w:type="dxa"/>
              <w:left w:w="120" w:type="dxa"/>
              <w:bottom w:w="137" w:type="dxa"/>
              <w:right w:w="120" w:type="dxa"/>
            </w:tcMar>
            <w:vAlign w:val="bottom"/>
            <w:hideMark/>
          </w:tcPr>
          <w:p w14:paraId="19B14E48"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64–128</w:t>
            </w:r>
          </w:p>
        </w:tc>
        <w:tc>
          <w:tcPr>
            <w:tcW w:w="0" w:type="auto"/>
            <w:tcMar>
              <w:top w:w="137" w:type="dxa"/>
              <w:left w:w="120" w:type="dxa"/>
              <w:bottom w:w="137" w:type="dxa"/>
              <w:right w:w="120" w:type="dxa"/>
            </w:tcMar>
            <w:vAlign w:val="bottom"/>
            <w:hideMark/>
          </w:tcPr>
          <w:p w14:paraId="4214D595"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80</w:t>
            </w:r>
          </w:p>
        </w:tc>
        <w:tc>
          <w:tcPr>
            <w:tcW w:w="0" w:type="auto"/>
            <w:tcMar>
              <w:top w:w="137" w:type="dxa"/>
              <w:left w:w="120" w:type="dxa"/>
              <w:bottom w:w="137" w:type="dxa"/>
              <w:right w:w="120" w:type="dxa"/>
            </w:tcMar>
            <w:vAlign w:val="bottom"/>
            <w:hideMark/>
          </w:tcPr>
          <w:p w14:paraId="34527C29"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Adequate</w:t>
            </w:r>
          </w:p>
        </w:tc>
      </w:tr>
      <w:tr w:rsidR="00691B58" w:rsidRPr="00691B58" w14:paraId="158C17B3" w14:textId="77777777" w:rsidTr="00691B58">
        <w:trPr>
          <w:trHeight w:val="340"/>
        </w:trPr>
        <w:tc>
          <w:tcPr>
            <w:tcW w:w="0" w:type="auto"/>
            <w:tcMar>
              <w:top w:w="137" w:type="dxa"/>
              <w:left w:w="120" w:type="dxa"/>
              <w:bottom w:w="137" w:type="dxa"/>
              <w:right w:w="120" w:type="dxa"/>
            </w:tcMar>
            <w:vAlign w:val="bottom"/>
            <w:hideMark/>
          </w:tcPr>
          <w:p w14:paraId="42321309" w14:textId="77777777" w:rsidR="00691B58" w:rsidRPr="00691B58" w:rsidRDefault="00691B58" w:rsidP="00691B58">
            <w:pPr>
              <w:wordWrap/>
              <w:spacing w:after="0"/>
              <w:rPr>
                <w:rFonts w:ascii="Times New Roman" w:hAnsi="Times New Roman" w:cs="Times New Roman"/>
                <w:sz w:val="20"/>
                <w:szCs w:val="20"/>
              </w:rPr>
            </w:pPr>
            <w:r w:rsidRPr="00691B58">
              <w:rPr>
                <w:rFonts w:ascii="Times New Roman" w:hAnsi="Times New Roman" w:cs="Times New Roman"/>
                <w:sz w:val="20"/>
                <w:szCs w:val="20"/>
              </w:rPr>
              <w:t>Ceiling effect analysis</w:t>
            </w:r>
          </w:p>
        </w:tc>
        <w:tc>
          <w:tcPr>
            <w:tcW w:w="0" w:type="auto"/>
            <w:tcMar>
              <w:top w:w="137" w:type="dxa"/>
              <w:left w:w="120" w:type="dxa"/>
              <w:bottom w:w="137" w:type="dxa"/>
              <w:right w:w="120" w:type="dxa"/>
            </w:tcMar>
            <w:vAlign w:val="bottom"/>
            <w:hideMark/>
          </w:tcPr>
          <w:p w14:paraId="1611238D"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30–50</w:t>
            </w:r>
          </w:p>
        </w:tc>
        <w:tc>
          <w:tcPr>
            <w:tcW w:w="0" w:type="auto"/>
            <w:tcMar>
              <w:top w:w="137" w:type="dxa"/>
              <w:left w:w="120" w:type="dxa"/>
              <w:bottom w:w="137" w:type="dxa"/>
              <w:right w:w="120" w:type="dxa"/>
            </w:tcMar>
            <w:vAlign w:val="bottom"/>
            <w:hideMark/>
          </w:tcPr>
          <w:p w14:paraId="2A8DA58D"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80</w:t>
            </w:r>
          </w:p>
        </w:tc>
        <w:tc>
          <w:tcPr>
            <w:tcW w:w="0" w:type="auto"/>
            <w:tcMar>
              <w:top w:w="137" w:type="dxa"/>
              <w:left w:w="120" w:type="dxa"/>
              <w:bottom w:w="137" w:type="dxa"/>
              <w:right w:w="120" w:type="dxa"/>
            </w:tcMar>
            <w:vAlign w:val="bottom"/>
            <w:hideMark/>
          </w:tcPr>
          <w:p w14:paraId="1714D716" w14:textId="77777777" w:rsidR="00691B58" w:rsidRPr="00691B58" w:rsidRDefault="00691B58" w:rsidP="00691B58">
            <w:pPr>
              <w:wordWrap/>
              <w:spacing w:after="0"/>
              <w:jc w:val="center"/>
              <w:rPr>
                <w:rFonts w:ascii="Times New Roman" w:hAnsi="Times New Roman" w:cs="Times New Roman"/>
                <w:sz w:val="20"/>
                <w:szCs w:val="20"/>
              </w:rPr>
            </w:pPr>
            <w:r w:rsidRPr="00691B58">
              <w:rPr>
                <w:rFonts w:ascii="Times New Roman" w:hAnsi="Times New Roman" w:cs="Times New Roman"/>
                <w:sz w:val="20"/>
                <w:szCs w:val="20"/>
              </w:rPr>
              <w:t>Sufficient</w:t>
            </w:r>
          </w:p>
        </w:tc>
      </w:tr>
    </w:tbl>
    <w:p w14:paraId="4365F83F" w14:textId="77777777" w:rsidR="00691B58" w:rsidRDefault="00691B58" w:rsidP="00691B58">
      <w:pPr>
        <w:wordWrap/>
        <w:rPr>
          <w:rFonts w:ascii="Times New Roman" w:hAnsi="Times New Roman" w:cs="Times New Roman"/>
          <w:sz w:val="20"/>
          <w:szCs w:val="20"/>
        </w:rPr>
      </w:pPr>
    </w:p>
    <w:p w14:paraId="3A75E40D" w14:textId="269F2BF4" w:rsidR="00691B58" w:rsidRPr="00691B58" w:rsidRDefault="00691B58" w:rsidP="00691B58">
      <w:pPr>
        <w:wordWrap/>
        <w:rPr>
          <w:rFonts w:ascii="Times New Roman" w:hAnsi="Times New Roman" w:cs="Times New Roman"/>
          <w:sz w:val="20"/>
          <w:szCs w:val="20"/>
        </w:rPr>
      </w:pPr>
      <w:r w:rsidRPr="00691B58">
        <w:rPr>
          <w:rFonts w:ascii="Times New Roman" w:hAnsi="Times New Roman" w:cs="Times New Roman"/>
          <w:sz w:val="20"/>
          <w:szCs w:val="20"/>
        </w:rPr>
        <w:t>The inclusion of 12 tertiary hospitals across different regions of Korea adds further weight to the external validity and generalizability of the study findings.</w:t>
      </w:r>
    </w:p>
    <w:p w14:paraId="6CEE43F4" w14:textId="77777777" w:rsidR="00691B58" w:rsidRPr="00691B58" w:rsidRDefault="00691B58" w:rsidP="00691B58">
      <w:pPr>
        <w:wordWrap/>
        <w:rPr>
          <w:rFonts w:ascii="Times New Roman" w:hAnsi="Times New Roman" w:cs="Times New Roman"/>
          <w:sz w:val="20"/>
          <w:szCs w:val="20"/>
        </w:rPr>
      </w:pPr>
      <w:r w:rsidRPr="00691B58">
        <w:rPr>
          <w:rFonts w:ascii="Times New Roman" w:hAnsi="Times New Roman" w:cs="Times New Roman"/>
          <w:sz w:val="20"/>
          <w:szCs w:val="20"/>
        </w:rPr>
        <w:t xml:space="preserve">The sample size of 80 participants is well justified based on established guidelines for psychometric validation and comparative studies of </w:t>
      </w:r>
      <w:proofErr w:type="spellStart"/>
      <w:r w:rsidRPr="00691B58">
        <w:rPr>
          <w:rFonts w:ascii="Times New Roman" w:hAnsi="Times New Roman" w:cs="Times New Roman"/>
          <w:sz w:val="20"/>
          <w:szCs w:val="20"/>
        </w:rPr>
        <w:t>HRQoL</w:t>
      </w:r>
      <w:proofErr w:type="spellEnd"/>
      <w:r w:rsidRPr="00691B58">
        <w:rPr>
          <w:rFonts w:ascii="Times New Roman" w:hAnsi="Times New Roman" w:cs="Times New Roman"/>
          <w:sz w:val="20"/>
          <w:szCs w:val="20"/>
        </w:rPr>
        <w:t xml:space="preserve"> instruments. It confers sufficient power and precision for the study’s primary objectives, including correlation, agreement, and reliability analyses. Although larger samples would enable more detailed subgroup analyses and reduce statistical uncertainty, the present sample is in line with international standards for comparable research. The multicenter approach adopted in this study enhances both the representativeness and external validity of the results.</w:t>
      </w:r>
    </w:p>
    <w:p w14:paraId="2748560F" w14:textId="77777777" w:rsidR="00373B40" w:rsidRDefault="00373B40">
      <w:pPr>
        <w:rPr>
          <w:rFonts w:ascii="Times New Roman" w:hAnsi="Times New Roman" w:cs="Times New Roman"/>
        </w:rPr>
      </w:pPr>
    </w:p>
    <w:p w14:paraId="0F71ED8D" w14:textId="313F3A0A" w:rsidR="00691B58" w:rsidRDefault="00691B58" w:rsidP="00691B58">
      <w:pPr>
        <w:wordWrap/>
        <w:rPr>
          <w:rFonts w:ascii="Times New Roman" w:hAnsi="Times New Roman" w:cs="Times New Roman"/>
          <w:b/>
          <w:bCs/>
          <w:sz w:val="20"/>
          <w:szCs w:val="20"/>
        </w:rPr>
      </w:pPr>
      <w:r w:rsidRPr="00691B58">
        <w:rPr>
          <w:rFonts w:ascii="Times New Roman" w:hAnsi="Times New Roman" w:cs="Times New Roman" w:hint="eastAsia"/>
          <w:b/>
          <w:bCs/>
          <w:sz w:val="20"/>
          <w:szCs w:val="20"/>
        </w:rPr>
        <w:lastRenderedPageBreak/>
        <w:t>5. Reference</w:t>
      </w:r>
    </w:p>
    <w:p w14:paraId="1001CB2F" w14:textId="77777777" w:rsidR="005B777E" w:rsidRPr="005B777E" w:rsidRDefault="005B777E" w:rsidP="005B777E">
      <w:pPr>
        <w:pStyle w:val="EndNoteBibliography"/>
        <w:spacing w:after="0"/>
        <w:rPr>
          <w:rFonts w:ascii="Times New Roman" w:hAnsi="Times New Roman" w:cs="Times New Roman"/>
          <w:sz w:val="20"/>
          <w:szCs w:val="22"/>
        </w:rPr>
      </w:pPr>
      <w:r w:rsidRPr="005B777E">
        <w:rPr>
          <w:rFonts w:ascii="Times New Roman" w:hAnsi="Times New Roman" w:cs="Times New Roman"/>
          <w:sz w:val="20"/>
          <w:szCs w:val="22"/>
        </w:rPr>
        <w:fldChar w:fldCharType="begin"/>
      </w:r>
      <w:r w:rsidRPr="005B777E">
        <w:rPr>
          <w:rFonts w:ascii="Times New Roman" w:hAnsi="Times New Roman" w:cs="Times New Roman"/>
          <w:sz w:val="20"/>
          <w:szCs w:val="22"/>
        </w:rPr>
        <w:instrText xml:space="preserve"> ADDIN EN.REFLIST </w:instrText>
      </w:r>
      <w:r w:rsidRPr="005B777E">
        <w:rPr>
          <w:rFonts w:ascii="Times New Roman" w:hAnsi="Times New Roman" w:cs="Times New Roman"/>
          <w:sz w:val="20"/>
          <w:szCs w:val="22"/>
        </w:rPr>
        <w:fldChar w:fldCharType="separate"/>
      </w:r>
      <w:r w:rsidRPr="005B777E">
        <w:rPr>
          <w:rFonts w:ascii="Times New Roman" w:hAnsi="Times New Roman" w:cs="Times New Roman"/>
          <w:sz w:val="20"/>
          <w:szCs w:val="22"/>
        </w:rPr>
        <w:t>1.</w:t>
      </w:r>
      <w:r w:rsidRPr="005B777E">
        <w:rPr>
          <w:rFonts w:ascii="Times New Roman" w:hAnsi="Times New Roman" w:cs="Times New Roman"/>
          <w:sz w:val="20"/>
          <w:szCs w:val="22"/>
        </w:rPr>
        <w:tab/>
        <w:t>Bujang MA, Baharum N. Sample size guideline for correlation analysis. World. 2016;3(1):37-46.</w:t>
      </w:r>
    </w:p>
    <w:p w14:paraId="2FDC72B0" w14:textId="77777777" w:rsidR="005B777E" w:rsidRPr="005B777E" w:rsidRDefault="005B777E" w:rsidP="005B777E">
      <w:pPr>
        <w:pStyle w:val="EndNoteBibliography"/>
        <w:spacing w:after="0"/>
        <w:rPr>
          <w:rFonts w:ascii="Times New Roman" w:hAnsi="Times New Roman" w:cs="Times New Roman"/>
          <w:sz w:val="20"/>
          <w:szCs w:val="22"/>
        </w:rPr>
      </w:pPr>
      <w:r w:rsidRPr="005B777E">
        <w:rPr>
          <w:rFonts w:ascii="Times New Roman" w:hAnsi="Times New Roman" w:cs="Times New Roman"/>
          <w:sz w:val="20"/>
          <w:szCs w:val="22"/>
        </w:rPr>
        <w:t>2.</w:t>
      </w:r>
      <w:r w:rsidRPr="005B777E">
        <w:rPr>
          <w:rFonts w:ascii="Times New Roman" w:hAnsi="Times New Roman" w:cs="Times New Roman"/>
          <w:sz w:val="20"/>
          <w:szCs w:val="22"/>
        </w:rPr>
        <w:tab/>
        <w:t>Gunawan J, Marzilli C, Aungsuroch Y. Establishing appropriate sample size for developing and validating a questionnaire in nursing research. Belitung Nursing Journal. 2021;7(5):356.</w:t>
      </w:r>
    </w:p>
    <w:p w14:paraId="37288EA6" w14:textId="77777777" w:rsidR="005B777E" w:rsidRPr="005B777E" w:rsidRDefault="005B777E" w:rsidP="005B777E">
      <w:pPr>
        <w:pStyle w:val="EndNoteBibliography"/>
        <w:spacing w:after="0"/>
        <w:rPr>
          <w:rFonts w:ascii="Times New Roman" w:hAnsi="Times New Roman" w:cs="Times New Roman"/>
          <w:sz w:val="20"/>
          <w:szCs w:val="22"/>
        </w:rPr>
      </w:pPr>
      <w:r w:rsidRPr="005B777E">
        <w:rPr>
          <w:rFonts w:ascii="Times New Roman" w:hAnsi="Times New Roman" w:cs="Times New Roman"/>
          <w:sz w:val="20"/>
          <w:szCs w:val="22"/>
        </w:rPr>
        <w:t>3.</w:t>
      </w:r>
      <w:r w:rsidRPr="005B777E">
        <w:rPr>
          <w:rFonts w:ascii="Times New Roman" w:hAnsi="Times New Roman" w:cs="Times New Roman"/>
          <w:sz w:val="20"/>
          <w:szCs w:val="22"/>
        </w:rPr>
        <w:tab/>
        <w:t>Rouquette A, Falissard B. Sample size requirements for the internal validation of psychiatric scales. International journal of methods in psychiatric research. 2011;20(4):235-49.</w:t>
      </w:r>
    </w:p>
    <w:p w14:paraId="29F53F70" w14:textId="77777777" w:rsidR="005B777E" w:rsidRPr="005B777E" w:rsidRDefault="005B777E" w:rsidP="005B777E">
      <w:pPr>
        <w:pStyle w:val="EndNoteBibliography"/>
        <w:rPr>
          <w:rFonts w:ascii="Times New Roman" w:hAnsi="Times New Roman" w:cs="Times New Roman"/>
          <w:sz w:val="20"/>
          <w:szCs w:val="22"/>
        </w:rPr>
      </w:pPr>
      <w:r w:rsidRPr="005B777E">
        <w:rPr>
          <w:rFonts w:ascii="Times New Roman" w:hAnsi="Times New Roman" w:cs="Times New Roman"/>
          <w:sz w:val="20"/>
          <w:szCs w:val="22"/>
        </w:rPr>
        <w:t>4.</w:t>
      </w:r>
      <w:r w:rsidRPr="005B777E">
        <w:rPr>
          <w:rFonts w:ascii="Times New Roman" w:hAnsi="Times New Roman" w:cs="Times New Roman"/>
          <w:sz w:val="20"/>
          <w:szCs w:val="22"/>
        </w:rPr>
        <w:tab/>
        <w:t>Han O, Tan HW, Julious S, Sutton L, Jacques R, Lee E, et al. A descriptive study of samples sizes used in agreement studies published in the PubMed repository. BMC medical research methodology. 2022;22(1):242.</w:t>
      </w:r>
    </w:p>
    <w:p w14:paraId="01B1B991" w14:textId="408F69F4" w:rsidR="005B777E" w:rsidRPr="00691B58" w:rsidRDefault="005B777E" w:rsidP="005B777E">
      <w:pPr>
        <w:wordWrap/>
        <w:rPr>
          <w:rFonts w:ascii="Times New Roman" w:hAnsi="Times New Roman" w:cs="Times New Roman"/>
          <w:b/>
          <w:bCs/>
          <w:sz w:val="20"/>
          <w:szCs w:val="20"/>
        </w:rPr>
      </w:pPr>
      <w:r w:rsidRPr="005B777E">
        <w:rPr>
          <w:rFonts w:ascii="Times New Roman" w:hAnsi="Times New Roman" w:cs="Times New Roman"/>
          <w:sz w:val="20"/>
          <w:szCs w:val="22"/>
        </w:rPr>
        <w:fldChar w:fldCharType="end"/>
      </w:r>
    </w:p>
    <w:sectPr w:rsidR="005B777E" w:rsidRPr="00691B5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42012"/>
    <w:multiLevelType w:val="hybridMultilevel"/>
    <w:tmpl w:val="26D875FC"/>
    <w:lvl w:ilvl="0" w:tplc="E58CA9C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4C2A1DCC"/>
    <w:multiLevelType w:val="multilevel"/>
    <w:tmpl w:val="B3A8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B45B77"/>
    <w:multiLevelType w:val="multilevel"/>
    <w:tmpl w:val="7582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776A0B"/>
    <w:multiLevelType w:val="multilevel"/>
    <w:tmpl w:val="F2EA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1B5B43"/>
    <w:multiLevelType w:val="multilevel"/>
    <w:tmpl w:val="BD28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411C2C"/>
    <w:multiLevelType w:val="hybridMultilevel"/>
    <w:tmpl w:val="9B3CC650"/>
    <w:lvl w:ilvl="0" w:tplc="E58CA9C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787B4C55"/>
    <w:multiLevelType w:val="multilevel"/>
    <w:tmpl w:val="2F54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6281576">
    <w:abstractNumId w:val="3"/>
  </w:num>
  <w:num w:numId="2" w16cid:durableId="1283612848">
    <w:abstractNumId w:val="4"/>
  </w:num>
  <w:num w:numId="3" w16cid:durableId="1550217408">
    <w:abstractNumId w:val="6"/>
  </w:num>
  <w:num w:numId="4" w16cid:durableId="1412434343">
    <w:abstractNumId w:val="2"/>
  </w:num>
  <w:num w:numId="5" w16cid:durableId="1729838782">
    <w:abstractNumId w:val="1"/>
  </w:num>
  <w:num w:numId="6" w16cid:durableId="436877819">
    <w:abstractNumId w:val="0"/>
  </w:num>
  <w:num w:numId="7" w16cid:durableId="61369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맑은 고딕&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wxxwrpasetv2e0ef6vvz2d9t2dvfrdt9fw&quot;&gt;cin-cis&lt;record-ids&gt;&lt;item&gt;53&lt;/item&gt;&lt;item&gt;54&lt;/item&gt;&lt;item&gt;55&lt;/item&gt;&lt;item&gt;56&lt;/item&gt;&lt;/record-ids&gt;&lt;/item&gt;&lt;/Libraries&gt;"/>
  </w:docVars>
  <w:rsids>
    <w:rsidRoot w:val="00691B58"/>
    <w:rsid w:val="00097A16"/>
    <w:rsid w:val="000A76B1"/>
    <w:rsid w:val="002B0106"/>
    <w:rsid w:val="00373B40"/>
    <w:rsid w:val="003844F5"/>
    <w:rsid w:val="005B777E"/>
    <w:rsid w:val="00607CBA"/>
    <w:rsid w:val="00691B58"/>
    <w:rsid w:val="006D1860"/>
    <w:rsid w:val="007F37F5"/>
    <w:rsid w:val="00A66C4D"/>
    <w:rsid w:val="00BA2F15"/>
    <w:rsid w:val="00EB577D"/>
    <w:rsid w:val="00F07D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04DC"/>
  <w15:chartTrackingRefBased/>
  <w15:docId w15:val="{9908C984-DFA3-4BC3-B00A-214853F2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691B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691B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691B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691B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691B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691B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691B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691B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691B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91B58"/>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691B58"/>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691B58"/>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691B58"/>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691B58"/>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691B58"/>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691B58"/>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691B58"/>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691B58"/>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691B58"/>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691B5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91B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691B5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91B58"/>
    <w:pPr>
      <w:spacing w:before="160"/>
      <w:jc w:val="center"/>
    </w:pPr>
    <w:rPr>
      <w:i/>
      <w:iCs/>
      <w:color w:val="404040" w:themeColor="text1" w:themeTint="BF"/>
    </w:rPr>
  </w:style>
  <w:style w:type="character" w:customStyle="1" w:styleId="Char1">
    <w:name w:val="인용 Char"/>
    <w:basedOn w:val="a0"/>
    <w:link w:val="a5"/>
    <w:uiPriority w:val="29"/>
    <w:rsid w:val="00691B58"/>
    <w:rPr>
      <w:i/>
      <w:iCs/>
      <w:color w:val="404040" w:themeColor="text1" w:themeTint="BF"/>
    </w:rPr>
  </w:style>
  <w:style w:type="paragraph" w:styleId="a6">
    <w:name w:val="List Paragraph"/>
    <w:basedOn w:val="a"/>
    <w:uiPriority w:val="34"/>
    <w:qFormat/>
    <w:rsid w:val="00691B58"/>
    <w:pPr>
      <w:ind w:left="720"/>
      <w:contextualSpacing/>
    </w:pPr>
  </w:style>
  <w:style w:type="character" w:styleId="a7">
    <w:name w:val="Intense Emphasis"/>
    <w:basedOn w:val="a0"/>
    <w:uiPriority w:val="21"/>
    <w:qFormat/>
    <w:rsid w:val="00691B58"/>
    <w:rPr>
      <w:i/>
      <w:iCs/>
      <w:color w:val="0F4761" w:themeColor="accent1" w:themeShade="BF"/>
    </w:rPr>
  </w:style>
  <w:style w:type="paragraph" w:styleId="a8">
    <w:name w:val="Intense Quote"/>
    <w:basedOn w:val="a"/>
    <w:next w:val="a"/>
    <w:link w:val="Char2"/>
    <w:uiPriority w:val="30"/>
    <w:qFormat/>
    <w:rsid w:val="00691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691B58"/>
    <w:rPr>
      <w:i/>
      <w:iCs/>
      <w:color w:val="0F4761" w:themeColor="accent1" w:themeShade="BF"/>
    </w:rPr>
  </w:style>
  <w:style w:type="character" w:styleId="a9">
    <w:name w:val="Intense Reference"/>
    <w:basedOn w:val="a0"/>
    <w:uiPriority w:val="32"/>
    <w:qFormat/>
    <w:rsid w:val="00691B58"/>
    <w:rPr>
      <w:b/>
      <w:bCs/>
      <w:smallCaps/>
      <w:color w:val="0F4761" w:themeColor="accent1" w:themeShade="BF"/>
      <w:spacing w:val="5"/>
    </w:rPr>
  </w:style>
  <w:style w:type="paragraph" w:customStyle="1" w:styleId="EndNoteBibliographyTitle">
    <w:name w:val="EndNote Bibliography Title"/>
    <w:basedOn w:val="a"/>
    <w:link w:val="EndNoteBibliographyTitleChar"/>
    <w:rsid w:val="007F37F5"/>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7F37F5"/>
    <w:rPr>
      <w:rFonts w:ascii="맑은 고딕" w:eastAsia="맑은 고딕" w:hAnsi="맑은 고딕"/>
      <w:noProof/>
    </w:rPr>
  </w:style>
  <w:style w:type="paragraph" w:customStyle="1" w:styleId="EndNoteBibliography">
    <w:name w:val="EndNote Bibliography"/>
    <w:basedOn w:val="a"/>
    <w:link w:val="EndNoteBibliographyChar"/>
    <w:rsid w:val="007F37F5"/>
    <w:rPr>
      <w:rFonts w:ascii="맑은 고딕" w:eastAsia="맑은 고딕" w:hAnsi="맑은 고딕"/>
      <w:noProof/>
    </w:rPr>
  </w:style>
  <w:style w:type="character" w:customStyle="1" w:styleId="EndNoteBibliographyChar">
    <w:name w:val="EndNote Bibliography Char"/>
    <w:basedOn w:val="a0"/>
    <w:link w:val="EndNoteBibliography"/>
    <w:rsid w:val="007F37F5"/>
    <w:rPr>
      <w:rFonts w:ascii="맑은 고딕" w:eastAsia="맑은 고딕" w:hAnsi="맑은 고딕"/>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4464">
      <w:bodyDiv w:val="1"/>
      <w:marLeft w:val="0"/>
      <w:marRight w:val="0"/>
      <w:marTop w:val="0"/>
      <w:marBottom w:val="0"/>
      <w:divBdr>
        <w:top w:val="none" w:sz="0" w:space="0" w:color="auto"/>
        <w:left w:val="none" w:sz="0" w:space="0" w:color="auto"/>
        <w:bottom w:val="none" w:sz="0" w:space="0" w:color="auto"/>
        <w:right w:val="none" w:sz="0" w:space="0" w:color="auto"/>
      </w:divBdr>
      <w:divsChild>
        <w:div w:id="1689523251">
          <w:marLeft w:val="0"/>
          <w:marRight w:val="0"/>
          <w:marTop w:val="0"/>
          <w:marBottom w:val="0"/>
          <w:divBdr>
            <w:top w:val="single" w:sz="2" w:space="0" w:color="E5E7EB"/>
            <w:left w:val="single" w:sz="2" w:space="0" w:color="E5E7EB"/>
            <w:bottom w:val="single" w:sz="2" w:space="0" w:color="E5E7EB"/>
            <w:right w:val="single" w:sz="2" w:space="0" w:color="E5E7EB"/>
          </w:divBdr>
          <w:divsChild>
            <w:div w:id="16252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10935">
      <w:bodyDiv w:val="1"/>
      <w:marLeft w:val="0"/>
      <w:marRight w:val="0"/>
      <w:marTop w:val="0"/>
      <w:marBottom w:val="0"/>
      <w:divBdr>
        <w:top w:val="none" w:sz="0" w:space="0" w:color="auto"/>
        <w:left w:val="none" w:sz="0" w:space="0" w:color="auto"/>
        <w:bottom w:val="none" w:sz="0" w:space="0" w:color="auto"/>
        <w:right w:val="none" w:sz="0" w:space="0" w:color="auto"/>
      </w:divBdr>
      <w:divsChild>
        <w:div w:id="119301673">
          <w:marLeft w:val="0"/>
          <w:marRight w:val="0"/>
          <w:marTop w:val="0"/>
          <w:marBottom w:val="0"/>
          <w:divBdr>
            <w:top w:val="single" w:sz="2" w:space="0" w:color="E5E7EB"/>
            <w:left w:val="single" w:sz="2" w:space="0" w:color="E5E7EB"/>
            <w:bottom w:val="single" w:sz="2" w:space="0" w:color="E5E7EB"/>
            <w:right w:val="single" w:sz="2" w:space="0" w:color="E5E7EB"/>
          </w:divBdr>
          <w:divsChild>
            <w:div w:id="60839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7673</Characters>
  <Application>Microsoft Office Word</Application>
  <DocSecurity>0</DocSecurity>
  <Lines>63</Lines>
  <Paragraphs>17</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soohyun5027@gmail.com</dc:creator>
  <cp:keywords/>
  <dc:description/>
  <cp:lastModifiedBy>심우정</cp:lastModifiedBy>
  <cp:revision>2</cp:revision>
  <dcterms:created xsi:type="dcterms:W3CDTF">2025-07-16T12:23:00Z</dcterms:created>
  <dcterms:modified xsi:type="dcterms:W3CDTF">2025-07-16T12:23:00Z</dcterms:modified>
</cp:coreProperties>
</file>