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B61" w:rsidRDefault="006E7B61"/>
    <w:p w:rsidR="006E7B61" w:rsidRDefault="006E7B61" w:rsidP="006E7B61"/>
    <w:tbl>
      <w:tblPr>
        <w:tblStyle w:val="TableGrid1"/>
        <w:tblpPr w:leftFromText="180" w:rightFromText="180" w:vertAnchor="text" w:horzAnchor="margin" w:tblpXSpec="center" w:tblpY="512"/>
        <w:bidiVisual/>
        <w:tblW w:w="10538" w:type="dxa"/>
        <w:tblLayout w:type="fixed"/>
        <w:tblLook w:val="04A0" w:firstRow="1" w:lastRow="0" w:firstColumn="1" w:lastColumn="0" w:noHBand="0" w:noVBand="1"/>
      </w:tblPr>
      <w:tblGrid>
        <w:gridCol w:w="2063"/>
        <w:gridCol w:w="3150"/>
        <w:gridCol w:w="2445"/>
        <w:gridCol w:w="2355"/>
        <w:gridCol w:w="525"/>
      </w:tblGrid>
      <w:tr w:rsidR="006E7B61" w:rsidRPr="004668EF" w:rsidTr="006E7B61">
        <w:tc>
          <w:tcPr>
            <w:tcW w:w="2063" w:type="dxa"/>
          </w:tcPr>
          <w:p w:rsidR="006E7B61" w:rsidRPr="004668EF" w:rsidRDefault="006E7B61" w:rsidP="006E7B61">
            <w:pPr>
              <w:jc w:val="center"/>
              <w:rPr>
                <w:color w:val="000000" w:themeColor="text1"/>
                <w:rtl/>
              </w:rPr>
            </w:pPr>
            <w:r w:rsidRPr="004668E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Potential</w:t>
            </w:r>
            <w:r w:rsidRPr="004668EF">
              <w:rPr>
                <w:rFonts w:asciiTheme="majorBidi" w:hAnsiTheme="majorBidi" w:cstheme="majorBidi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4668E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Wastage</w:t>
            </w:r>
            <w:r w:rsidRPr="004668EF">
              <w:rPr>
                <w:rFonts w:asciiTheme="majorBidi" w:hAnsiTheme="majorBidi" w:cstheme="majorBidi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4668E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(%)</w:t>
            </w:r>
          </w:p>
        </w:tc>
        <w:tc>
          <w:tcPr>
            <w:tcW w:w="5595" w:type="dxa"/>
            <w:gridSpan w:val="2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</w:pPr>
            <w:r w:rsidRPr="004668EF">
              <w:rPr>
                <w:rFonts w:asciiTheme="majorBidi" w:hAnsiTheme="majorBidi" w:cstheme="majorBidi"/>
                <w:b/>
                <w:bCs/>
                <w:color w:val="000000" w:themeColor="text1"/>
                <w:lang w:bidi="fa-IR"/>
              </w:rPr>
              <w:t>Dividing potential waste into constituent variables</w:t>
            </w:r>
          </w:p>
        </w:tc>
        <w:tc>
          <w:tcPr>
            <w:tcW w:w="2355" w:type="dxa"/>
          </w:tcPr>
          <w:p w:rsidR="006E7B61" w:rsidRPr="004668EF" w:rsidRDefault="006E7B61" w:rsidP="006E7B61">
            <w:pPr>
              <w:bidi/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4668EF">
              <w:rPr>
                <w:rFonts w:asciiTheme="majorBidi" w:hAnsiTheme="majorBidi" w:cstheme="majorBidi"/>
                <w:b/>
                <w:bCs/>
                <w:color w:val="000000" w:themeColor="text1"/>
              </w:rPr>
              <w:t>Study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rPr>
                <w:b/>
                <w:bCs/>
                <w:color w:val="000000" w:themeColor="text1"/>
              </w:rPr>
            </w:pPr>
          </w:p>
        </w:tc>
      </w:tr>
      <w:tr w:rsidR="006E7B61" w:rsidRPr="004668EF" w:rsidTr="006E7B61">
        <w:tc>
          <w:tcPr>
            <w:tcW w:w="2063" w:type="dxa"/>
            <w:tcBorders>
              <w:top w:val="single" w:sz="4" w:space="0" w:color="auto"/>
            </w:tcBorders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="Times New Roman"/>
                <w:color w:val="000000" w:themeColor="text1"/>
                <w:sz w:val="18"/>
                <w:szCs w:val="18"/>
              </w:rPr>
              <w:t>4.26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4668E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  <w:t>-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Unused</w:t>
            </w:r>
          </w:p>
        </w:tc>
        <w:tc>
          <w:tcPr>
            <w:tcW w:w="2355" w:type="dxa"/>
            <w:tcBorders>
              <w:top w:val="single" w:sz="4" w:space="0" w:color="auto"/>
            </w:tcBorders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rtl/>
                <w:lang w:bidi="fa-IR"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Abou-Auda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, 2002 [21]</w:t>
            </w:r>
          </w:p>
        </w:tc>
        <w:tc>
          <w:tcPr>
            <w:tcW w:w="525" w:type="dxa"/>
            <w:tcBorders>
              <w:top w:val="single" w:sz="4" w:space="0" w:color="auto"/>
            </w:tcBorders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69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Used occasionally when needed(29)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Currently unused(40)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Abushanab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et al, 2013 [61]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65.8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lang w:bidi="fa-IR"/>
              </w:rPr>
              <w:t>-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</w:rPr>
              <w:t>Unused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rtl/>
                <w:lang w:bidi="fa-IR"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B </w:t>
            </w: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Banwat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et al, 2016 [57]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3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  <w:lang w:bidi="fa-IR"/>
              </w:rPr>
            </w:pPr>
            <w:r w:rsidRPr="004668EF">
              <w:rPr>
                <w:rFonts w:asciiTheme="majorBidi" w:hAnsiTheme="majorBidi" w:cstheme="majorBidi" w:hint="cs"/>
                <w:color w:val="000000" w:themeColor="text1"/>
                <w:sz w:val="20"/>
                <w:szCs w:val="20"/>
                <w:rtl/>
                <w:lang w:bidi="fa-IR"/>
              </w:rPr>
              <w:t>-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color w:val="000000" w:themeColor="text1"/>
                <w:rtl/>
              </w:rPr>
            </w:pPr>
            <w:r w:rsidRPr="004668E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ongoing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4668EF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Deviprasad</w:t>
            </w:r>
            <w:proofErr w:type="spellEnd"/>
            <w:r w:rsidRPr="004668EF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 xml:space="preserve"> et al, 2016 </w:t>
            </w: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[58]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  <w:t>4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69.2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For future use(37.6)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Leftover(31.6)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Gitawati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, 2014 [62]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spacing w:line="360" w:lineRule="auto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5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55.2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For future use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Leftover</w:t>
            </w:r>
          </w:p>
        </w:tc>
        <w:tc>
          <w:tcPr>
            <w:tcW w:w="2355" w:type="dxa"/>
          </w:tcPr>
          <w:p w:rsidR="006E7B61" w:rsidRPr="004668EF" w:rsidRDefault="006E7B61" w:rsidP="006E7B61">
            <w:pPr>
              <w:rPr>
                <w:color w:val="000000" w:themeColor="text1"/>
                <w:rtl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Jassim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,</w:t>
            </w:r>
            <w:r w:rsidRPr="004668EF">
              <w:rPr>
                <w:color w:val="000000" w:themeColor="text1"/>
              </w:rPr>
              <w:t xml:space="preserve"> </w:t>
            </w: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2010</w:t>
            </w:r>
            <w:r w:rsidRPr="004668EF">
              <w:rPr>
                <w:color w:val="000000" w:themeColor="text1"/>
              </w:rPr>
              <w:t xml:space="preserve"> [3]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spacing w:line="360" w:lineRule="auto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6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35.3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  <w:lang w:bidi="fa-IR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in use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rtl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Justin et al, 2002 [64]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7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79.6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  <w:lang w:bidi="fa-IR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For future use (70.9)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Leftover (8.7)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Hussain et al, 2019 [2]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8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16.7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  <w:lang w:bidi="fa-IR"/>
              </w:rPr>
            </w:pPr>
            <w:r w:rsidRPr="004668EF">
              <w:rPr>
                <w:rFonts w:asciiTheme="majorBidi" w:hAnsiTheme="majorBidi" w:cstheme="majorBidi" w:hint="cs"/>
                <w:color w:val="000000" w:themeColor="text1"/>
                <w:sz w:val="20"/>
                <w:szCs w:val="20"/>
                <w:rtl/>
                <w:lang w:bidi="fa-IR"/>
              </w:rPr>
              <w:t>-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 longer in being used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Kusturica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et al, 2012 [55]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9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28.5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 w:hint="cs"/>
                <w:color w:val="000000" w:themeColor="text1"/>
                <w:sz w:val="20"/>
                <w:szCs w:val="20"/>
                <w:rtl/>
              </w:rPr>
              <w:t>-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used at all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rtl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Kumar et al, 2013 [65]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10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38.4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 w:hint="cs"/>
                <w:color w:val="000000" w:themeColor="text1"/>
                <w:sz w:val="20"/>
                <w:szCs w:val="20"/>
                <w:rtl/>
              </w:rPr>
              <w:t>-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used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rtl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Martin s et al, 2017 [15]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11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  <w:lang w:bidi="fa-IR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For future use (18)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Leftover (20)</w:t>
            </w:r>
          </w:p>
        </w:tc>
        <w:tc>
          <w:tcPr>
            <w:tcW w:w="2355" w:type="dxa"/>
          </w:tcPr>
          <w:p w:rsidR="006E7B61" w:rsidRPr="004668EF" w:rsidRDefault="006E7B61" w:rsidP="006E7B61">
            <w:pPr>
              <w:rPr>
                <w:color w:val="000000" w:themeColor="text1"/>
                <w:rtl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lang w:bidi="fa-IR"/>
              </w:rPr>
              <w:t>Mirza et al</w:t>
            </w: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, 2016</w:t>
            </w:r>
            <w:r w:rsidRPr="004668EF">
              <w:rPr>
                <w:color w:val="000000" w:themeColor="text1"/>
              </w:rPr>
              <w:t xml:space="preserve"> [26]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12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51.8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  <w:lang w:bidi="fa-IR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For future use (20.1)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Leftover (31.7)</w:t>
            </w:r>
          </w:p>
        </w:tc>
        <w:tc>
          <w:tcPr>
            <w:tcW w:w="2355" w:type="dxa"/>
          </w:tcPr>
          <w:p w:rsidR="006E7B61" w:rsidRPr="004668EF" w:rsidRDefault="006E7B61" w:rsidP="006E7B61">
            <w:pPr>
              <w:rPr>
                <w:color w:val="000000" w:themeColor="text1"/>
                <w:rtl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lang w:bidi="fa-IR"/>
              </w:rPr>
              <w:t>Ocan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lang w:bidi="fa-IR"/>
              </w:rPr>
              <w:t xml:space="preserve"> et al,</w:t>
            </w:r>
            <w:r w:rsidRPr="004668EF">
              <w:rPr>
                <w:color w:val="000000" w:themeColor="text1"/>
              </w:rPr>
              <w:t xml:space="preserve"> </w:t>
            </w: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2014</w:t>
            </w:r>
            <w:r w:rsidRPr="004668EF">
              <w:rPr>
                <w:color w:val="000000" w:themeColor="text1"/>
              </w:rPr>
              <w:t xml:space="preserve"> [19]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13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56.3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 w:hint="cs"/>
                <w:color w:val="000000" w:themeColor="text1"/>
                <w:sz w:val="20"/>
                <w:szCs w:val="20"/>
                <w:rtl/>
              </w:rPr>
              <w:t>-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If necessary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rtl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Ristic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et al, 2016 [67]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14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 w:hint="cs"/>
                <w:color w:val="000000" w:themeColor="text1"/>
                <w:sz w:val="20"/>
                <w:szCs w:val="20"/>
                <w:rtl/>
              </w:rPr>
              <w:t>-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Leftover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rtl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Sooksriwong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et al, 2013 [68]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15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32.7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  <w:lang w:bidi="fa-IR"/>
              </w:rPr>
            </w:pPr>
            <w:r w:rsidRPr="004668EF">
              <w:rPr>
                <w:rFonts w:asciiTheme="majorBidi" w:hAnsiTheme="majorBidi" w:cstheme="majorBidi" w:hint="cs"/>
                <w:color w:val="000000" w:themeColor="text1"/>
                <w:sz w:val="20"/>
                <w:szCs w:val="20"/>
                <w:rtl/>
              </w:rPr>
              <w:t>-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in use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rtl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Sweileh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et al, 2010 [22]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16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41.1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For future use (25.1)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Kept with no purpose(16)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Teni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et al, 2017 [60]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17</w:t>
            </w:r>
          </w:p>
        </w:tc>
      </w:tr>
      <w:tr w:rsidR="006E7B61" w:rsidRPr="004668EF" w:rsidTr="006E7B61">
        <w:tc>
          <w:tcPr>
            <w:tcW w:w="2063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47.2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right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For future use 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color w:val="000000" w:themeColor="text1"/>
                <w:rtl/>
              </w:rPr>
            </w:pPr>
            <w:r w:rsidRPr="004668EF">
              <w:rPr>
                <w:color w:val="000000" w:themeColor="text1"/>
              </w:rPr>
              <w:t>-</w:t>
            </w:r>
          </w:p>
        </w:tc>
        <w:tc>
          <w:tcPr>
            <w:tcW w:w="2355" w:type="dxa"/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Yousif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et al, 2002 [59]</w:t>
            </w:r>
          </w:p>
        </w:tc>
        <w:tc>
          <w:tcPr>
            <w:tcW w:w="525" w:type="dxa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18</w:t>
            </w:r>
          </w:p>
        </w:tc>
      </w:tr>
      <w:tr w:rsidR="006E7B61" w:rsidRPr="004668EF" w:rsidTr="006E7B61">
        <w:tc>
          <w:tcPr>
            <w:tcW w:w="2063" w:type="dxa"/>
            <w:tcBorders>
              <w:bottom w:val="single" w:sz="4" w:space="0" w:color="auto"/>
            </w:tcBorders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53.8</w:t>
            </w:r>
          </w:p>
        </w:tc>
        <w:tc>
          <w:tcPr>
            <w:tcW w:w="3150" w:type="dxa"/>
          </w:tcPr>
          <w:p w:rsidR="006E7B61" w:rsidRPr="004668EF" w:rsidRDefault="006E7B61" w:rsidP="006E7B61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4668EF">
              <w:rPr>
                <w:rFonts w:asciiTheme="majorBidi" w:hAnsiTheme="majorBidi" w:cstheme="majorBidi" w:hint="cs"/>
                <w:color w:val="000000" w:themeColor="text1"/>
                <w:sz w:val="20"/>
                <w:szCs w:val="20"/>
                <w:rtl/>
              </w:rPr>
              <w:t>-</w:t>
            </w:r>
          </w:p>
        </w:tc>
        <w:tc>
          <w:tcPr>
            <w:tcW w:w="2445" w:type="dxa"/>
          </w:tcPr>
          <w:p w:rsidR="006E7B61" w:rsidRPr="004668EF" w:rsidRDefault="006E7B61" w:rsidP="006E7B61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4668E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N</w:t>
            </w:r>
            <w:r w:rsidRPr="004668E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ot in use</w:t>
            </w:r>
          </w:p>
        </w:tc>
        <w:tc>
          <w:tcPr>
            <w:tcW w:w="2355" w:type="dxa"/>
            <w:tcBorders>
              <w:bottom w:val="single" w:sz="4" w:space="0" w:color="auto"/>
            </w:tcBorders>
            <w:shd w:val="clear" w:color="auto" w:fill="auto"/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rtl/>
                <w:lang w:bidi="fa-IR"/>
              </w:rPr>
            </w:pPr>
            <w:proofErr w:type="spellStart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Zargarzadeh</w:t>
            </w:r>
            <w:proofErr w:type="spellEnd"/>
            <w:r w:rsidRPr="004668EF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et al, 2005 [56]</w:t>
            </w:r>
          </w:p>
        </w:tc>
        <w:tc>
          <w:tcPr>
            <w:tcW w:w="525" w:type="dxa"/>
            <w:tcBorders>
              <w:bottom w:val="single" w:sz="4" w:space="0" w:color="auto"/>
            </w:tcBorders>
          </w:tcPr>
          <w:p w:rsidR="006E7B61" w:rsidRPr="004668EF" w:rsidRDefault="006E7B61" w:rsidP="006E7B61">
            <w:pPr>
              <w:bidi/>
              <w:spacing w:line="360" w:lineRule="auto"/>
              <w:jc w:val="right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4668E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19</w:t>
            </w:r>
          </w:p>
        </w:tc>
      </w:tr>
    </w:tbl>
    <w:p w:rsidR="006E7B61" w:rsidRPr="004668EF" w:rsidRDefault="00F44779" w:rsidP="00F44779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hyperlink r:id="rId4" w:history="1">
        <w:r w:rsidR="006E7B61" w:rsidRPr="004668EF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Additional</w:t>
        </w:r>
        <w:r w:rsidR="006E7B61" w:rsidRPr="004668EF">
          <w:rPr>
            <w:rFonts w:ascii="Times New Roman" w:eastAsia="Times New Roman" w:hAnsi="Times New Roman" w:cs="Times New Roman"/>
            <w:spacing w:val="-2"/>
            <w:kern w:val="36"/>
            <w:sz w:val="24"/>
            <w:szCs w:val="24"/>
            <w:lang w:val="en-ZA" w:eastAsia="en-ZA"/>
          </w:rPr>
          <w:t xml:space="preserve"> </w:t>
        </w:r>
        <w:r w:rsidR="006E7B61" w:rsidRPr="004668EF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 xml:space="preserve">file </w:t>
        </w:r>
        <w:r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5</w:t>
        </w:r>
        <w:bookmarkStart w:id="0" w:name="_GoBack"/>
        <w:bookmarkEnd w:id="0"/>
        <w:r w:rsidR="006E7B61" w:rsidRPr="004668EF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:</w:t>
        </w:r>
        <w:r w:rsidR="006E7B61" w:rsidRPr="004668EF">
          <w:rPr>
            <w:rFonts w:ascii="Times New Roman" w:eastAsia="Times New Roman" w:hAnsi="Times New Roman" w:cs="Times New Roman"/>
            <w:spacing w:val="-2"/>
            <w:kern w:val="36"/>
            <w:sz w:val="24"/>
            <w:szCs w:val="24"/>
            <w:lang w:val="en-ZA" w:eastAsia="en-ZA"/>
          </w:rPr>
          <w:t xml:space="preserve"> </w:t>
        </w:r>
      </w:hyperlink>
      <w:r w:rsidR="006E7B61" w:rsidRPr="004668EF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Dividing potential waste into constituent variables.</w:t>
      </w:r>
    </w:p>
    <w:p w:rsidR="006E7B61" w:rsidRPr="00AD5554" w:rsidRDefault="006E7B61" w:rsidP="006E7B61">
      <w:pPr>
        <w:tabs>
          <w:tab w:val="left" w:pos="3465"/>
        </w:tabs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6E7B61" w:rsidRPr="00AD5554" w:rsidRDefault="006E7B61" w:rsidP="006E7B61">
      <w:pPr>
        <w:tabs>
          <w:tab w:val="left" w:pos="3465"/>
        </w:tabs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7A6D54" w:rsidRPr="006E7B61" w:rsidRDefault="00F44779" w:rsidP="006E7B61">
      <w:pPr>
        <w:jc w:val="center"/>
      </w:pPr>
    </w:p>
    <w:sectPr w:rsidR="007A6D54" w:rsidRPr="006E7B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432F63EC-CE97-4931-8129-4C5DFBBB6CF1}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B61"/>
    <w:rsid w:val="006E7B61"/>
    <w:rsid w:val="00A87D36"/>
    <w:rsid w:val="00D25CE4"/>
    <w:rsid w:val="00F4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BBE8C05"/>
  <w15:chartTrackingRefBased/>
  <w15:docId w15:val="{DF3D8184-4B30-455A-9729-A064EB084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7B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6E7B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E7B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iki.joannabriggs.org/display/MANUAL/Appendix+5.1%3A+Critical+Appraisal+Instrument+for+Studies+Reporting+Prevalence+Data" TargetMode="Externa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adineh</dc:creator>
  <cp:keywords/>
  <dc:description/>
  <cp:lastModifiedBy>adineh</cp:lastModifiedBy>
  <cp:revision>2</cp:revision>
  <dcterms:created xsi:type="dcterms:W3CDTF">2020-09-24T03:02:00Z</dcterms:created>
  <dcterms:modified xsi:type="dcterms:W3CDTF">2020-09-24T03:30:00Z</dcterms:modified>
</cp:coreProperties>
</file>