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B58063" w14:textId="77777777" w:rsidR="0094366A" w:rsidRDefault="00A87DEA" w:rsidP="00CC0B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A84F35A" wp14:editId="197894C5">
            <wp:simplePos x="0" y="0"/>
            <wp:positionH relativeFrom="column">
              <wp:posOffset>768350</wp:posOffset>
            </wp:positionH>
            <wp:positionV relativeFrom="paragraph">
              <wp:posOffset>478790</wp:posOffset>
            </wp:positionV>
            <wp:extent cx="3676015" cy="3202305"/>
            <wp:effectExtent l="0" t="0" r="635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LRP13_driver_genes_waterfall_plot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B32" w:rsidRPr="00CC0B32">
        <w:rPr>
          <w:rFonts w:ascii="Times New Roman" w:hAnsi="Times New Roman" w:cs="Times New Roman"/>
          <w:b/>
          <w:sz w:val="28"/>
          <w:szCs w:val="28"/>
        </w:rPr>
        <w:t>Supplementary Figures</w:t>
      </w:r>
    </w:p>
    <w:p w14:paraId="790B2C81" w14:textId="77777777" w:rsidR="00497915" w:rsidRDefault="00497915" w:rsidP="00497915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783CF6">
        <w:rPr>
          <w:rFonts w:ascii="Times New Roman" w:hAnsi="Times New Roman" w:cs="Times New Roman" w:hint="eastAsia"/>
          <w:b/>
          <w:sz w:val="24"/>
          <w:szCs w:val="28"/>
        </w:rPr>
        <w:t>Figure S1.</w:t>
      </w:r>
      <w:r>
        <w:rPr>
          <w:rFonts w:ascii="Times New Roman" w:hAnsi="Times New Roman" w:cs="Times New Roman" w:hint="eastAsia"/>
          <w:b/>
          <w:sz w:val="24"/>
          <w:szCs w:val="28"/>
        </w:rPr>
        <w:t xml:space="preserve"> </w:t>
      </w:r>
      <w:r w:rsidRPr="007E10BC">
        <w:rPr>
          <w:rFonts w:ascii="Times New Roman" w:hAnsi="Times New Roman" w:cs="Times New Roman" w:hint="eastAsia"/>
          <w:sz w:val="24"/>
          <w:szCs w:val="28"/>
        </w:rPr>
        <w:t xml:space="preserve">Mutational patterns of </w:t>
      </w:r>
      <w:r w:rsidR="00702755">
        <w:rPr>
          <w:rFonts w:ascii="Times New Roman" w:hAnsi="Times New Roman" w:cs="Times New Roman" w:hint="eastAsia"/>
          <w:i/>
          <w:sz w:val="24"/>
          <w:szCs w:val="28"/>
        </w:rPr>
        <w:t xml:space="preserve">NLRP13 </w:t>
      </w:r>
      <w:r w:rsidRPr="007E10BC">
        <w:rPr>
          <w:rFonts w:ascii="Times New Roman" w:hAnsi="Times New Roman" w:cs="Times New Roman" w:hint="eastAsia"/>
          <w:sz w:val="24"/>
          <w:szCs w:val="28"/>
        </w:rPr>
        <w:t>and common melanoma driver genes illustrated with waterfall plot.</w:t>
      </w:r>
    </w:p>
    <w:p w14:paraId="3CB74933" w14:textId="77777777" w:rsidR="00497915" w:rsidRPr="00A87DEA" w:rsidRDefault="00497915" w:rsidP="00CC0B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7FF893" w14:textId="77777777" w:rsidR="006F28A3" w:rsidRDefault="006F28A3" w:rsidP="00CC0B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701171" w14:textId="77777777" w:rsidR="00707BDA" w:rsidRDefault="00707BDA" w:rsidP="00CC0B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5A076C" w14:textId="77777777" w:rsidR="00707BDA" w:rsidRDefault="00707BDA" w:rsidP="00CC0B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DB9F51" w14:textId="77777777" w:rsidR="006F28A3" w:rsidRDefault="00A948F3" w:rsidP="00CC0B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1F01193" wp14:editId="31DEFD3C">
            <wp:extent cx="5274310" cy="7442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LRP13_lollipop_skcm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B9B2C" w14:textId="77777777" w:rsidR="00497915" w:rsidRDefault="00497915" w:rsidP="00497915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783CF6">
        <w:rPr>
          <w:rFonts w:ascii="Times New Roman" w:hAnsi="Times New Roman" w:cs="Times New Roman" w:hint="eastAsia"/>
          <w:b/>
          <w:sz w:val="24"/>
          <w:szCs w:val="28"/>
        </w:rPr>
        <w:t>Figure S</w:t>
      </w:r>
      <w:r>
        <w:rPr>
          <w:rFonts w:ascii="Times New Roman" w:hAnsi="Times New Roman" w:cs="Times New Roman" w:hint="eastAsia"/>
          <w:b/>
          <w:sz w:val="24"/>
          <w:szCs w:val="28"/>
        </w:rPr>
        <w:t>2</w:t>
      </w:r>
      <w:r w:rsidRPr="00783CF6">
        <w:rPr>
          <w:rFonts w:ascii="Times New Roman" w:hAnsi="Times New Roman" w:cs="Times New Roman" w:hint="eastAsia"/>
          <w:b/>
          <w:sz w:val="24"/>
          <w:szCs w:val="28"/>
        </w:rPr>
        <w:t>.</w:t>
      </w:r>
      <w:r>
        <w:rPr>
          <w:rFonts w:ascii="Times New Roman" w:hAnsi="Times New Roman" w:cs="Times New Roman" w:hint="eastAsia"/>
          <w:b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 xml:space="preserve">Detailed amino acid changes induced by </w:t>
      </w:r>
      <w:r w:rsidR="00A948F3">
        <w:rPr>
          <w:rFonts w:ascii="Times New Roman" w:hAnsi="Times New Roman" w:cs="Times New Roman" w:hint="eastAsia"/>
          <w:i/>
          <w:sz w:val="24"/>
          <w:szCs w:val="28"/>
        </w:rPr>
        <w:t>NLRP13</w:t>
      </w:r>
      <w:r w:rsidR="00B42BD1" w:rsidRPr="007E10BC">
        <w:rPr>
          <w:rFonts w:ascii="Times New Roman" w:hAnsi="Times New Roman" w:cs="Times New Roman" w:hint="eastAsia"/>
          <w:i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>mutations in the integrated melanoma cohort.</w:t>
      </w:r>
    </w:p>
    <w:p w14:paraId="38FCE264" w14:textId="77777777" w:rsidR="006F28A3" w:rsidRDefault="006F28A3" w:rsidP="00CC0B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85F676" w14:textId="77777777" w:rsidR="006F28A3" w:rsidRDefault="006F28A3" w:rsidP="00CC0B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4CE86E" w14:textId="77777777" w:rsidR="006F28A3" w:rsidRDefault="006F28A3" w:rsidP="00CC0B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7D9C73" w14:textId="77777777" w:rsidR="00707BDA" w:rsidRDefault="00707BDA" w:rsidP="00B42BD1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40E7D579" w14:textId="77777777" w:rsidR="00B42BD1" w:rsidRPr="00707BDA" w:rsidRDefault="00707BDA" w:rsidP="00707BDA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 w:hint="eastAs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52A5AF8D" wp14:editId="394C9C60">
            <wp:simplePos x="0" y="0"/>
            <wp:positionH relativeFrom="column">
              <wp:posOffset>629285</wp:posOffset>
            </wp:positionH>
            <wp:positionV relativeFrom="paragraph">
              <wp:posOffset>33655</wp:posOffset>
            </wp:positionV>
            <wp:extent cx="4025900" cy="3882390"/>
            <wp:effectExtent l="0" t="0" r="0" b="381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LRP13_survival_distinct_cohort_skcm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BD1" w:rsidRPr="00783CF6">
        <w:rPr>
          <w:rFonts w:ascii="Times New Roman" w:hAnsi="Times New Roman" w:cs="Times New Roman" w:hint="eastAsia"/>
          <w:b/>
          <w:sz w:val="24"/>
          <w:szCs w:val="28"/>
        </w:rPr>
        <w:t>Figure S</w:t>
      </w:r>
      <w:r w:rsidR="00B42BD1">
        <w:rPr>
          <w:rFonts w:ascii="Times New Roman" w:hAnsi="Times New Roman" w:cs="Times New Roman" w:hint="eastAsia"/>
          <w:b/>
          <w:sz w:val="24"/>
          <w:szCs w:val="28"/>
        </w:rPr>
        <w:t>3</w:t>
      </w:r>
      <w:r w:rsidR="00B42BD1" w:rsidRPr="00783CF6">
        <w:rPr>
          <w:rFonts w:ascii="Times New Roman" w:hAnsi="Times New Roman" w:cs="Times New Roman" w:hint="eastAsia"/>
          <w:b/>
          <w:sz w:val="24"/>
          <w:szCs w:val="28"/>
        </w:rPr>
        <w:t>.</w:t>
      </w:r>
      <w:r w:rsidR="00B42BD1">
        <w:rPr>
          <w:rFonts w:ascii="Times New Roman" w:hAnsi="Times New Roman" w:cs="Times New Roman" w:hint="eastAsia"/>
          <w:b/>
          <w:sz w:val="24"/>
          <w:szCs w:val="28"/>
        </w:rPr>
        <w:t xml:space="preserve"> </w:t>
      </w:r>
      <w:r w:rsidR="00B42BD1">
        <w:rPr>
          <w:rFonts w:ascii="Times New Roman" w:hAnsi="Times New Roman" w:cs="Times New Roman" w:hint="eastAsia"/>
          <w:sz w:val="24"/>
          <w:szCs w:val="28"/>
        </w:rPr>
        <w:t xml:space="preserve">Kaplan-Meier survival analyses of </w:t>
      </w:r>
      <w:r>
        <w:rPr>
          <w:rFonts w:ascii="Times New Roman" w:hAnsi="Times New Roman" w:cs="Times New Roman" w:hint="eastAsia"/>
          <w:i/>
          <w:sz w:val="24"/>
          <w:szCs w:val="28"/>
        </w:rPr>
        <w:t>NLRP13</w:t>
      </w:r>
      <w:r w:rsidR="006B3A6B" w:rsidRPr="007E10BC">
        <w:rPr>
          <w:rFonts w:ascii="Times New Roman" w:hAnsi="Times New Roman" w:cs="Times New Roman" w:hint="eastAsia"/>
          <w:i/>
          <w:sz w:val="24"/>
          <w:szCs w:val="28"/>
        </w:rPr>
        <w:t xml:space="preserve"> </w:t>
      </w:r>
      <w:r w:rsidR="00B42BD1">
        <w:rPr>
          <w:rFonts w:ascii="Times New Roman" w:hAnsi="Times New Roman" w:cs="Times New Roman" w:hint="eastAsia"/>
          <w:sz w:val="24"/>
          <w:szCs w:val="28"/>
        </w:rPr>
        <w:t>mutations in individual ICI-treated melanoma cohorts.</w:t>
      </w:r>
    </w:p>
    <w:p w14:paraId="18F559CD" w14:textId="77777777" w:rsidR="006B3A6B" w:rsidRDefault="006B3A6B" w:rsidP="00B42BD1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1782D4F5" w14:textId="77777777" w:rsidR="00707BDA" w:rsidRDefault="00707BDA" w:rsidP="00B42BD1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65408" behindDoc="0" locked="0" layoutInCell="1" allowOverlap="1" wp14:anchorId="4B17D4C8" wp14:editId="6C4AE88D">
            <wp:simplePos x="0" y="0"/>
            <wp:positionH relativeFrom="column">
              <wp:posOffset>373380</wp:posOffset>
            </wp:positionH>
            <wp:positionV relativeFrom="paragraph">
              <wp:posOffset>467995</wp:posOffset>
            </wp:positionV>
            <wp:extent cx="4518025" cy="2417445"/>
            <wp:effectExtent l="0" t="0" r="0" b="1905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LRP13_survival_distinct_therapy_skcm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025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0796C" w14:textId="77777777" w:rsidR="006B3A6B" w:rsidRDefault="006B3A6B" w:rsidP="006B3A6B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783CF6">
        <w:rPr>
          <w:rFonts w:ascii="Times New Roman" w:hAnsi="Times New Roman" w:cs="Times New Roman" w:hint="eastAsia"/>
          <w:b/>
          <w:sz w:val="24"/>
          <w:szCs w:val="28"/>
        </w:rPr>
        <w:t>Figure S</w:t>
      </w:r>
      <w:r>
        <w:rPr>
          <w:rFonts w:ascii="Times New Roman" w:hAnsi="Times New Roman" w:cs="Times New Roman" w:hint="eastAsia"/>
          <w:b/>
          <w:sz w:val="24"/>
          <w:szCs w:val="28"/>
        </w:rPr>
        <w:t>4</w:t>
      </w:r>
      <w:r w:rsidRPr="00783CF6">
        <w:rPr>
          <w:rFonts w:ascii="Times New Roman" w:hAnsi="Times New Roman" w:cs="Times New Roman" w:hint="eastAsia"/>
          <w:b/>
          <w:sz w:val="24"/>
          <w:szCs w:val="28"/>
        </w:rPr>
        <w:t>.</w:t>
      </w:r>
      <w:r>
        <w:rPr>
          <w:rFonts w:ascii="Times New Roman" w:hAnsi="Times New Roman" w:cs="Times New Roman" w:hint="eastAsia"/>
          <w:b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 xml:space="preserve">Kaplan-Meier survival analyses of </w:t>
      </w:r>
      <w:r w:rsidR="00707BDA">
        <w:rPr>
          <w:rFonts w:ascii="Times New Roman" w:hAnsi="Times New Roman" w:cs="Times New Roman" w:hint="eastAsia"/>
          <w:i/>
          <w:sz w:val="24"/>
          <w:szCs w:val="28"/>
        </w:rPr>
        <w:t>NLRP13</w:t>
      </w:r>
      <w:r w:rsidRPr="007E10BC">
        <w:rPr>
          <w:rFonts w:ascii="Times New Roman" w:hAnsi="Times New Roman" w:cs="Times New Roman" w:hint="eastAsia"/>
          <w:i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>mutations in distinct ICI treatment types in melanoma.</w:t>
      </w:r>
    </w:p>
    <w:p w14:paraId="0BAEE37A" w14:textId="77777777" w:rsidR="006B3A6B" w:rsidRDefault="006B3A6B" w:rsidP="006B3A6B">
      <w:pPr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</w:p>
    <w:p w14:paraId="4F597E7C" w14:textId="77777777" w:rsidR="006F28A3" w:rsidRDefault="00612FF5" w:rsidP="006B3A6B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b/>
          <w:noProof/>
          <w:sz w:val="24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10C858A5" wp14:editId="70FD6950">
            <wp:simplePos x="0" y="0"/>
            <wp:positionH relativeFrom="column">
              <wp:posOffset>699135</wp:posOffset>
            </wp:positionH>
            <wp:positionV relativeFrom="paragraph">
              <wp:posOffset>24130</wp:posOffset>
            </wp:positionV>
            <wp:extent cx="3853180" cy="2416810"/>
            <wp:effectExtent l="0" t="0" r="0" b="254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LRP13_distinct_cohorts_nsclc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18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A6B" w:rsidRPr="00783CF6">
        <w:rPr>
          <w:rFonts w:ascii="Times New Roman" w:hAnsi="Times New Roman" w:cs="Times New Roman" w:hint="eastAsia"/>
          <w:b/>
          <w:sz w:val="24"/>
          <w:szCs w:val="28"/>
        </w:rPr>
        <w:t>Figure S</w:t>
      </w:r>
      <w:r w:rsidR="006B3A6B">
        <w:rPr>
          <w:rFonts w:ascii="Times New Roman" w:hAnsi="Times New Roman" w:cs="Times New Roman" w:hint="eastAsia"/>
          <w:b/>
          <w:sz w:val="24"/>
          <w:szCs w:val="28"/>
        </w:rPr>
        <w:t>5</w:t>
      </w:r>
      <w:r w:rsidR="006B3A6B" w:rsidRPr="00783CF6">
        <w:rPr>
          <w:rFonts w:ascii="Times New Roman" w:hAnsi="Times New Roman" w:cs="Times New Roman" w:hint="eastAsia"/>
          <w:b/>
          <w:sz w:val="24"/>
          <w:szCs w:val="28"/>
        </w:rPr>
        <w:t>.</w:t>
      </w:r>
      <w:r w:rsidR="006B3A6B">
        <w:rPr>
          <w:rFonts w:ascii="Times New Roman" w:hAnsi="Times New Roman" w:cs="Times New Roman" w:hint="eastAsia"/>
          <w:b/>
          <w:sz w:val="24"/>
          <w:szCs w:val="28"/>
        </w:rPr>
        <w:t xml:space="preserve"> </w:t>
      </w:r>
      <w:r w:rsidR="006B3A6B">
        <w:rPr>
          <w:rFonts w:ascii="Times New Roman" w:hAnsi="Times New Roman" w:cs="Times New Roman" w:hint="eastAsia"/>
          <w:sz w:val="24"/>
          <w:szCs w:val="28"/>
        </w:rPr>
        <w:t xml:space="preserve">Kaplan-Meier survival analyses of </w:t>
      </w:r>
      <w:r w:rsidR="00707BDA">
        <w:rPr>
          <w:rFonts w:ascii="Times New Roman" w:hAnsi="Times New Roman" w:cs="Times New Roman" w:hint="eastAsia"/>
          <w:i/>
          <w:sz w:val="24"/>
          <w:szCs w:val="28"/>
        </w:rPr>
        <w:t>NLRP13</w:t>
      </w:r>
      <w:r w:rsidR="006B3A6B" w:rsidRPr="007E10BC">
        <w:rPr>
          <w:rFonts w:ascii="Times New Roman" w:hAnsi="Times New Roman" w:cs="Times New Roman" w:hint="eastAsia"/>
          <w:i/>
          <w:sz w:val="24"/>
          <w:szCs w:val="28"/>
        </w:rPr>
        <w:t xml:space="preserve"> </w:t>
      </w:r>
      <w:r w:rsidR="006B3A6B">
        <w:rPr>
          <w:rFonts w:ascii="Times New Roman" w:hAnsi="Times New Roman" w:cs="Times New Roman" w:hint="eastAsia"/>
          <w:sz w:val="24"/>
          <w:szCs w:val="28"/>
        </w:rPr>
        <w:t>mutations in individual ICI-treated NSCLC cohorts</w:t>
      </w:r>
      <w:r w:rsidR="00707BDA">
        <w:rPr>
          <w:rFonts w:ascii="Times New Roman" w:hAnsi="Times New Roman" w:cs="Times New Roman" w:hint="eastAsia"/>
          <w:sz w:val="24"/>
          <w:szCs w:val="28"/>
        </w:rPr>
        <w:t>.</w:t>
      </w:r>
    </w:p>
    <w:p w14:paraId="3756399B" w14:textId="77777777" w:rsidR="008B2E49" w:rsidRDefault="008B2E49" w:rsidP="006B3A6B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01ECD1FE" w14:textId="77777777" w:rsidR="008B2E49" w:rsidRDefault="008B2E49" w:rsidP="006B3A6B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7540B937" w14:textId="77777777" w:rsidR="008B2E49" w:rsidRDefault="008B2E49" w:rsidP="006B3A6B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4F0E58CF" w14:textId="77777777" w:rsidR="008B2E49" w:rsidRPr="00612FF5" w:rsidRDefault="008B2E49" w:rsidP="006B3A6B">
      <w:pPr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</w:p>
    <w:p w14:paraId="7471E845" w14:textId="77777777" w:rsidR="006F28A3" w:rsidRDefault="008B2E49" w:rsidP="00CC0B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4BE04D1" wp14:editId="48CBAF5A">
            <wp:extent cx="3170676" cy="2254216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EA_pathways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623" cy="22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88E8F" w14:textId="77777777" w:rsidR="006B3A6B" w:rsidRDefault="006B3A6B" w:rsidP="006B3A6B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783CF6">
        <w:rPr>
          <w:rFonts w:ascii="Times New Roman" w:hAnsi="Times New Roman" w:cs="Times New Roman" w:hint="eastAsia"/>
          <w:b/>
          <w:sz w:val="24"/>
          <w:szCs w:val="28"/>
        </w:rPr>
        <w:t>Figure S</w:t>
      </w:r>
      <w:r>
        <w:rPr>
          <w:rFonts w:ascii="Times New Roman" w:hAnsi="Times New Roman" w:cs="Times New Roman" w:hint="eastAsia"/>
          <w:b/>
          <w:sz w:val="24"/>
          <w:szCs w:val="28"/>
        </w:rPr>
        <w:t>6</w:t>
      </w:r>
      <w:r w:rsidRPr="00783CF6">
        <w:rPr>
          <w:rFonts w:ascii="Times New Roman" w:hAnsi="Times New Roman" w:cs="Times New Roman" w:hint="eastAsia"/>
          <w:b/>
          <w:sz w:val="24"/>
          <w:szCs w:val="28"/>
        </w:rPr>
        <w:t>.</w:t>
      </w:r>
      <w:r>
        <w:rPr>
          <w:rFonts w:ascii="Times New Roman" w:hAnsi="Times New Roman" w:cs="Times New Roman" w:hint="eastAsia"/>
          <w:b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 xml:space="preserve">Significantly enriched signaling pathways in </w:t>
      </w:r>
      <w:r w:rsidR="008B2E49">
        <w:rPr>
          <w:rFonts w:ascii="Times New Roman" w:hAnsi="Times New Roman" w:cs="Times New Roman" w:hint="eastAsia"/>
          <w:i/>
          <w:sz w:val="24"/>
          <w:szCs w:val="28"/>
        </w:rPr>
        <w:t>NLRP13</w:t>
      </w:r>
      <w:r w:rsidR="008B2E49" w:rsidRPr="007E10BC">
        <w:rPr>
          <w:rFonts w:ascii="Times New Roman" w:hAnsi="Times New Roman" w:cs="Times New Roman" w:hint="eastAsia"/>
          <w:i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>mutated subgroups in melanoma. Immune response pathways were highlighted with green.</w:t>
      </w:r>
    </w:p>
    <w:p w14:paraId="04B1E895" w14:textId="77777777" w:rsidR="006F28A3" w:rsidRDefault="006F28A3" w:rsidP="00CC0B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344D6F" w14:textId="77777777" w:rsidR="006F28A3" w:rsidRDefault="006F28A3" w:rsidP="00CC0B32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498B62BB" w14:textId="77777777" w:rsidR="00342D97" w:rsidRDefault="00342D97" w:rsidP="00CC0B32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03577DBF" w14:textId="77777777" w:rsidR="00342D97" w:rsidRDefault="00342D97" w:rsidP="00CC0B32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4E7FCBBF" w14:textId="77777777" w:rsidR="006F28A3" w:rsidRDefault="00342D97" w:rsidP="00D658C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4912D8FA" wp14:editId="731ABB05">
            <wp:simplePos x="0" y="0"/>
            <wp:positionH relativeFrom="column">
              <wp:posOffset>772160</wp:posOffset>
            </wp:positionH>
            <wp:positionV relativeFrom="paragraph">
              <wp:posOffset>58420</wp:posOffset>
            </wp:positionV>
            <wp:extent cx="3771900" cy="3515360"/>
            <wp:effectExtent l="0" t="0" r="0" b="889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LRP13_versus_immune_cells_in_nsclc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E9A" w:rsidRPr="00783CF6">
        <w:rPr>
          <w:rFonts w:ascii="Times New Roman" w:hAnsi="Times New Roman" w:cs="Times New Roman" w:hint="eastAsia"/>
          <w:b/>
          <w:sz w:val="24"/>
          <w:szCs w:val="28"/>
        </w:rPr>
        <w:t>Figure S</w:t>
      </w:r>
      <w:r w:rsidR="000D1E9A">
        <w:rPr>
          <w:rFonts w:ascii="Times New Roman" w:hAnsi="Times New Roman" w:cs="Times New Roman" w:hint="eastAsia"/>
          <w:b/>
          <w:sz w:val="24"/>
          <w:szCs w:val="28"/>
        </w:rPr>
        <w:t>7</w:t>
      </w:r>
      <w:r w:rsidR="000D1E9A" w:rsidRPr="00783CF6">
        <w:rPr>
          <w:rFonts w:ascii="Times New Roman" w:hAnsi="Times New Roman" w:cs="Times New Roman" w:hint="eastAsia"/>
          <w:b/>
          <w:sz w:val="24"/>
          <w:szCs w:val="28"/>
        </w:rPr>
        <w:t>.</w:t>
      </w:r>
      <w:r w:rsidR="000D1E9A">
        <w:rPr>
          <w:rFonts w:ascii="Times New Roman" w:hAnsi="Times New Roman" w:cs="Times New Roman" w:hint="eastAsia"/>
          <w:b/>
          <w:sz w:val="24"/>
          <w:szCs w:val="28"/>
        </w:rPr>
        <w:t xml:space="preserve"> </w:t>
      </w:r>
      <w:r w:rsidR="000D1E9A">
        <w:rPr>
          <w:rFonts w:ascii="Times New Roman" w:hAnsi="Times New Roman" w:hint="eastAsia"/>
          <w:sz w:val="24"/>
          <w:szCs w:val="28"/>
        </w:rPr>
        <w:t xml:space="preserve">Immune infiltration </w:t>
      </w:r>
      <w:r w:rsidR="000D1E9A">
        <w:rPr>
          <w:rFonts w:ascii="Times New Roman" w:hAnsi="Times New Roman"/>
          <w:sz w:val="24"/>
          <w:szCs w:val="28"/>
        </w:rPr>
        <w:t>associated</w:t>
      </w:r>
      <w:r w:rsidR="000D1E9A">
        <w:rPr>
          <w:rFonts w:ascii="Times New Roman" w:hAnsi="Times New Roman" w:hint="eastAsia"/>
          <w:sz w:val="24"/>
          <w:szCs w:val="28"/>
        </w:rPr>
        <w:t xml:space="preserve"> with </w:t>
      </w:r>
      <w:r>
        <w:rPr>
          <w:rFonts w:ascii="Times New Roman" w:hAnsi="Times New Roman" w:cs="Times New Roman" w:hint="eastAsia"/>
          <w:i/>
          <w:sz w:val="24"/>
          <w:szCs w:val="28"/>
        </w:rPr>
        <w:t>NLRP13</w:t>
      </w:r>
      <w:r w:rsidRPr="007E10BC">
        <w:rPr>
          <w:rFonts w:ascii="Times New Roman" w:hAnsi="Times New Roman" w:cs="Times New Roman" w:hint="eastAsia"/>
          <w:i/>
          <w:sz w:val="24"/>
          <w:szCs w:val="28"/>
        </w:rPr>
        <w:t xml:space="preserve"> </w:t>
      </w:r>
      <w:r w:rsidR="000D1E9A">
        <w:rPr>
          <w:rFonts w:ascii="Times New Roman" w:hAnsi="Times New Roman" w:hint="eastAsia"/>
          <w:sz w:val="24"/>
          <w:szCs w:val="28"/>
        </w:rPr>
        <w:t xml:space="preserve">mutations in NSCLC. (A) Distinct infiltration of 22 immunocytes of </w:t>
      </w:r>
      <w:r>
        <w:rPr>
          <w:rFonts w:ascii="Times New Roman" w:hAnsi="Times New Roman" w:cs="Times New Roman" w:hint="eastAsia"/>
          <w:i/>
          <w:sz w:val="24"/>
          <w:szCs w:val="28"/>
        </w:rPr>
        <w:t>NLRP13</w:t>
      </w:r>
      <w:r w:rsidRPr="007E10BC">
        <w:rPr>
          <w:rFonts w:ascii="Times New Roman" w:hAnsi="Times New Roman" w:cs="Times New Roman" w:hint="eastAsia"/>
          <w:i/>
          <w:sz w:val="24"/>
          <w:szCs w:val="28"/>
        </w:rPr>
        <w:t xml:space="preserve"> </w:t>
      </w:r>
      <w:r w:rsidR="000D1E9A">
        <w:rPr>
          <w:rFonts w:ascii="Times New Roman" w:hAnsi="Times New Roman" w:hint="eastAsia"/>
          <w:sz w:val="24"/>
          <w:szCs w:val="28"/>
        </w:rPr>
        <w:t xml:space="preserve">mutated and wild-type groups evaluated with CIBERSORT algorithm. Immunocytes </w:t>
      </w:r>
      <w:r w:rsidR="000D1E9A">
        <w:rPr>
          <w:rFonts w:ascii="Times New Roman" w:hAnsi="Times New Roman"/>
          <w:sz w:val="24"/>
          <w:szCs w:val="28"/>
        </w:rPr>
        <w:t>highlighted</w:t>
      </w:r>
      <w:r w:rsidR="000D1E9A">
        <w:rPr>
          <w:rFonts w:ascii="Times New Roman" w:hAnsi="Times New Roman" w:hint="eastAsia"/>
          <w:sz w:val="24"/>
          <w:szCs w:val="28"/>
        </w:rPr>
        <w:t xml:space="preserve"> with green are significantly differentially infiltrated. (B) Distinct infiltration of 31 immunocytes of </w:t>
      </w:r>
      <w:r>
        <w:rPr>
          <w:rFonts w:ascii="Times New Roman" w:hAnsi="Times New Roman" w:cs="Times New Roman" w:hint="eastAsia"/>
          <w:i/>
          <w:sz w:val="24"/>
          <w:szCs w:val="28"/>
        </w:rPr>
        <w:t>NLRP13</w:t>
      </w:r>
      <w:r w:rsidRPr="007E10BC">
        <w:rPr>
          <w:rFonts w:ascii="Times New Roman" w:hAnsi="Times New Roman" w:cs="Times New Roman" w:hint="eastAsia"/>
          <w:i/>
          <w:sz w:val="24"/>
          <w:szCs w:val="28"/>
        </w:rPr>
        <w:t xml:space="preserve"> </w:t>
      </w:r>
      <w:r w:rsidR="000D1E9A">
        <w:rPr>
          <w:rFonts w:ascii="Times New Roman" w:hAnsi="Times New Roman" w:hint="eastAsia"/>
          <w:sz w:val="24"/>
          <w:szCs w:val="28"/>
        </w:rPr>
        <w:t xml:space="preserve">two groups evaluated with </w:t>
      </w:r>
      <w:r w:rsidR="000D1E9A" w:rsidRPr="007F229D">
        <w:rPr>
          <w:rFonts w:ascii="Times New Roman" w:hAnsi="Times New Roman" w:cs="Times New Roman"/>
          <w:sz w:val="24"/>
        </w:rPr>
        <w:t xml:space="preserve">Angelova </w:t>
      </w:r>
      <w:r w:rsidR="000D1E9A" w:rsidRPr="007F229D">
        <w:rPr>
          <w:rFonts w:ascii="Times New Roman" w:hAnsi="Times New Roman" w:cs="Times New Roman"/>
          <w:i/>
          <w:sz w:val="24"/>
        </w:rPr>
        <w:t>et al.</w:t>
      </w:r>
      <w:r w:rsidR="000D1E9A">
        <w:rPr>
          <w:rFonts w:ascii="Times New Roman" w:hAnsi="Times New Roman" w:cs="Times New Roman" w:hint="eastAsia"/>
          <w:i/>
          <w:sz w:val="24"/>
        </w:rPr>
        <w:t xml:space="preserve"> </w:t>
      </w:r>
      <w:r w:rsidR="00061781">
        <w:rPr>
          <w:rFonts w:ascii="Times New Roman" w:hAnsi="Times New Roman" w:cs="Times New Roman" w:hint="eastAsia"/>
          <w:sz w:val="24"/>
        </w:rPr>
        <w:t>method.</w:t>
      </w:r>
    </w:p>
    <w:p w14:paraId="17B8438B" w14:textId="77777777" w:rsidR="000D1E9A" w:rsidRDefault="000D1E9A" w:rsidP="00CC0B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03E738" w14:textId="77777777" w:rsidR="00D658C1" w:rsidRDefault="00D658C1" w:rsidP="00CC0B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C9F9E8" w14:textId="77777777" w:rsidR="00816692" w:rsidRPr="00D658C1" w:rsidRDefault="00D658C1" w:rsidP="00D658C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6385A49A" wp14:editId="19089678">
            <wp:simplePos x="0" y="0"/>
            <wp:positionH relativeFrom="column">
              <wp:posOffset>323850</wp:posOffset>
            </wp:positionH>
            <wp:positionV relativeFrom="paragraph">
              <wp:posOffset>45720</wp:posOffset>
            </wp:positionV>
            <wp:extent cx="4618800" cy="2286000"/>
            <wp:effectExtent l="0" t="0" r="0" b="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LRP13_survival_TCGA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8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DF5" w:rsidRPr="00783CF6">
        <w:rPr>
          <w:rFonts w:ascii="Times New Roman" w:hAnsi="Times New Roman" w:cs="Times New Roman" w:hint="eastAsia"/>
          <w:b/>
          <w:sz w:val="24"/>
          <w:szCs w:val="28"/>
        </w:rPr>
        <w:t>Figure S</w:t>
      </w:r>
      <w:r w:rsidR="00914DF5">
        <w:rPr>
          <w:rFonts w:ascii="Times New Roman" w:hAnsi="Times New Roman" w:cs="Times New Roman" w:hint="eastAsia"/>
          <w:b/>
          <w:sz w:val="24"/>
          <w:szCs w:val="28"/>
        </w:rPr>
        <w:t>8</w:t>
      </w:r>
      <w:r w:rsidR="00914DF5" w:rsidRPr="00783CF6">
        <w:rPr>
          <w:rFonts w:ascii="Times New Roman" w:hAnsi="Times New Roman" w:cs="Times New Roman" w:hint="eastAsia"/>
          <w:b/>
          <w:sz w:val="24"/>
          <w:szCs w:val="28"/>
        </w:rPr>
        <w:t>.</w:t>
      </w:r>
      <w:r w:rsidR="00914DF5">
        <w:rPr>
          <w:rFonts w:ascii="Times New Roman" w:hAnsi="Times New Roman" w:cs="Times New Roman" w:hint="eastAsia"/>
          <w:b/>
          <w:sz w:val="24"/>
          <w:szCs w:val="28"/>
        </w:rPr>
        <w:t xml:space="preserve"> </w:t>
      </w:r>
      <w:r w:rsidR="00914DF5">
        <w:rPr>
          <w:rFonts w:ascii="Times New Roman" w:hAnsi="Times New Roman" w:hint="eastAsia"/>
          <w:sz w:val="24"/>
          <w:szCs w:val="28"/>
        </w:rPr>
        <w:t xml:space="preserve">Prognostic capacities of </w:t>
      </w:r>
      <w:r>
        <w:rPr>
          <w:rFonts w:ascii="Times New Roman" w:hAnsi="Times New Roman" w:cs="Times New Roman" w:hint="eastAsia"/>
          <w:i/>
          <w:sz w:val="24"/>
          <w:szCs w:val="28"/>
        </w:rPr>
        <w:t>NLRP13</w:t>
      </w:r>
      <w:r w:rsidRPr="007E10BC">
        <w:rPr>
          <w:rFonts w:ascii="Times New Roman" w:hAnsi="Times New Roman" w:cs="Times New Roman" w:hint="eastAsia"/>
          <w:i/>
          <w:sz w:val="24"/>
          <w:szCs w:val="28"/>
        </w:rPr>
        <w:t xml:space="preserve"> </w:t>
      </w:r>
      <w:r w:rsidR="00914DF5">
        <w:rPr>
          <w:rFonts w:ascii="Times New Roman" w:hAnsi="Times New Roman" w:hint="eastAsia"/>
          <w:sz w:val="24"/>
          <w:szCs w:val="28"/>
        </w:rPr>
        <w:t xml:space="preserve">mutations in (A) melanoma and (B) NSCLC patients derived from </w:t>
      </w:r>
      <w:r w:rsidR="00914DF5">
        <w:rPr>
          <w:rFonts w:ascii="Times New Roman" w:hAnsi="Times New Roman"/>
          <w:sz w:val="24"/>
          <w:szCs w:val="28"/>
        </w:rPr>
        <w:t xml:space="preserve">the </w:t>
      </w:r>
      <w:r w:rsidR="00914DF5">
        <w:rPr>
          <w:rFonts w:ascii="Times New Roman" w:hAnsi="Times New Roman" w:hint="eastAsia"/>
          <w:sz w:val="24"/>
          <w:szCs w:val="28"/>
        </w:rPr>
        <w:t>TCGA project.</w:t>
      </w:r>
    </w:p>
    <w:sectPr w:rsidR="00816692" w:rsidRPr="00D658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0ADCAC" w14:textId="77777777" w:rsidR="00A74415" w:rsidRDefault="00A74415" w:rsidP="00CC0B32">
      <w:r>
        <w:separator/>
      </w:r>
    </w:p>
  </w:endnote>
  <w:endnote w:type="continuationSeparator" w:id="0">
    <w:p w14:paraId="3827D118" w14:textId="77777777" w:rsidR="00A74415" w:rsidRDefault="00A74415" w:rsidP="00CC0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DA315F" w14:textId="77777777" w:rsidR="00A74415" w:rsidRDefault="00A74415" w:rsidP="00CC0B32">
      <w:r>
        <w:separator/>
      </w:r>
    </w:p>
  </w:footnote>
  <w:footnote w:type="continuationSeparator" w:id="0">
    <w:p w14:paraId="0B491832" w14:textId="77777777" w:rsidR="00A74415" w:rsidRDefault="00A74415" w:rsidP="00CC0B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QxMDEwNrEwMjE1NzFX0lEKTi0uzszPAykwrAUAQZ7VIiwAAAA="/>
  </w:docVars>
  <w:rsids>
    <w:rsidRoot w:val="00317654"/>
    <w:rsid w:val="00061781"/>
    <w:rsid w:val="000B4DE0"/>
    <w:rsid w:val="000D1E9A"/>
    <w:rsid w:val="00197775"/>
    <w:rsid w:val="00217244"/>
    <w:rsid w:val="002B6BDF"/>
    <w:rsid w:val="00317654"/>
    <w:rsid w:val="00342D97"/>
    <w:rsid w:val="003B0090"/>
    <w:rsid w:val="00497915"/>
    <w:rsid w:val="00612FF5"/>
    <w:rsid w:val="006B3A6B"/>
    <w:rsid w:val="006F28A3"/>
    <w:rsid w:val="00702755"/>
    <w:rsid w:val="00707BDA"/>
    <w:rsid w:val="007E17AF"/>
    <w:rsid w:val="00816692"/>
    <w:rsid w:val="008B2E49"/>
    <w:rsid w:val="00910908"/>
    <w:rsid w:val="00914DF5"/>
    <w:rsid w:val="0094366A"/>
    <w:rsid w:val="00A74415"/>
    <w:rsid w:val="00A87DEA"/>
    <w:rsid w:val="00A948F3"/>
    <w:rsid w:val="00B25D4B"/>
    <w:rsid w:val="00B42BD1"/>
    <w:rsid w:val="00C20735"/>
    <w:rsid w:val="00CC0B32"/>
    <w:rsid w:val="00D658C1"/>
    <w:rsid w:val="00EC3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6EA292"/>
  <w15:docId w15:val="{1EED3150-7D1C-465E-9ED0-D61F7A698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0B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C0B3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C0B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C0B32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6F28A3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6F28A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165</Words>
  <Characters>1062</Characters>
  <Application>Microsoft Office Word</Application>
  <DocSecurity>0</DocSecurity>
  <Lines>44</Lines>
  <Paragraphs>10</Paragraphs>
  <ScaleCrop>false</ScaleCrop>
  <Company>Lenovo</Company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WQH</dc:creator>
  <cp:keywords/>
  <dc:description/>
  <cp:lastModifiedBy>雪莹 王</cp:lastModifiedBy>
  <cp:revision>30</cp:revision>
  <dcterms:created xsi:type="dcterms:W3CDTF">2022-06-04T07:37:00Z</dcterms:created>
  <dcterms:modified xsi:type="dcterms:W3CDTF">2025-07-16T12:38:00Z</dcterms:modified>
</cp:coreProperties>
</file>