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4D1D" w14:textId="1315472C" w:rsidR="00AB2F9A" w:rsidRDefault="00350D32" w:rsidP="00AB2F9A">
      <w:pPr>
        <w:keepNext/>
      </w:pPr>
      <w:r>
        <w:rPr>
          <w:noProof/>
        </w:rPr>
        <w:drawing>
          <wp:inline distT="0" distB="0" distL="0" distR="0" wp14:anchorId="32582E4A" wp14:editId="315484FB">
            <wp:extent cx="5943600" cy="2372360"/>
            <wp:effectExtent l="0" t="0" r="0" b="8890"/>
            <wp:docPr id="354051783" name="Picture 2" descr="A graph of a diseased pati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51783" name="Picture 2" descr="A graph of a diseased patien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47C0C" w14:textId="77777777" w:rsidR="009A3D5C" w:rsidRPr="00A06072" w:rsidRDefault="009A3D5C" w:rsidP="009A3D5C">
      <w:pPr>
        <w:rPr>
          <w:b/>
          <w:bCs/>
        </w:rPr>
      </w:pPr>
      <w:r>
        <w:rPr>
          <w:b/>
          <w:bCs/>
        </w:rPr>
        <w:t xml:space="preserve">Supplemental Figure 1: Bacterial burden in female mice after sub-lethal infection of </w:t>
      </w:r>
      <w:r>
        <w:rPr>
          <w:b/>
          <w:bCs/>
          <w:i/>
          <w:iCs/>
        </w:rPr>
        <w:t>K. pneumoniae</w:t>
      </w:r>
      <w:r>
        <w:rPr>
          <w:b/>
          <w:bCs/>
        </w:rPr>
        <w:t>.</w:t>
      </w:r>
    </w:p>
    <w:p w14:paraId="69D79A42" w14:textId="1C301AE4" w:rsidR="009A3D5C" w:rsidRDefault="009A3D5C" w:rsidP="009A3D5C">
      <w:r>
        <w:t xml:space="preserve">Female mice aged 6-weeks-old were injected intraperitoneally with a sub-lethal dose of </w:t>
      </w:r>
      <w:r>
        <w:rPr>
          <w:i/>
          <w:iCs/>
        </w:rPr>
        <w:t>K. pneumoniae</w:t>
      </w:r>
      <w:r>
        <w:t xml:space="preserve">. A) Every 12h post infection mice were euthanized, and brain, lungs, liver, kidneys and spleen were collected and processed to evaluated bacterial burden as </w:t>
      </w:r>
      <w:proofErr w:type="spellStart"/>
      <w:r>
        <w:t>cfu</w:t>
      </w:r>
      <w:proofErr w:type="spellEnd"/>
      <w:r>
        <w:t xml:space="preserve">/g of organ. Blood was collected in heparin and processed to evaluate bacterial burden as </w:t>
      </w:r>
      <w:proofErr w:type="spellStart"/>
      <w:r>
        <w:t>cfu</w:t>
      </w:r>
      <w:proofErr w:type="spellEnd"/>
      <w:r>
        <w:t xml:space="preserve">/mL (n=4-8, 2 repeats).  B)  24h post infection the brain was also collected (n=4-12, 1-3 repeats). Significant comparisons from a Kruskal-Wallis test with Dunn’s multiple comparison test are displayed as a line with exact p value denoted.  </w:t>
      </w:r>
      <w:r w:rsidR="00F65605">
        <w:t xml:space="preserve">The lower limit of detection (LLOD) for each organ is as follows: blood 450 </w:t>
      </w:r>
      <w:proofErr w:type="spellStart"/>
      <w:r w:rsidR="00F65605">
        <w:t>cfu</w:t>
      </w:r>
      <w:proofErr w:type="spellEnd"/>
      <w:r w:rsidR="00F65605">
        <w:t>/mL,</w:t>
      </w:r>
      <w:r w:rsidR="00D365BB">
        <w:t xml:space="preserve"> brain 4,330 </w:t>
      </w:r>
      <w:proofErr w:type="spellStart"/>
      <w:r w:rsidR="00D365BB">
        <w:t>cfu</w:t>
      </w:r>
      <w:proofErr w:type="spellEnd"/>
      <w:r w:rsidR="00D365BB">
        <w:t>/mL,</w:t>
      </w:r>
      <w:r w:rsidR="00F65605">
        <w:t xml:space="preserve"> lung 6340 </w:t>
      </w:r>
      <w:proofErr w:type="spellStart"/>
      <w:r w:rsidR="00F65605">
        <w:t>cfu</w:t>
      </w:r>
      <w:proofErr w:type="spellEnd"/>
      <w:r w:rsidR="00F65605">
        <w:t xml:space="preserve">/g, liver 2540 </w:t>
      </w:r>
      <w:proofErr w:type="spellStart"/>
      <w:r w:rsidR="00F65605">
        <w:t>cfu</w:t>
      </w:r>
      <w:proofErr w:type="spellEnd"/>
      <w:r w:rsidR="00F65605">
        <w:t>/g,</w:t>
      </w:r>
      <w:r w:rsidR="00D365BB">
        <w:t xml:space="preserve"> kidneys 4,010 </w:t>
      </w:r>
      <w:proofErr w:type="spellStart"/>
      <w:r w:rsidR="00D365BB">
        <w:t>cfu</w:t>
      </w:r>
      <w:proofErr w:type="spellEnd"/>
      <w:r w:rsidR="00D365BB">
        <w:t>/g, and</w:t>
      </w:r>
      <w:r w:rsidR="00F65605">
        <w:t xml:space="preserve"> spleen 7670 </w:t>
      </w:r>
      <w:proofErr w:type="spellStart"/>
      <w:r w:rsidR="00F65605">
        <w:t>cfu</w:t>
      </w:r>
      <w:proofErr w:type="spellEnd"/>
      <w:r w:rsidR="00F65605">
        <w:t>/g; organs with detectable bacteria below the LLOD were set to half the LLOD.</w:t>
      </w:r>
    </w:p>
    <w:p w14:paraId="4CB81884" w14:textId="6D7A5557" w:rsidR="003B7213" w:rsidRDefault="003B7213" w:rsidP="00AB2F9A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lastRenderedPageBreak/>
        <w:drawing>
          <wp:inline distT="0" distB="0" distL="0" distR="0" wp14:anchorId="75362E15" wp14:editId="17387F5A">
            <wp:extent cx="5255260" cy="4237355"/>
            <wp:effectExtent l="0" t="0" r="2540" b="0"/>
            <wp:docPr id="10892371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423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6AA560" w14:textId="77777777" w:rsidR="009A3D5C" w:rsidRDefault="009A3D5C" w:rsidP="009A3D5C">
      <w:pPr>
        <w:rPr>
          <w:b/>
          <w:bCs/>
        </w:rPr>
      </w:pPr>
      <w:r>
        <w:rPr>
          <w:b/>
          <w:bCs/>
        </w:rPr>
        <w:t xml:space="preserve">Supplemental Figure 2: Sub-lethal infection elicits an IgG response that reacts to a broad range of </w:t>
      </w:r>
      <w:r>
        <w:rPr>
          <w:b/>
          <w:bCs/>
          <w:i/>
          <w:iCs/>
        </w:rPr>
        <w:t xml:space="preserve">K. pneumoniae </w:t>
      </w:r>
      <w:r>
        <w:rPr>
          <w:b/>
          <w:bCs/>
        </w:rPr>
        <w:t xml:space="preserve">antigens. </w:t>
      </w:r>
    </w:p>
    <w:p w14:paraId="795728FE" w14:textId="77777777" w:rsidR="009A3D5C" w:rsidRDefault="009A3D5C" w:rsidP="009A3D5C">
      <w:pPr>
        <w:rPr>
          <w:rFonts w:ascii="Calibri" w:hAnsi="Calibri" w:cs="Calibri"/>
          <w:color w:val="000000" w:themeColor="text1"/>
        </w:rPr>
      </w:pPr>
      <w:r w:rsidRPr="001A1BA4">
        <w:rPr>
          <w:rFonts w:ascii="Calibri" w:hAnsi="Calibri" w:cs="Calibri"/>
        </w:rPr>
        <w:t>Female mice aged 6 weeks were injected with 3.9x10</w:t>
      </w:r>
      <w:r w:rsidRPr="001A1BA4">
        <w:rPr>
          <w:rFonts w:ascii="Calibri" w:hAnsi="Calibri" w:cs="Calibri"/>
          <w:vertAlign w:val="superscript"/>
        </w:rPr>
        <w:t>6</w:t>
      </w:r>
      <w:r w:rsidRPr="001A1BA4">
        <w:rPr>
          <w:rFonts w:ascii="Calibri" w:hAnsi="Calibri" w:cs="Calibri"/>
        </w:rPr>
        <w:t xml:space="preserve"> </w:t>
      </w:r>
      <w:proofErr w:type="spellStart"/>
      <w:r w:rsidRPr="001A1BA4">
        <w:rPr>
          <w:rFonts w:ascii="Calibri" w:hAnsi="Calibri" w:cs="Calibri"/>
        </w:rPr>
        <w:t>cfu</w:t>
      </w:r>
      <w:proofErr w:type="spellEnd"/>
      <w:r w:rsidRPr="001A1BA4">
        <w:rPr>
          <w:rFonts w:ascii="Calibri" w:hAnsi="Calibri" w:cs="Calibri"/>
        </w:rPr>
        <w:t xml:space="preserve"> of </w:t>
      </w:r>
      <w:r w:rsidRPr="001A1BA4">
        <w:rPr>
          <w:rFonts w:ascii="Calibri" w:hAnsi="Calibri" w:cs="Calibri"/>
          <w:i/>
          <w:iCs/>
        </w:rPr>
        <w:t>K. pneumoniae</w:t>
      </w:r>
      <w:r w:rsidRPr="001A1BA4">
        <w:rPr>
          <w:rFonts w:ascii="Calibri" w:hAnsi="Calibri" w:cs="Calibri"/>
        </w:rPr>
        <w:t xml:space="preserve"> by IP injection. </w:t>
      </w:r>
      <w:r>
        <w:rPr>
          <w:rFonts w:ascii="Calibri" w:hAnsi="Calibri" w:cs="Calibri"/>
        </w:rPr>
        <w:t xml:space="preserve">Serum was collected from dams 7 days prior to birth and 1-, 7-, 14-, and 21-days post birth. </w:t>
      </w:r>
      <w:r>
        <w:rPr>
          <w:rFonts w:ascii="Calibri" w:hAnsi="Calibri" w:cs="Calibri"/>
          <w:color w:val="000000" w:themeColor="text1"/>
        </w:rPr>
        <w:t xml:space="preserve">A 15% SDS Page gel was run with 15ug of </w:t>
      </w:r>
      <w:r>
        <w:rPr>
          <w:rFonts w:ascii="Calibri" w:hAnsi="Calibri" w:cs="Calibri"/>
          <w:i/>
          <w:iCs/>
          <w:color w:val="000000" w:themeColor="text1"/>
        </w:rPr>
        <w:t>K. pneumoniae</w:t>
      </w:r>
      <w:r>
        <w:rPr>
          <w:rFonts w:ascii="Calibri" w:hAnsi="Calibri" w:cs="Calibri"/>
          <w:color w:val="000000" w:themeColor="text1"/>
        </w:rPr>
        <w:t xml:space="preserve"> lysate beside the Kaleidoscope </w:t>
      </w:r>
      <w:proofErr w:type="spellStart"/>
      <w:r>
        <w:rPr>
          <w:rFonts w:ascii="Calibri" w:hAnsi="Calibri" w:cs="Calibri"/>
          <w:color w:val="000000" w:themeColor="text1"/>
        </w:rPr>
        <w:t>prestained</w:t>
      </w:r>
      <w:proofErr w:type="spellEnd"/>
      <w:r>
        <w:rPr>
          <w:rFonts w:ascii="Calibri" w:hAnsi="Calibri" w:cs="Calibri"/>
          <w:color w:val="000000" w:themeColor="text1"/>
        </w:rPr>
        <w:t xml:space="preserve"> protein ladder. Membranes were cut to include one ladder lane and one lysate lane per membrane piece. Mouse sera from each time point </w:t>
      </w:r>
      <w:proofErr w:type="gramStart"/>
      <w:r>
        <w:rPr>
          <w:rFonts w:ascii="Calibri" w:hAnsi="Calibri" w:cs="Calibri"/>
          <w:color w:val="000000" w:themeColor="text1"/>
        </w:rPr>
        <w:t>was</w:t>
      </w:r>
      <w:proofErr w:type="gramEnd"/>
      <w:r>
        <w:rPr>
          <w:rFonts w:ascii="Calibri" w:hAnsi="Calibri" w:cs="Calibri"/>
          <w:color w:val="000000" w:themeColor="text1"/>
        </w:rPr>
        <w:t xml:space="preserve"> pooled and incubated with the membranes overnight. Membranes were incubated with </w:t>
      </w:r>
      <w:proofErr w:type="spellStart"/>
      <w:r>
        <w:rPr>
          <w:rFonts w:ascii="Calibri" w:hAnsi="Calibri" w:cs="Calibri"/>
          <w:color w:val="000000" w:themeColor="text1"/>
        </w:rPr>
        <w:t>IRDye</w:t>
      </w:r>
      <w:proofErr w:type="spellEnd"/>
      <w:r>
        <w:rPr>
          <w:rFonts w:ascii="Calibri" w:hAnsi="Calibri" w:cs="Calibri"/>
          <w:color w:val="000000" w:themeColor="text1"/>
        </w:rPr>
        <w:t xml:space="preserve"> conjugated anti-mouse IgG diluted 1:2000 for an hour. Membranes were imaged using the iBright1500. </w:t>
      </w:r>
    </w:p>
    <w:p w14:paraId="38574B28" w14:textId="7EB416BB" w:rsidR="006D6A98" w:rsidRDefault="006D6A98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DD8F479" w14:textId="42E06CA5" w:rsidR="00AB2F9A" w:rsidRDefault="006D6A98" w:rsidP="009A3D5C">
      <w:pPr>
        <w:rPr>
          <w:rFonts w:ascii="Calibri" w:hAnsi="Calibri" w:cs="Calibri"/>
        </w:rPr>
      </w:pPr>
      <w:r w:rsidRPr="006D6A98">
        <w:rPr>
          <w:rFonts w:ascii="Calibri" w:hAnsi="Calibri" w:cs="Calibri"/>
          <w:noProof/>
        </w:rPr>
        <w:lastRenderedPageBreak/>
        <w:drawing>
          <wp:inline distT="0" distB="0" distL="0" distR="0" wp14:anchorId="36B4CEF5" wp14:editId="51ADFC40">
            <wp:extent cx="4735195" cy="6722533"/>
            <wp:effectExtent l="0" t="0" r="0" b="254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3750475-7065-86A3-33B8-722D22A090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3750475-7065-86A3-33B8-722D22A090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b="1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03" cy="67232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B08CD7" w14:textId="77777777" w:rsidR="006D6A98" w:rsidRDefault="006D6A98" w:rsidP="006D6A98">
      <w:pPr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Supplemental Figure 3: Sub-lethal infection of dams with </w:t>
      </w:r>
      <w:r>
        <w:rPr>
          <w:rFonts w:ascii="Calibri" w:hAnsi="Calibri" w:cs="Calibri"/>
          <w:b/>
          <w:bCs/>
          <w:i/>
          <w:iCs/>
          <w:color w:val="000000" w:themeColor="text1"/>
        </w:rPr>
        <w:t>K. pneumoniae</w:t>
      </w:r>
      <w:r>
        <w:rPr>
          <w:rFonts w:ascii="Calibri" w:hAnsi="Calibri" w:cs="Calibri"/>
          <w:b/>
          <w:bCs/>
          <w:color w:val="000000" w:themeColor="text1"/>
        </w:rPr>
        <w:t xml:space="preserve"> reduces bacterial burden 24h after a sub-lethal dose of </w:t>
      </w:r>
      <w:r>
        <w:rPr>
          <w:rFonts w:ascii="Calibri" w:hAnsi="Calibri" w:cs="Calibri"/>
          <w:b/>
          <w:bCs/>
          <w:i/>
          <w:iCs/>
          <w:color w:val="000000" w:themeColor="text1"/>
        </w:rPr>
        <w:t>K. pneumoniae</w:t>
      </w:r>
      <w:r>
        <w:rPr>
          <w:rFonts w:ascii="Calibri" w:hAnsi="Calibri" w:cs="Calibri"/>
          <w:b/>
          <w:bCs/>
          <w:color w:val="000000" w:themeColor="text1"/>
        </w:rPr>
        <w:t xml:space="preserve"> in female pups 42 days old. </w:t>
      </w:r>
    </w:p>
    <w:p w14:paraId="262053FB" w14:textId="21149108" w:rsidR="006D6A98" w:rsidRPr="00A06072" w:rsidRDefault="006D6A98" w:rsidP="006D6A9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Female pups aged 6-weeks-old born from dams that had been infected with a sub-lethal dose of </w:t>
      </w:r>
      <w:r>
        <w:rPr>
          <w:rFonts w:ascii="Calibri" w:hAnsi="Calibri" w:cs="Calibri"/>
          <w:i/>
          <w:iCs/>
        </w:rPr>
        <w:t xml:space="preserve">K. </w:t>
      </w:r>
      <w:proofErr w:type="gramStart"/>
      <w:r>
        <w:rPr>
          <w:rFonts w:ascii="Calibri" w:hAnsi="Calibri" w:cs="Calibri"/>
          <w:i/>
          <w:iCs/>
        </w:rPr>
        <w:t>pneumoniae</w:t>
      </w:r>
      <w:proofErr w:type="gramEnd"/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or given PBS subcutaneously (negative control) were injected with a sub-lethal dose of </w:t>
      </w:r>
      <w:r>
        <w:rPr>
          <w:rFonts w:ascii="Calibri" w:hAnsi="Calibri" w:cs="Calibri"/>
          <w:i/>
          <w:iCs/>
        </w:rPr>
        <w:t>K. pneumoniae</w:t>
      </w:r>
      <w:r>
        <w:rPr>
          <w:rFonts w:ascii="Calibri" w:hAnsi="Calibri" w:cs="Calibri"/>
        </w:rPr>
        <w:t xml:space="preserve">. 24h after infection, pups were euthanized. A) </w:t>
      </w:r>
      <w:r>
        <w:t xml:space="preserve">Blood was collected in heparin and processed to evaluate bacterial burden as </w:t>
      </w:r>
      <w:proofErr w:type="spellStart"/>
      <w:r>
        <w:t>cfu</w:t>
      </w:r>
      <w:proofErr w:type="spellEnd"/>
      <w:r>
        <w:t xml:space="preserve">/mL (n=5-9).  </w:t>
      </w:r>
      <w:r>
        <w:rPr>
          <w:rFonts w:ascii="Calibri" w:hAnsi="Calibri" w:cs="Calibri"/>
        </w:rPr>
        <w:t xml:space="preserve">B) </w:t>
      </w:r>
      <w:r>
        <w:t xml:space="preserve">Lungs, C) liver, </w:t>
      </w:r>
      <w:r>
        <w:lastRenderedPageBreak/>
        <w:t xml:space="preserve">and D) spleen were collected and processed to evaluated bacterial burden as </w:t>
      </w:r>
      <w:proofErr w:type="spellStart"/>
      <w:r>
        <w:t>cfu</w:t>
      </w:r>
      <w:proofErr w:type="spellEnd"/>
      <w:r>
        <w:t xml:space="preserve">/g of organ (n=5-9). Comparisons from a Mann-Whitney test are displayed as a line with exact p value denoted. The </w:t>
      </w:r>
      <w:r w:rsidR="00F65605">
        <w:t>LLOD</w:t>
      </w:r>
      <w:r>
        <w:t xml:space="preserve"> for each organ is as follows: blood 450 </w:t>
      </w:r>
      <w:proofErr w:type="spellStart"/>
      <w:r>
        <w:t>cfu</w:t>
      </w:r>
      <w:proofErr w:type="spellEnd"/>
      <w:r>
        <w:t xml:space="preserve">/mL, lung 6340 </w:t>
      </w:r>
      <w:proofErr w:type="spellStart"/>
      <w:r>
        <w:t>cfu</w:t>
      </w:r>
      <w:proofErr w:type="spellEnd"/>
      <w:r>
        <w:t xml:space="preserve">/g, liver 2540 </w:t>
      </w:r>
      <w:proofErr w:type="spellStart"/>
      <w:r>
        <w:t>cfu</w:t>
      </w:r>
      <w:proofErr w:type="spellEnd"/>
      <w:r>
        <w:t xml:space="preserve">/g, spleen 7670 </w:t>
      </w:r>
      <w:proofErr w:type="spellStart"/>
      <w:r>
        <w:t>cfu</w:t>
      </w:r>
      <w:proofErr w:type="spellEnd"/>
      <w:r>
        <w:t xml:space="preserve">/g; organs with detectable bacteria below the LLOD were set to half the LLOD. Organs that grew no colonies were set to 1 </w:t>
      </w:r>
      <w:proofErr w:type="spellStart"/>
      <w:r>
        <w:t>cfu</w:t>
      </w:r>
      <w:proofErr w:type="spellEnd"/>
      <w:r>
        <w:t xml:space="preserve">/mL or </w:t>
      </w:r>
      <w:proofErr w:type="spellStart"/>
      <w:r>
        <w:t>cfu</w:t>
      </w:r>
      <w:proofErr w:type="spellEnd"/>
      <w:r>
        <w:t>/g.</w:t>
      </w:r>
    </w:p>
    <w:p w14:paraId="61CEDE58" w14:textId="77777777" w:rsidR="006D6A98" w:rsidRDefault="006D6A98" w:rsidP="006D6A98">
      <w:pPr>
        <w:rPr>
          <w:rFonts w:ascii="Calibri" w:hAnsi="Calibri" w:cs="Calibri"/>
        </w:rPr>
      </w:pPr>
    </w:p>
    <w:p w14:paraId="3FD32499" w14:textId="222FEA09" w:rsidR="006D6A98" w:rsidRPr="006D6A98" w:rsidRDefault="006D6A98" w:rsidP="006D6A98">
      <w:pPr>
        <w:tabs>
          <w:tab w:val="left" w:pos="11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sectPr w:rsidR="006D6A98" w:rsidRPr="006D6A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65B"/>
    <w:multiLevelType w:val="hybridMultilevel"/>
    <w:tmpl w:val="C12AF8FA"/>
    <w:lvl w:ilvl="0" w:tplc="DB480A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B322C"/>
    <w:multiLevelType w:val="hybridMultilevel"/>
    <w:tmpl w:val="A55AE2F4"/>
    <w:lvl w:ilvl="0" w:tplc="FD72AE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18314">
    <w:abstractNumId w:val="1"/>
  </w:num>
  <w:num w:numId="2" w16cid:durableId="2021816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DC"/>
    <w:rsid w:val="00122492"/>
    <w:rsid w:val="00350D32"/>
    <w:rsid w:val="003B7213"/>
    <w:rsid w:val="006D6A98"/>
    <w:rsid w:val="007B7ADC"/>
    <w:rsid w:val="008D272F"/>
    <w:rsid w:val="00956E32"/>
    <w:rsid w:val="009A3D5C"/>
    <w:rsid w:val="00AB2F9A"/>
    <w:rsid w:val="00D365BB"/>
    <w:rsid w:val="00E515DF"/>
    <w:rsid w:val="00E7776A"/>
    <w:rsid w:val="00F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B1C3A"/>
  <w15:chartTrackingRefBased/>
  <w15:docId w15:val="{CC0111B1-C9BF-403D-8B30-B94EB31C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ADC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AB2F9A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Mason</dc:creator>
  <cp:keywords/>
  <dc:description/>
  <cp:lastModifiedBy>Emily Mason</cp:lastModifiedBy>
  <cp:revision>8</cp:revision>
  <dcterms:created xsi:type="dcterms:W3CDTF">2025-06-03T16:25:00Z</dcterms:created>
  <dcterms:modified xsi:type="dcterms:W3CDTF">2025-06-16T23:24:00Z</dcterms:modified>
</cp:coreProperties>
</file>