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4A6EB" w14:textId="77777777" w:rsidR="00D11F16" w:rsidRPr="000C25C8" w:rsidRDefault="00D11F16" w:rsidP="00D11F16">
      <w:pPr>
        <w:rPr>
          <w:rFonts w:cstheme="minorHAnsi"/>
          <w:b/>
          <w:bCs/>
          <w:lang w:val="en-GB"/>
        </w:rPr>
      </w:pPr>
      <w:r w:rsidRPr="000C25C8">
        <w:rPr>
          <w:rFonts w:cstheme="minorHAnsi"/>
          <w:b/>
          <w:bCs/>
          <w:lang w:val="en-GB"/>
        </w:rPr>
        <w:t>Supplementary information figures:</w:t>
      </w:r>
    </w:p>
    <w:p w14:paraId="4EC47B02" w14:textId="77777777" w:rsidR="00D11F16" w:rsidRPr="00BE0B02" w:rsidRDefault="00D11F16" w:rsidP="00D11F16">
      <w:pPr>
        <w:rPr>
          <w:rFonts w:cstheme="minorHAnsi"/>
          <w:lang w:val="en-GB"/>
        </w:rPr>
      </w:pPr>
    </w:p>
    <w:p w14:paraId="62AFDC75" w14:textId="77777777" w:rsidR="00D11F16" w:rsidRDefault="00D11F16" w:rsidP="00D11F16">
      <w:pPr>
        <w:rPr>
          <w:rFonts w:cstheme="minorHAnsi"/>
          <w:b/>
          <w:bCs/>
        </w:rPr>
      </w:pPr>
      <w:r>
        <w:rPr>
          <w:noProof/>
        </w:rPr>
        <w:drawing>
          <wp:inline distT="0" distB="0" distL="0" distR="0" wp14:anchorId="2D591D6C" wp14:editId="4ECA7E5E">
            <wp:extent cx="5760720" cy="4321810"/>
            <wp:effectExtent l="0" t="0" r="0" b="2540"/>
            <wp:docPr id="11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C6DE68" w14:textId="77777777" w:rsidR="00D11F16" w:rsidRPr="00BE0B02" w:rsidRDefault="00D11F16" w:rsidP="00D11F16">
      <w:pPr>
        <w:rPr>
          <w:lang w:val="en-GB"/>
        </w:rPr>
      </w:pPr>
      <w:r w:rsidRPr="00BE0B02">
        <w:rPr>
          <w:rFonts w:cstheme="minorHAnsi"/>
          <w:lang w:val="en-GB"/>
        </w:rPr>
        <w:t xml:space="preserve">Suppl. 1: </w:t>
      </w:r>
      <w:r w:rsidRPr="00BE0B02">
        <w:rPr>
          <w:lang w:val="en-GB"/>
        </w:rPr>
        <w:t>Ternary diagram showing the Zn, Sn and Pb contents of the Bohemian brass samples categorised according to the cultural groups.</w:t>
      </w:r>
    </w:p>
    <w:p w14:paraId="7DF571DB" w14:textId="4C1DDF96" w:rsidR="00D11F16" w:rsidRPr="00D11F16" w:rsidRDefault="00D11F16" w:rsidP="00D11F16">
      <w:pPr>
        <w:jc w:val="center"/>
        <w:rPr>
          <w:rFonts w:cstheme="minorHAnsi"/>
          <w:b/>
          <w:bCs/>
          <w:lang w:val="en-GB"/>
        </w:rPr>
      </w:pPr>
    </w:p>
    <w:p w14:paraId="31174F3D" w14:textId="6647B784" w:rsidR="00D11F16" w:rsidRDefault="00D11F16" w:rsidP="00D11F16">
      <w:pPr>
        <w:jc w:val="center"/>
        <w:rPr>
          <w:rFonts w:cstheme="minorHAnsi"/>
          <w:b/>
          <w:bCs/>
        </w:rPr>
      </w:pPr>
    </w:p>
    <w:p w14:paraId="6858336B" w14:textId="1AB9825D" w:rsidR="00D11F16" w:rsidRDefault="00D11F16" w:rsidP="00D11F16">
      <w:pPr>
        <w:jc w:val="center"/>
        <w:rPr>
          <w:rFonts w:cstheme="minorHAnsi"/>
          <w:b/>
          <w:bCs/>
        </w:rPr>
      </w:pPr>
    </w:p>
    <w:p w14:paraId="59CAF23D" w14:textId="6AE4781E" w:rsidR="00D11F16" w:rsidRDefault="00D11F16" w:rsidP="00D11F16">
      <w:pPr>
        <w:jc w:val="center"/>
        <w:rPr>
          <w:rFonts w:cstheme="minorHAnsi"/>
          <w:b/>
          <w:bCs/>
        </w:rPr>
      </w:pPr>
    </w:p>
    <w:p w14:paraId="59E0FEF9" w14:textId="27A27BD6" w:rsidR="00D11F16" w:rsidRDefault="00D11F16" w:rsidP="00D11F16">
      <w:pPr>
        <w:jc w:val="center"/>
        <w:rPr>
          <w:rFonts w:cstheme="minorHAnsi"/>
          <w:b/>
          <w:bCs/>
        </w:rPr>
      </w:pPr>
    </w:p>
    <w:p w14:paraId="1F75915E" w14:textId="77777777" w:rsidR="00D11F16" w:rsidRDefault="00D11F16" w:rsidP="00D11F16">
      <w:pPr>
        <w:jc w:val="center"/>
        <w:rPr>
          <w:rFonts w:cstheme="minorHAnsi"/>
          <w:b/>
          <w:bCs/>
        </w:rPr>
      </w:pPr>
    </w:p>
    <w:p w14:paraId="700C56A9" w14:textId="77777777" w:rsidR="00D11F16" w:rsidRDefault="00D11F16" w:rsidP="00D11F16">
      <w:pPr>
        <w:jc w:val="center"/>
        <w:rPr>
          <w:rFonts w:cstheme="minorHAnsi"/>
          <w:b/>
          <w:bCs/>
        </w:rPr>
      </w:pPr>
    </w:p>
    <w:p w14:paraId="24658217" w14:textId="77777777" w:rsidR="00D11F16" w:rsidRDefault="00D11F16" w:rsidP="00D11F16">
      <w:pPr>
        <w:jc w:val="center"/>
        <w:rPr>
          <w:rFonts w:cstheme="minorHAnsi"/>
          <w:b/>
          <w:bCs/>
        </w:rPr>
      </w:pPr>
      <w:r>
        <w:rPr>
          <w:noProof/>
        </w:rPr>
        <w:lastRenderedPageBreak/>
        <w:drawing>
          <wp:inline distT="0" distB="0" distL="0" distR="0" wp14:anchorId="495EB696" wp14:editId="130321AD">
            <wp:extent cx="2500999" cy="1876301"/>
            <wp:effectExtent l="0" t="0" r="0" b="0"/>
            <wp:docPr id="15" name="Obráze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452" cy="1888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C6706" w14:textId="716820E7" w:rsidR="00D11F16" w:rsidRDefault="00D11F16" w:rsidP="00D11F16">
      <w:pPr>
        <w:jc w:val="center"/>
        <w:rPr>
          <w:rFonts w:cstheme="minorHAnsi"/>
          <w:b/>
          <w:bCs/>
        </w:rPr>
      </w:pPr>
    </w:p>
    <w:p w14:paraId="594933A2" w14:textId="77777777" w:rsidR="00D11F16" w:rsidRDefault="00D11F16" w:rsidP="00D11F16">
      <w:pPr>
        <w:jc w:val="center"/>
        <w:rPr>
          <w:rFonts w:cstheme="minorHAnsi"/>
          <w:b/>
          <w:bCs/>
        </w:rPr>
      </w:pPr>
    </w:p>
    <w:p w14:paraId="684EC19D" w14:textId="77777777" w:rsidR="00D11F16" w:rsidRDefault="00D11F16" w:rsidP="00D11F16">
      <w:pPr>
        <w:jc w:val="center"/>
        <w:rPr>
          <w:rFonts w:cstheme="minorHAnsi"/>
          <w:b/>
          <w:bCs/>
        </w:rPr>
      </w:pPr>
      <w:r>
        <w:rPr>
          <w:noProof/>
        </w:rPr>
        <w:drawing>
          <wp:inline distT="0" distB="0" distL="0" distR="0" wp14:anchorId="088388A6" wp14:editId="40612C12">
            <wp:extent cx="2434442" cy="1826369"/>
            <wp:effectExtent l="0" t="0" r="4445" b="2540"/>
            <wp:docPr id="16" name="Obráze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763" cy="184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66963A" w14:textId="13E68B9A" w:rsidR="00D11F16" w:rsidRDefault="00D11F16" w:rsidP="00D11F16">
      <w:pPr>
        <w:jc w:val="center"/>
        <w:rPr>
          <w:rFonts w:cstheme="minorHAnsi"/>
          <w:b/>
          <w:bCs/>
        </w:rPr>
      </w:pPr>
    </w:p>
    <w:p w14:paraId="6A9E0203" w14:textId="77777777" w:rsidR="00D11F16" w:rsidRDefault="00D11F16" w:rsidP="00D11F16">
      <w:pPr>
        <w:jc w:val="center"/>
        <w:rPr>
          <w:rFonts w:cstheme="minorHAnsi"/>
          <w:b/>
          <w:bCs/>
        </w:rPr>
      </w:pPr>
    </w:p>
    <w:p w14:paraId="4AC03037" w14:textId="77777777" w:rsidR="00D11F16" w:rsidRDefault="00D11F16" w:rsidP="00D11F16">
      <w:pPr>
        <w:jc w:val="center"/>
        <w:rPr>
          <w:rFonts w:cstheme="minorHAnsi"/>
          <w:b/>
          <w:bCs/>
        </w:rPr>
      </w:pPr>
    </w:p>
    <w:p w14:paraId="4A0682E0" w14:textId="1C778EDE" w:rsidR="00D11F16" w:rsidRDefault="00D11F16" w:rsidP="00D11F16">
      <w:pPr>
        <w:jc w:val="center"/>
        <w:rPr>
          <w:rFonts w:cstheme="minorHAnsi"/>
          <w:b/>
          <w:bCs/>
        </w:rPr>
      </w:pPr>
      <w:r>
        <w:rPr>
          <w:noProof/>
        </w:rPr>
        <w:drawing>
          <wp:inline distT="0" distB="0" distL="0" distR="0" wp14:anchorId="4D066833" wp14:editId="358802B6">
            <wp:extent cx="2755645" cy="2067341"/>
            <wp:effectExtent l="0" t="0" r="6985" b="9525"/>
            <wp:docPr id="17" name="Obráze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062" cy="2080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81235F" w14:textId="1082F24F" w:rsidR="00D11F16" w:rsidRDefault="00D11F16" w:rsidP="00AF244E">
      <w:pPr>
        <w:rPr>
          <w:rFonts w:cstheme="minorHAnsi"/>
          <w:b/>
          <w:bCs/>
        </w:rPr>
      </w:pPr>
    </w:p>
    <w:p w14:paraId="31B09EAF" w14:textId="77777777" w:rsidR="00D11F16" w:rsidRDefault="00D11F16" w:rsidP="00D11F16">
      <w:pPr>
        <w:jc w:val="center"/>
        <w:rPr>
          <w:rFonts w:cstheme="minorHAnsi"/>
          <w:b/>
          <w:bCs/>
        </w:rPr>
      </w:pPr>
    </w:p>
    <w:p w14:paraId="2715D28B" w14:textId="77777777" w:rsidR="00D11F16" w:rsidRPr="00BE0B02" w:rsidRDefault="00D11F16" w:rsidP="00D11F16">
      <w:pPr>
        <w:rPr>
          <w:lang w:val="en-GB"/>
        </w:rPr>
      </w:pPr>
      <w:r w:rsidRPr="00BE0B02">
        <w:rPr>
          <w:lang w:val="en-GB"/>
        </w:rPr>
        <w:t>Suppl. 2: The Zn content in the Bohemian brass samples plotted as A: histogram; B: boxplot according to dating; C: boxplot according to the cultural groups.</w:t>
      </w:r>
    </w:p>
    <w:p w14:paraId="48C1EDF9" w14:textId="77777777" w:rsidR="00D11F16" w:rsidRPr="00D11F16" w:rsidRDefault="00D11F16" w:rsidP="00D11F16">
      <w:pPr>
        <w:jc w:val="center"/>
        <w:rPr>
          <w:rFonts w:cstheme="minorHAnsi"/>
          <w:b/>
          <w:bCs/>
          <w:lang w:val="en-GB"/>
        </w:rPr>
      </w:pPr>
    </w:p>
    <w:p w14:paraId="52D34565" w14:textId="77777777" w:rsidR="00D11F16" w:rsidRDefault="00D11F16" w:rsidP="00D11F16">
      <w:pPr>
        <w:jc w:val="center"/>
        <w:rPr>
          <w:rFonts w:cstheme="minorHAnsi"/>
          <w:b/>
          <w:bCs/>
        </w:rPr>
      </w:pPr>
      <w:r>
        <w:rPr>
          <w:noProof/>
        </w:rPr>
        <w:lastRenderedPageBreak/>
        <w:drawing>
          <wp:inline distT="0" distB="0" distL="0" distR="0" wp14:anchorId="4B075F30" wp14:editId="74DB958B">
            <wp:extent cx="5760720" cy="8107045"/>
            <wp:effectExtent l="0" t="0" r="0" b="8255"/>
            <wp:docPr id="18" name="Obráze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0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CA0DD" w14:textId="77777777" w:rsidR="00D11F16" w:rsidRPr="00BE0B02" w:rsidRDefault="00D11F16" w:rsidP="00D11F16">
      <w:pPr>
        <w:rPr>
          <w:lang w:val="en-GB"/>
        </w:rPr>
      </w:pPr>
      <w:r w:rsidRPr="00BE0B02">
        <w:rPr>
          <w:rFonts w:cstheme="minorHAnsi"/>
          <w:lang w:val="en-GB"/>
        </w:rPr>
        <w:t>Suppl. 3</w:t>
      </w:r>
      <w:r w:rsidRPr="00BE0B02">
        <w:rPr>
          <w:lang w:val="en-GB"/>
        </w:rPr>
        <w:t xml:space="preserve">: Overview of lead isotope </w:t>
      </w:r>
      <w:r w:rsidRPr="00BE0B02">
        <w:rPr>
          <w:bCs/>
          <w:lang w:val="en-GB"/>
        </w:rPr>
        <w:t>systematics</w:t>
      </w:r>
      <w:r w:rsidRPr="00BE0B02">
        <w:rPr>
          <w:lang w:val="en-GB"/>
        </w:rPr>
        <w:t xml:space="preserve"> of the Bohemian brass objects categorised according to the cultural groups. 3. Source:  this study.</w:t>
      </w:r>
    </w:p>
    <w:p w14:paraId="17CB147D" w14:textId="77777777" w:rsidR="00D11F16" w:rsidRDefault="00D11F16" w:rsidP="00D11F16">
      <w:pPr>
        <w:jc w:val="center"/>
        <w:rPr>
          <w:rFonts w:cstheme="minorHAnsi"/>
          <w:b/>
          <w:bCs/>
        </w:rPr>
      </w:pPr>
    </w:p>
    <w:p w14:paraId="64DDB1C3" w14:textId="77777777" w:rsidR="00D11F16" w:rsidRDefault="00D11F16" w:rsidP="00D11F16">
      <w:pPr>
        <w:jc w:val="center"/>
        <w:rPr>
          <w:rFonts w:cstheme="minorHAnsi"/>
          <w:b/>
          <w:bCs/>
        </w:rPr>
      </w:pPr>
      <w:r>
        <w:rPr>
          <w:noProof/>
        </w:rPr>
        <w:lastRenderedPageBreak/>
        <w:drawing>
          <wp:inline distT="0" distB="0" distL="0" distR="0" wp14:anchorId="2704DEEC" wp14:editId="00E8CD18">
            <wp:extent cx="5760720" cy="4321810"/>
            <wp:effectExtent l="0" t="0" r="0" b="2540"/>
            <wp:docPr id="19" name="Obráze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15EB2B" w14:textId="77777777" w:rsidR="00D11F16" w:rsidRPr="00BE0B02" w:rsidRDefault="00D11F16" w:rsidP="00D11F16">
      <w:pPr>
        <w:rPr>
          <w:lang w:val="en-GB"/>
        </w:rPr>
      </w:pPr>
      <w:r w:rsidRPr="00BE0B02">
        <w:rPr>
          <w:rFonts w:cstheme="minorHAnsi"/>
          <w:lang w:val="en-GB"/>
        </w:rPr>
        <w:t>Suppl. 4</w:t>
      </w:r>
      <w:r w:rsidRPr="00BE0B02">
        <w:rPr>
          <w:lang w:val="en-GB"/>
        </w:rPr>
        <w:t xml:space="preserve">: </w:t>
      </w:r>
      <w:proofErr w:type="gramStart"/>
      <w:r w:rsidRPr="00BE0B02">
        <w:rPr>
          <w:lang w:val="en-GB"/>
        </w:rPr>
        <w:t>Bi-plot</w:t>
      </w:r>
      <w:proofErr w:type="gramEnd"/>
      <w:r w:rsidRPr="00BE0B02">
        <w:rPr>
          <w:lang w:val="en-GB"/>
        </w:rPr>
        <w:t xml:space="preserve"> of Zn </w:t>
      </w:r>
      <w:proofErr w:type="spellStart"/>
      <w:r w:rsidRPr="00BE0B02">
        <w:rPr>
          <w:lang w:val="en-GB"/>
        </w:rPr>
        <w:t>verus</w:t>
      </w:r>
      <w:proofErr w:type="spellEnd"/>
      <w:r w:rsidRPr="00BE0B02">
        <w:rPr>
          <w:lang w:val="en-GB"/>
        </w:rPr>
        <w:t xml:space="preserve"> Sn + Pb content of the earliest brass objects from the 1</w:t>
      </w:r>
      <w:r w:rsidRPr="00BE0B02">
        <w:rPr>
          <w:vertAlign w:val="superscript"/>
          <w:lang w:val="en-GB"/>
        </w:rPr>
        <w:t>st</w:t>
      </w:r>
      <w:r w:rsidRPr="00BE0B02">
        <w:rPr>
          <w:lang w:val="en-GB"/>
        </w:rPr>
        <w:t xml:space="preserve"> century BC categorised according to dating. [16, 17, 60] + this study.</w:t>
      </w:r>
    </w:p>
    <w:p w14:paraId="253463BF" w14:textId="77777777" w:rsidR="00D11F16" w:rsidRDefault="00D11F16" w:rsidP="00D11F16">
      <w:pPr>
        <w:jc w:val="center"/>
        <w:rPr>
          <w:rFonts w:cstheme="minorHAnsi"/>
          <w:b/>
          <w:bCs/>
        </w:rPr>
      </w:pPr>
    </w:p>
    <w:p w14:paraId="65E35EFE" w14:textId="77777777" w:rsidR="00D11F16" w:rsidRDefault="00D11F16" w:rsidP="00D11F16">
      <w:pPr>
        <w:jc w:val="center"/>
        <w:rPr>
          <w:rFonts w:cstheme="minorHAnsi"/>
          <w:b/>
          <w:bCs/>
        </w:rPr>
      </w:pPr>
      <w:r>
        <w:rPr>
          <w:noProof/>
        </w:rPr>
        <w:lastRenderedPageBreak/>
        <w:drawing>
          <wp:inline distT="0" distB="0" distL="0" distR="0" wp14:anchorId="7E10BE86" wp14:editId="09AB7241">
            <wp:extent cx="3812294" cy="5723906"/>
            <wp:effectExtent l="0" t="0" r="0" b="0"/>
            <wp:docPr id="20" name="Obráze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0786" cy="5736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C0107C" w14:textId="77777777" w:rsidR="00D11F16" w:rsidRDefault="00D11F16" w:rsidP="00D11F16">
      <w:pPr>
        <w:jc w:val="center"/>
        <w:rPr>
          <w:rFonts w:cstheme="minorHAnsi"/>
          <w:b/>
          <w:bCs/>
          <w:highlight w:val="yellow"/>
        </w:rPr>
      </w:pPr>
    </w:p>
    <w:p w14:paraId="09455990" w14:textId="77777777" w:rsidR="00D11F16" w:rsidRDefault="00D11F16" w:rsidP="00D11F16">
      <w:pPr>
        <w:jc w:val="center"/>
        <w:rPr>
          <w:rFonts w:cstheme="minorHAnsi"/>
          <w:b/>
          <w:bCs/>
          <w:highlight w:val="yellow"/>
        </w:rPr>
      </w:pPr>
      <w:r>
        <w:rPr>
          <w:noProof/>
        </w:rPr>
        <w:drawing>
          <wp:inline distT="0" distB="0" distL="0" distR="0" wp14:anchorId="76688679" wp14:editId="1F756306">
            <wp:extent cx="2161309" cy="1621459"/>
            <wp:effectExtent l="0" t="0" r="0" b="0"/>
            <wp:docPr id="22" name="Obráze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413" cy="1629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C58B0A" w14:textId="77777777" w:rsidR="00D11F16" w:rsidRPr="00BE0B02" w:rsidRDefault="00D11F16" w:rsidP="00D11F16">
      <w:pPr>
        <w:rPr>
          <w:lang w:val="en-GB"/>
        </w:rPr>
      </w:pPr>
      <w:r w:rsidRPr="00BE0B02">
        <w:rPr>
          <w:lang w:val="en-GB"/>
        </w:rPr>
        <w:t xml:space="preserve">Suppl. 5: </w:t>
      </w:r>
      <w:proofErr w:type="gramStart"/>
      <w:r w:rsidRPr="00BE0B02">
        <w:rPr>
          <w:lang w:val="en-GB"/>
        </w:rPr>
        <w:t>Bi-plot</w:t>
      </w:r>
      <w:proofErr w:type="gramEnd"/>
      <w:r w:rsidRPr="00BE0B02">
        <w:rPr>
          <w:lang w:val="en-GB"/>
        </w:rPr>
        <w:t xml:space="preserve"> of PCA results of selected brass objects from Bohemia with the comparative datasets. Factor 1 versus Factor 2 categorised according to A: the cultural groups B: dating. Sources: [15, 16, 17, 60] +this study.</w:t>
      </w:r>
    </w:p>
    <w:p w14:paraId="70E8C52D" w14:textId="77777777" w:rsidR="00D11F16" w:rsidRDefault="00D11F16" w:rsidP="00D11F16">
      <w:pPr>
        <w:jc w:val="center"/>
        <w:rPr>
          <w:rFonts w:cstheme="minorHAnsi"/>
          <w:b/>
          <w:bCs/>
        </w:rPr>
      </w:pPr>
    </w:p>
    <w:p w14:paraId="2CE15638" w14:textId="77777777" w:rsidR="00D11F16" w:rsidRDefault="00D11F16" w:rsidP="00D11F16">
      <w:pPr>
        <w:jc w:val="center"/>
        <w:rPr>
          <w:rFonts w:cstheme="minorHAnsi"/>
          <w:b/>
          <w:bCs/>
        </w:rPr>
      </w:pPr>
      <w:r>
        <w:rPr>
          <w:noProof/>
        </w:rPr>
        <w:lastRenderedPageBreak/>
        <w:drawing>
          <wp:inline distT="0" distB="0" distL="0" distR="0" wp14:anchorId="3153A7E2" wp14:editId="715C48CA">
            <wp:extent cx="3982868" cy="7956645"/>
            <wp:effectExtent l="0" t="0" r="0" b="6350"/>
            <wp:docPr id="23" name="Obráze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5553" cy="7962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33426E" w14:textId="77777777" w:rsidR="00D11F16" w:rsidRPr="00BE0B02" w:rsidRDefault="00D11F16" w:rsidP="00D11F16">
      <w:pPr>
        <w:rPr>
          <w:lang w:val="en-GB"/>
        </w:rPr>
      </w:pPr>
      <w:r w:rsidRPr="00BE0B02">
        <w:rPr>
          <w:lang w:val="en-GB"/>
        </w:rPr>
        <w:t>Suppl. 6: Euclidean (ED) and Mahalanobis (MD) distances of lead isotope ratios of various ore sources from Europe and the Bohemian brass objects categorised according to the cultural groups. Sources: see [2, 22, 27, 28, 35, 70, 76, 71].</w:t>
      </w:r>
    </w:p>
    <w:p w14:paraId="0F78D367" w14:textId="77777777" w:rsidR="00D11F16" w:rsidRDefault="00D11F16" w:rsidP="00D11F16">
      <w:pPr>
        <w:jc w:val="center"/>
        <w:rPr>
          <w:rFonts w:cstheme="minorHAnsi"/>
          <w:b/>
          <w:bCs/>
        </w:rPr>
      </w:pPr>
    </w:p>
    <w:p w14:paraId="2952DBA7" w14:textId="77777777" w:rsidR="00D11F16" w:rsidRDefault="00D11F16" w:rsidP="00D11F16">
      <w:pPr>
        <w:jc w:val="center"/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drawing>
          <wp:inline distT="0" distB="0" distL="0" distR="0" wp14:anchorId="7C61565B" wp14:editId="3D3ACD55">
            <wp:extent cx="3667474" cy="7301552"/>
            <wp:effectExtent l="0" t="0" r="9525" b="0"/>
            <wp:docPr id="24" name="Obráze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462" cy="7307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B7C5E9" w14:textId="77777777" w:rsidR="00D11F16" w:rsidRPr="00BE0B02" w:rsidRDefault="00D11F16" w:rsidP="00D11F16">
      <w:pPr>
        <w:rPr>
          <w:lang w:val="en-GB"/>
        </w:rPr>
      </w:pPr>
      <w:r w:rsidRPr="00BE0B02">
        <w:rPr>
          <w:lang w:val="en-GB"/>
        </w:rPr>
        <w:t>Suppl. 7: Comparison of slopes and linear models of the lead isotope systematics of possible ore sources and the Bohemian brass objects. Sources: see [2, 22, 27, 28, 35, 70, 76, 71].</w:t>
      </w:r>
    </w:p>
    <w:p w14:paraId="03EB5522" w14:textId="77777777" w:rsidR="00D11F16" w:rsidRDefault="00D11F16" w:rsidP="00D11F16">
      <w:pPr>
        <w:jc w:val="center"/>
        <w:rPr>
          <w:rFonts w:cstheme="minorHAnsi"/>
          <w:b/>
          <w:bCs/>
        </w:rPr>
      </w:pPr>
    </w:p>
    <w:p w14:paraId="762DA81B" w14:textId="77777777" w:rsidR="00D11F16" w:rsidRDefault="00D11F16" w:rsidP="00D11F16">
      <w:pPr>
        <w:jc w:val="center"/>
        <w:rPr>
          <w:rFonts w:cstheme="minorHAnsi"/>
          <w:b/>
          <w:bCs/>
        </w:rPr>
      </w:pPr>
    </w:p>
    <w:p w14:paraId="5096FAD6" w14:textId="77777777" w:rsidR="00D11F16" w:rsidRDefault="00D11F16" w:rsidP="00D11F16">
      <w:pPr>
        <w:jc w:val="center"/>
        <w:rPr>
          <w:rFonts w:cstheme="minorHAnsi"/>
          <w:b/>
          <w:bCs/>
        </w:rPr>
      </w:pPr>
    </w:p>
    <w:p w14:paraId="4B21B44A" w14:textId="77777777" w:rsidR="00D11F16" w:rsidRDefault="00D11F16" w:rsidP="00D11F16">
      <w:pPr>
        <w:jc w:val="center"/>
        <w:rPr>
          <w:rFonts w:cstheme="minorHAnsi"/>
          <w:b/>
          <w:bCs/>
        </w:rPr>
      </w:pPr>
      <w:r>
        <w:rPr>
          <w:noProof/>
        </w:rPr>
        <w:drawing>
          <wp:inline distT="0" distB="0" distL="0" distR="0" wp14:anchorId="13E3FB7E" wp14:editId="2C33BA6F">
            <wp:extent cx="5760720" cy="4530725"/>
            <wp:effectExtent l="0" t="0" r="0" b="317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3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9E0828" w14:textId="1C4E45D6" w:rsidR="00D11F16" w:rsidRPr="00BE0B02" w:rsidRDefault="00D11F16" w:rsidP="00D11F16">
      <w:pPr>
        <w:rPr>
          <w:lang w:val="en-GB"/>
        </w:rPr>
      </w:pPr>
      <w:r w:rsidRPr="00BE0B02">
        <w:rPr>
          <w:lang w:val="en-GB"/>
        </w:rPr>
        <w:t xml:space="preserve">Suppl. 8: Overview of lead isotope </w:t>
      </w:r>
      <w:r w:rsidRPr="00BE0B02">
        <w:rPr>
          <w:bCs/>
          <w:lang w:val="en-GB"/>
        </w:rPr>
        <w:t>systematics</w:t>
      </w:r>
      <w:r w:rsidRPr="00BE0B02">
        <w:rPr>
          <w:lang w:val="en-GB"/>
        </w:rPr>
        <w:t xml:space="preserve"> of various sets of artefacts from the Early Roman period and the Bohemian brass objects categorised according to cultural groups. Sources: see description in chapter 4.2 +</w:t>
      </w:r>
      <w:r w:rsidR="007E55D6">
        <w:rPr>
          <w:lang w:val="en-GB"/>
        </w:rPr>
        <w:t xml:space="preserve"> </w:t>
      </w:r>
      <w:r w:rsidRPr="00BE0B02">
        <w:rPr>
          <w:lang w:val="en-GB"/>
        </w:rPr>
        <w:t>this study.</w:t>
      </w:r>
    </w:p>
    <w:p w14:paraId="2B5EDAE9" w14:textId="77777777" w:rsidR="00503931" w:rsidRDefault="00503931"/>
    <w:sectPr w:rsidR="005039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F16"/>
    <w:rsid w:val="00190811"/>
    <w:rsid w:val="00294471"/>
    <w:rsid w:val="00503931"/>
    <w:rsid w:val="007E55D6"/>
    <w:rsid w:val="00AF244E"/>
    <w:rsid w:val="00D11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9D00B"/>
  <w15:chartTrackingRefBased/>
  <w15:docId w15:val="{15C7CFDB-E07C-4DA0-9075-01324E473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11F1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fontTable" Target="fontTable.xml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226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Bursák Daniel</dc:creator>
  <cp:keywords/>
  <dc:description/>
  <cp:lastModifiedBy>Bursák Daniel</cp:lastModifiedBy>
  <cp:revision>4</cp:revision>
  <dcterms:created xsi:type="dcterms:W3CDTF">2021-07-21T08:50:00Z</dcterms:created>
  <dcterms:modified xsi:type="dcterms:W3CDTF">2021-07-21T09:26:00Z</dcterms:modified>
</cp:coreProperties>
</file>