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C7DE" w14:textId="5E7749E2" w:rsidR="00A207E1" w:rsidRPr="00A207E1" w:rsidRDefault="00A207E1" w:rsidP="00A207E1">
      <w:pPr>
        <w:pStyle w:val="Title"/>
        <w:rPr>
          <w:lang w:val="en-US"/>
        </w:rPr>
      </w:pPr>
      <w:r w:rsidRPr="00A207E1">
        <w:rPr>
          <w:lang w:val="en-US"/>
        </w:rPr>
        <w:t>Annex</w:t>
      </w:r>
      <w:r w:rsidR="00E14B0D">
        <w:rPr>
          <w:lang w:val="en-US"/>
        </w:rPr>
        <w:t xml:space="preserve"> A</w:t>
      </w:r>
      <w:r w:rsidRPr="00A207E1">
        <w:rPr>
          <w:lang w:val="en-US"/>
        </w:rPr>
        <w:t>: Demographic Data Imputation Methodology</w:t>
      </w:r>
    </w:p>
    <w:p w14:paraId="7D4D6C43" w14:textId="3327F6D0" w:rsidR="00A207E1" w:rsidRPr="00A207E1" w:rsidRDefault="00A207E1" w:rsidP="00A207E1">
      <w:pPr>
        <w:pStyle w:val="Heading1"/>
      </w:pPr>
      <w:bookmarkStart w:id="0" w:name="_Toc200973306"/>
      <w:bookmarkStart w:id="1" w:name="_Toc200973322"/>
      <w:bookmarkStart w:id="2" w:name="introduction"/>
      <w:r w:rsidRPr="00A207E1">
        <w:t>Introduction</w:t>
      </w:r>
      <w:bookmarkEnd w:id="0"/>
      <w:bookmarkEnd w:id="1"/>
    </w:p>
    <w:p w14:paraId="1E3F450C" w14:textId="77777777" w:rsidR="00A207E1" w:rsidRPr="00A207E1" w:rsidRDefault="00A207E1" w:rsidP="00A207E1">
      <w:pPr>
        <w:rPr>
          <w:lang w:val="en-US"/>
        </w:rPr>
      </w:pPr>
      <w:r w:rsidRPr="00A207E1">
        <w:rPr>
          <w:lang w:val="en-US"/>
        </w:rPr>
        <w:t>This annex provides a detailed description of the methodology used to preprocess and impute demographic and macroeconomic data from the World Development Indicators (WDI) database for cross-country analysis of climate change-induced disaster loss and damage. The workflow ensures complete and comparable datasets across indicators and years, enabling population-normalized and PPP-adjusted economic analysis.</w:t>
      </w:r>
    </w:p>
    <w:p w14:paraId="7C4896D3" w14:textId="7A5D810C" w:rsidR="00A207E1" w:rsidRPr="00A207E1" w:rsidRDefault="00A207E1" w:rsidP="00A207E1">
      <w:pPr>
        <w:pStyle w:val="Heading1"/>
      </w:pPr>
      <w:bookmarkStart w:id="3" w:name="_Toc200973307"/>
      <w:bookmarkStart w:id="4" w:name="_Toc200973323"/>
      <w:bookmarkStart w:id="5" w:name="data-sources-and-structure"/>
      <w:bookmarkEnd w:id="2"/>
      <w:r w:rsidRPr="00A207E1">
        <w:t>Data Sources and Structure</w:t>
      </w:r>
      <w:bookmarkEnd w:id="3"/>
      <w:bookmarkEnd w:id="4"/>
    </w:p>
    <w:p w14:paraId="07CF2912" w14:textId="2490E5FA" w:rsidR="00A207E1" w:rsidRPr="00A207E1" w:rsidRDefault="00A207E1" w:rsidP="00A207E1">
      <w:pPr>
        <w:rPr>
          <w:lang w:val="en-US"/>
        </w:rPr>
      </w:pPr>
      <w:r w:rsidRPr="00A207E1">
        <w:rPr>
          <w:lang w:val="en-US"/>
        </w:rPr>
        <w:t xml:space="preserve">The raw data were obtained from the World Bank WDI dataset (WDICSV.csv), covering multiple indicators for all available countries from 1960 to 2023. Data </w:t>
      </w:r>
      <w:proofErr w:type="gramStart"/>
      <w:r w:rsidRPr="00A207E1">
        <w:rPr>
          <w:lang w:val="en-US"/>
        </w:rPr>
        <w:t>were</w:t>
      </w:r>
      <w:proofErr w:type="gramEnd"/>
      <w:r w:rsidRPr="00A207E1">
        <w:rPr>
          <w:lang w:val="en-US"/>
        </w:rPr>
        <w:t xml:space="preserve"> converted into a long-format panel</w:t>
      </w:r>
      <w:r w:rsidR="00D06480">
        <w:rPr>
          <w:lang w:val="en-US"/>
        </w:rPr>
        <w:t xml:space="preserve"> </w:t>
      </w:r>
      <w:r w:rsidRPr="00A207E1">
        <w:rPr>
          <w:lang w:val="en-US"/>
        </w:rPr>
        <w:t>with the following columns:</w:t>
      </w:r>
    </w:p>
    <w:p w14:paraId="31675A4D" w14:textId="77777777" w:rsidR="00A207E1" w:rsidRPr="00A207E1" w:rsidRDefault="00A207E1" w:rsidP="00A207E1">
      <w:pPr>
        <w:numPr>
          <w:ilvl w:val="0"/>
          <w:numId w:val="10"/>
        </w:numPr>
        <w:rPr>
          <w:lang w:val="en-US"/>
        </w:rPr>
      </w:pPr>
      <w:r w:rsidRPr="00A207E1">
        <w:rPr>
          <w:lang w:val="en-US"/>
        </w:rPr>
        <w:t>Country Name</w:t>
      </w:r>
    </w:p>
    <w:p w14:paraId="65000FBE" w14:textId="77777777" w:rsidR="00A207E1" w:rsidRPr="00A207E1" w:rsidRDefault="00A207E1" w:rsidP="00A207E1">
      <w:pPr>
        <w:numPr>
          <w:ilvl w:val="0"/>
          <w:numId w:val="10"/>
        </w:numPr>
        <w:rPr>
          <w:lang w:val="en-US"/>
        </w:rPr>
      </w:pPr>
      <w:r w:rsidRPr="00A207E1">
        <w:rPr>
          <w:lang w:val="en-US"/>
        </w:rPr>
        <w:t>Country Code</w:t>
      </w:r>
    </w:p>
    <w:p w14:paraId="4E68C8B6" w14:textId="77777777" w:rsidR="00A207E1" w:rsidRPr="00A207E1" w:rsidRDefault="00A207E1" w:rsidP="00A207E1">
      <w:pPr>
        <w:numPr>
          <w:ilvl w:val="0"/>
          <w:numId w:val="10"/>
        </w:numPr>
        <w:rPr>
          <w:lang w:val="en-US"/>
        </w:rPr>
      </w:pPr>
      <w:r w:rsidRPr="00A207E1">
        <w:rPr>
          <w:lang w:val="en-US"/>
        </w:rPr>
        <w:t>Indicator Name</w:t>
      </w:r>
    </w:p>
    <w:p w14:paraId="24E8BC0B" w14:textId="77777777" w:rsidR="00A207E1" w:rsidRPr="00A207E1" w:rsidRDefault="00A207E1" w:rsidP="00A207E1">
      <w:pPr>
        <w:numPr>
          <w:ilvl w:val="0"/>
          <w:numId w:val="10"/>
        </w:numPr>
        <w:rPr>
          <w:lang w:val="en-US"/>
        </w:rPr>
      </w:pPr>
      <w:r w:rsidRPr="00A207E1">
        <w:rPr>
          <w:lang w:val="en-US"/>
        </w:rPr>
        <w:t>Indicator Code</w:t>
      </w:r>
    </w:p>
    <w:p w14:paraId="0F82C83E" w14:textId="77777777" w:rsidR="00A207E1" w:rsidRPr="00A207E1" w:rsidRDefault="00A207E1" w:rsidP="00A207E1">
      <w:pPr>
        <w:numPr>
          <w:ilvl w:val="0"/>
          <w:numId w:val="10"/>
        </w:numPr>
        <w:rPr>
          <w:lang w:val="en-US"/>
        </w:rPr>
      </w:pPr>
      <w:r w:rsidRPr="00A207E1">
        <w:rPr>
          <w:lang w:val="en-US"/>
        </w:rPr>
        <w:t>Year</w:t>
      </w:r>
    </w:p>
    <w:p w14:paraId="2748A8A0" w14:textId="77777777" w:rsidR="00A207E1" w:rsidRPr="00A207E1" w:rsidRDefault="00A207E1" w:rsidP="00A207E1">
      <w:pPr>
        <w:numPr>
          <w:ilvl w:val="0"/>
          <w:numId w:val="10"/>
        </w:numPr>
        <w:rPr>
          <w:lang w:val="en-US"/>
        </w:rPr>
      </w:pPr>
      <w:r w:rsidRPr="00A207E1">
        <w:rPr>
          <w:lang w:val="en-US"/>
        </w:rPr>
        <w:t>Value</w:t>
      </w:r>
    </w:p>
    <w:p w14:paraId="2979BB26" w14:textId="77777777" w:rsidR="00A207E1" w:rsidRPr="00A207E1" w:rsidRDefault="00A207E1" w:rsidP="00A207E1">
      <w:pPr>
        <w:rPr>
          <w:lang w:val="en-US"/>
        </w:rPr>
      </w:pPr>
      <w:r w:rsidRPr="00A207E1">
        <w:rPr>
          <w:lang w:val="en-US"/>
        </w:rPr>
        <w:t>The analysis focused on the following indicators between 1980 and 2023:</w:t>
      </w:r>
    </w:p>
    <w:p w14:paraId="7EA2C1D0" w14:textId="5ABA6E3B" w:rsidR="00026512" w:rsidRDefault="00026512" w:rsidP="00026512">
      <w:pPr>
        <w:pStyle w:val="Caption"/>
        <w:keepNext/>
      </w:pPr>
      <w:r>
        <w:t xml:space="preserve">Table </w:t>
      </w:r>
      <w:fldSimple w:instr=" SEQ Table \* ARABIC ">
        <w:r>
          <w:rPr>
            <w:noProof/>
          </w:rPr>
          <w:t>1</w:t>
        </w:r>
      </w:fldSimple>
      <w:r>
        <w:t xml:space="preserve">: </w:t>
      </w:r>
      <w:r w:rsidRPr="00A207E1">
        <w:rPr>
          <w:lang w:val="en-US"/>
        </w:rPr>
        <w:t>Summary of demographic indicators used and corresponding imputation strategy.</w:t>
      </w:r>
    </w:p>
    <w:tbl>
      <w:tblPr>
        <w:tblW w:w="5000" w:type="pct"/>
        <w:tblLayout w:type="fixed"/>
        <w:tblLook w:val="0020" w:firstRow="1" w:lastRow="0" w:firstColumn="0" w:lastColumn="0" w:noHBand="0" w:noVBand="0"/>
      </w:tblPr>
      <w:tblGrid>
        <w:gridCol w:w="1730"/>
        <w:gridCol w:w="2432"/>
        <w:gridCol w:w="2432"/>
        <w:gridCol w:w="2432"/>
      </w:tblGrid>
      <w:tr w:rsidR="00A207E1" w:rsidRPr="00A207E1" w14:paraId="1AA183A7" w14:textId="77777777" w:rsidTr="00D06480">
        <w:trPr>
          <w:tblHeader/>
        </w:trPr>
        <w:tc>
          <w:tcPr>
            <w:tcW w:w="1730" w:type="dxa"/>
          </w:tcPr>
          <w:p w14:paraId="3E0D5D0C" w14:textId="77777777" w:rsidR="00A207E1" w:rsidRPr="00A207E1" w:rsidRDefault="00A207E1" w:rsidP="00D06480">
            <w:pPr>
              <w:spacing w:line="240" w:lineRule="auto"/>
              <w:rPr>
                <w:b/>
                <w:bCs/>
                <w:lang w:val="en-US"/>
              </w:rPr>
            </w:pPr>
            <w:r w:rsidRPr="00A207E1">
              <w:rPr>
                <w:b/>
                <w:bCs/>
                <w:lang w:val="en-US"/>
              </w:rPr>
              <w:t>Indicator Code</w:t>
            </w:r>
          </w:p>
        </w:tc>
        <w:tc>
          <w:tcPr>
            <w:tcW w:w="2432" w:type="dxa"/>
          </w:tcPr>
          <w:p w14:paraId="21B770B3" w14:textId="77777777" w:rsidR="00A207E1" w:rsidRPr="00A207E1" w:rsidRDefault="00A207E1" w:rsidP="00D06480">
            <w:pPr>
              <w:spacing w:line="240" w:lineRule="auto"/>
              <w:rPr>
                <w:b/>
                <w:bCs/>
                <w:lang w:val="en-US"/>
              </w:rPr>
            </w:pPr>
            <w:r w:rsidRPr="00A207E1">
              <w:rPr>
                <w:b/>
                <w:bCs/>
                <w:lang w:val="en-US"/>
              </w:rPr>
              <w:t>Indicator Name</w:t>
            </w:r>
          </w:p>
        </w:tc>
        <w:tc>
          <w:tcPr>
            <w:tcW w:w="2432" w:type="dxa"/>
          </w:tcPr>
          <w:p w14:paraId="156B469E" w14:textId="77777777" w:rsidR="00A207E1" w:rsidRPr="00A207E1" w:rsidRDefault="00A207E1" w:rsidP="00D06480">
            <w:pPr>
              <w:spacing w:line="240" w:lineRule="auto"/>
              <w:rPr>
                <w:b/>
                <w:bCs/>
                <w:lang w:val="en-US"/>
              </w:rPr>
            </w:pPr>
            <w:r w:rsidRPr="00A207E1">
              <w:rPr>
                <w:b/>
                <w:bCs/>
                <w:lang w:val="en-US"/>
              </w:rPr>
              <w:t>Variable Type</w:t>
            </w:r>
          </w:p>
        </w:tc>
        <w:tc>
          <w:tcPr>
            <w:tcW w:w="2432" w:type="dxa"/>
          </w:tcPr>
          <w:p w14:paraId="4F80C8BB" w14:textId="77777777" w:rsidR="00A207E1" w:rsidRPr="00A207E1" w:rsidRDefault="00A207E1" w:rsidP="00D06480">
            <w:pPr>
              <w:spacing w:line="240" w:lineRule="auto"/>
              <w:rPr>
                <w:b/>
                <w:bCs/>
                <w:lang w:val="en-US"/>
              </w:rPr>
            </w:pPr>
            <w:r w:rsidRPr="00A207E1">
              <w:rPr>
                <w:b/>
                <w:bCs/>
                <w:lang w:val="en-US"/>
              </w:rPr>
              <w:t>Imputation Strategy</w:t>
            </w:r>
          </w:p>
        </w:tc>
      </w:tr>
      <w:tr w:rsidR="00A207E1" w:rsidRPr="00A207E1" w14:paraId="253A8F54" w14:textId="77777777" w:rsidTr="00D06480">
        <w:tc>
          <w:tcPr>
            <w:tcW w:w="1730" w:type="dxa"/>
          </w:tcPr>
          <w:p w14:paraId="41446FB7" w14:textId="77777777" w:rsidR="00A207E1" w:rsidRPr="00A207E1" w:rsidRDefault="00A207E1" w:rsidP="00D06480">
            <w:pPr>
              <w:spacing w:line="240" w:lineRule="auto"/>
              <w:rPr>
                <w:lang w:val="en-US"/>
              </w:rPr>
            </w:pPr>
            <w:r w:rsidRPr="00A207E1">
              <w:rPr>
                <w:lang w:val="en-US"/>
              </w:rPr>
              <w:t>SP.POP.TOTL</w:t>
            </w:r>
          </w:p>
        </w:tc>
        <w:tc>
          <w:tcPr>
            <w:tcW w:w="2432" w:type="dxa"/>
          </w:tcPr>
          <w:p w14:paraId="797E9558" w14:textId="77777777" w:rsidR="00A207E1" w:rsidRPr="00A207E1" w:rsidRDefault="00A207E1" w:rsidP="00D06480">
            <w:pPr>
              <w:spacing w:line="240" w:lineRule="auto"/>
              <w:rPr>
                <w:lang w:val="en-US"/>
              </w:rPr>
            </w:pPr>
            <w:r w:rsidRPr="00A207E1">
              <w:rPr>
                <w:lang w:val="en-US"/>
              </w:rPr>
              <w:t>Total Population</w:t>
            </w:r>
          </w:p>
        </w:tc>
        <w:tc>
          <w:tcPr>
            <w:tcW w:w="2432" w:type="dxa"/>
          </w:tcPr>
          <w:p w14:paraId="08345752" w14:textId="77777777" w:rsidR="00A207E1" w:rsidRPr="00A207E1" w:rsidRDefault="00A207E1" w:rsidP="00D06480">
            <w:pPr>
              <w:spacing w:line="240" w:lineRule="auto"/>
              <w:rPr>
                <w:lang w:val="en-US"/>
              </w:rPr>
            </w:pPr>
            <w:r w:rsidRPr="00A207E1">
              <w:rPr>
                <w:lang w:val="en-US"/>
              </w:rPr>
              <w:t>Static</w:t>
            </w:r>
          </w:p>
        </w:tc>
        <w:tc>
          <w:tcPr>
            <w:tcW w:w="2432" w:type="dxa"/>
          </w:tcPr>
          <w:p w14:paraId="5B068C20" w14:textId="77777777" w:rsidR="00A207E1" w:rsidRPr="00A207E1" w:rsidRDefault="00A207E1" w:rsidP="00D06480">
            <w:pPr>
              <w:spacing w:line="240" w:lineRule="auto"/>
              <w:rPr>
                <w:lang w:val="en-US"/>
              </w:rPr>
            </w:pPr>
            <w:r w:rsidRPr="00A207E1">
              <w:rPr>
                <w:lang w:val="en-US"/>
              </w:rPr>
              <w:t>Linear Interpolation with Fallback Mean</w:t>
            </w:r>
          </w:p>
        </w:tc>
      </w:tr>
      <w:tr w:rsidR="00A207E1" w:rsidRPr="00A207E1" w14:paraId="53618DDD" w14:textId="77777777" w:rsidTr="00D06480">
        <w:tc>
          <w:tcPr>
            <w:tcW w:w="1730" w:type="dxa"/>
          </w:tcPr>
          <w:p w14:paraId="52994BFA" w14:textId="77777777" w:rsidR="00A207E1" w:rsidRPr="00A207E1" w:rsidRDefault="00A207E1" w:rsidP="00D06480">
            <w:pPr>
              <w:spacing w:line="240" w:lineRule="auto"/>
              <w:rPr>
                <w:lang w:val="en-US"/>
              </w:rPr>
            </w:pPr>
            <w:r w:rsidRPr="00A207E1">
              <w:rPr>
                <w:lang w:val="en-US"/>
              </w:rPr>
              <w:t>NY.GNP.MKTP.CD</w:t>
            </w:r>
          </w:p>
        </w:tc>
        <w:tc>
          <w:tcPr>
            <w:tcW w:w="2432" w:type="dxa"/>
          </w:tcPr>
          <w:p w14:paraId="5E049414" w14:textId="77BC6819" w:rsidR="00A207E1" w:rsidRPr="00A207E1" w:rsidRDefault="00A207E1" w:rsidP="00D06480">
            <w:pPr>
              <w:spacing w:line="240" w:lineRule="auto"/>
              <w:rPr>
                <w:lang w:val="en-US"/>
              </w:rPr>
            </w:pPr>
            <w:r w:rsidRPr="00A207E1">
              <w:rPr>
                <w:lang w:val="en-US"/>
              </w:rPr>
              <w:t xml:space="preserve">Gross National Income (current </w:t>
            </w:r>
            <w:r w:rsidRPr="00A207E1">
              <w:rPr>
                <w:lang w:val="en-US"/>
              </w:rPr>
              <w:lastRenderedPageBreak/>
              <w:t>US</w:t>
            </w:r>
            <m:oMath>
              <m:r>
                <m:rPr>
                  <m:sty m:val="p"/>
                </m:rPr>
                <w:rPr>
                  <w:rFonts w:ascii="Cambria Math" w:hAnsi="Cambria Math"/>
                  <w:lang w:val="en-US"/>
                </w:rPr>
                <m:t>)</m:t>
              </m:r>
              <m:d>
                <m:dPr>
                  <m:begChr m:val="|"/>
                  <m:endChr m:val="|"/>
                  <m:ctrlPr>
                    <w:rPr>
                      <w:rFonts w:ascii="Cambria Math" w:hAnsi="Cambria Math"/>
                      <w:lang w:val="en-US"/>
                    </w:rPr>
                  </m:ctrlPr>
                </m:dPr>
                <m:e>
                  <m:r>
                    <w:rPr>
                      <w:rFonts w:ascii="Cambria Math" w:hAnsi="Cambria Math"/>
                      <w:lang w:val="en-US"/>
                    </w:rPr>
                    <m:t>Dynamic</m:t>
                  </m:r>
                </m:e>
              </m:d>
              <m:r>
                <w:rPr>
                  <w:rFonts w:ascii="Cambria Math" w:hAnsi="Cambria Math"/>
                  <w:lang w:val="en-US"/>
                </w:rPr>
                <m:t>PCA</m:t>
              </m:r>
              <m:r>
                <m:rPr>
                  <m:sty m:val="p"/>
                </m:rPr>
                <w:rPr>
                  <w:rFonts w:ascii="Cambria Math" w:hAnsi="Cambria Math"/>
                  <w:lang w:val="en-US"/>
                </w:rPr>
                <m:t>+</m:t>
              </m:r>
              <m:r>
                <w:rPr>
                  <w:rFonts w:ascii="Cambria Math" w:hAnsi="Cambria Math"/>
                  <w:lang w:val="en-US"/>
                </w:rPr>
                <m:t>MICE</m:t>
              </m:r>
              <m:d>
                <m:dPr>
                  <m:ctrlPr>
                    <w:rPr>
                      <w:rFonts w:ascii="Cambria Math" w:hAnsi="Cambria Math"/>
                      <w:lang w:val="en-US"/>
                    </w:rPr>
                  </m:ctrlPr>
                </m:dPr>
                <m:e>
                  <m:r>
                    <w:rPr>
                      <w:rFonts w:ascii="Cambria Math" w:hAnsi="Cambria Math"/>
                      <w:lang w:val="en-US"/>
                    </w:rPr>
                    <m:t>bestmethodbyR</m:t>
                  </m:r>
                  <m:r>
                    <m:rPr>
                      <m:sty m:val="p"/>
                    </m:rPr>
                    <w:rPr>
                      <w:rFonts w:ascii="Cambria Math" w:hAnsi="Cambria Math"/>
                      <w:lang w:val="en-US"/>
                    </w:rPr>
                    <m:t>²</m:t>
                  </m:r>
                </m:e>
              </m:d>
              <m:d>
                <m:dPr>
                  <m:begChr m:val="|"/>
                  <m:endChr m:val="|"/>
                  <m:ctrlPr>
                    <w:rPr>
                      <w:rFonts w:ascii="Cambria Math" w:hAnsi="Cambria Math"/>
                      <w:lang w:val="en-US"/>
                    </w:rPr>
                  </m:ctrlPr>
                </m:dPr>
                <m:e/>
              </m:d>
              <m:r>
                <w:rPr>
                  <w:rFonts w:ascii="Cambria Math" w:hAnsi="Cambria Math"/>
                  <w:lang w:val="en-US"/>
                </w:rPr>
                <m:t>NY</m:t>
              </m:r>
              <m:r>
                <m:rPr>
                  <m:sty m:val="p"/>
                </m:rPr>
                <w:rPr>
                  <w:rFonts w:ascii="Cambria Math" w:hAnsi="Cambria Math"/>
                  <w:lang w:val="en-US"/>
                </w:rPr>
                <m:t>.</m:t>
              </m:r>
              <m:r>
                <w:rPr>
                  <w:rFonts w:ascii="Cambria Math" w:hAnsi="Cambria Math"/>
                  <w:lang w:val="en-US"/>
                </w:rPr>
                <m:t>GDP</m:t>
              </m:r>
              <m:r>
                <m:rPr>
                  <m:sty m:val="p"/>
                </m:rPr>
                <w:rPr>
                  <w:rFonts w:ascii="Cambria Math" w:hAnsi="Cambria Math"/>
                  <w:lang w:val="en-US"/>
                </w:rPr>
                <m:t>.</m:t>
              </m:r>
              <m:r>
                <w:rPr>
                  <w:rFonts w:ascii="Cambria Math" w:hAnsi="Cambria Math"/>
                  <w:lang w:val="en-US"/>
                </w:rPr>
                <m:t>MKTP</m:t>
              </m:r>
              <m:r>
                <m:rPr>
                  <m:sty m:val="p"/>
                </m:rPr>
                <w:rPr>
                  <w:rFonts w:ascii="Cambria Math" w:hAnsi="Cambria Math"/>
                  <w:lang w:val="en-US"/>
                </w:rPr>
                <m:t>.</m:t>
              </m:r>
              <m:r>
                <w:rPr>
                  <w:rFonts w:ascii="Cambria Math" w:hAnsi="Cambria Math"/>
                  <w:lang w:val="en-US"/>
                </w:rPr>
                <m:t>CD</m:t>
              </m:r>
              <m:r>
                <m:rPr>
                  <m:sty m:val="p"/>
                </m:rPr>
                <w:rPr>
                  <w:rFonts w:ascii="Cambria Math" w:hAnsi="Cambria Math"/>
                  <w:lang w:val="en-US"/>
                </w:rPr>
                <m:t>|</m:t>
              </m:r>
              <m:r>
                <w:rPr>
                  <w:rFonts w:ascii="Cambria Math" w:hAnsi="Cambria Math"/>
                  <w:lang w:val="en-US"/>
                </w:rPr>
                <m:t>GrossDomesticProduct</m:t>
              </m:r>
              <m:r>
                <m:rPr>
                  <m:sty m:val="p"/>
                </m:rPr>
                <w:rPr>
                  <w:rFonts w:ascii="Cambria Math" w:hAnsi="Cambria Math"/>
                  <w:lang w:val="en-US"/>
                </w:rPr>
                <m:t>(</m:t>
              </m:r>
              <m:r>
                <w:rPr>
                  <w:rFonts w:ascii="Cambria Math" w:hAnsi="Cambria Math"/>
                  <w:lang w:val="en-US"/>
                </w:rPr>
                <m:t>currentUS</m:t>
              </m:r>
            </m:oMath>
            <w:r w:rsidRPr="00A207E1">
              <w:rPr>
                <w:lang w:val="en-US"/>
              </w:rPr>
              <w:t>)</w:t>
            </w:r>
          </w:p>
        </w:tc>
        <w:tc>
          <w:tcPr>
            <w:tcW w:w="2432" w:type="dxa"/>
          </w:tcPr>
          <w:p w14:paraId="70B1B06F" w14:textId="77777777" w:rsidR="00A207E1" w:rsidRPr="00A207E1" w:rsidRDefault="00A207E1" w:rsidP="00D06480">
            <w:pPr>
              <w:spacing w:line="240" w:lineRule="auto"/>
              <w:rPr>
                <w:lang w:val="en-US"/>
              </w:rPr>
            </w:pPr>
            <w:r w:rsidRPr="00A207E1">
              <w:rPr>
                <w:lang w:val="en-US"/>
              </w:rPr>
              <w:lastRenderedPageBreak/>
              <w:t>Dynamic</w:t>
            </w:r>
          </w:p>
        </w:tc>
        <w:tc>
          <w:tcPr>
            <w:tcW w:w="2432" w:type="dxa"/>
          </w:tcPr>
          <w:p w14:paraId="6BCA851D" w14:textId="77777777" w:rsidR="00A207E1" w:rsidRPr="00A207E1" w:rsidRDefault="00A207E1" w:rsidP="00D06480">
            <w:pPr>
              <w:spacing w:line="240" w:lineRule="auto"/>
              <w:rPr>
                <w:lang w:val="en-US"/>
              </w:rPr>
            </w:pPr>
            <w:r w:rsidRPr="00A207E1">
              <w:rPr>
                <w:lang w:val="en-US"/>
              </w:rPr>
              <w:t>PCA + MICE (best method by R²)</w:t>
            </w:r>
          </w:p>
        </w:tc>
      </w:tr>
      <w:tr w:rsidR="00A207E1" w:rsidRPr="00A207E1" w14:paraId="74ED6305" w14:textId="77777777" w:rsidTr="00D06480">
        <w:tc>
          <w:tcPr>
            <w:tcW w:w="1730" w:type="dxa"/>
          </w:tcPr>
          <w:p w14:paraId="608C3984" w14:textId="77777777" w:rsidR="00A207E1" w:rsidRPr="00A207E1" w:rsidRDefault="00A207E1" w:rsidP="00D06480">
            <w:pPr>
              <w:spacing w:line="240" w:lineRule="auto"/>
              <w:rPr>
                <w:lang w:val="en-US"/>
              </w:rPr>
            </w:pPr>
            <w:proofErr w:type="gramStart"/>
            <w:r w:rsidRPr="00A207E1">
              <w:rPr>
                <w:lang w:val="en-US"/>
              </w:rPr>
              <w:t>AG.LND.TOTL.K2</w:t>
            </w:r>
            <w:proofErr w:type="gramEnd"/>
          </w:p>
        </w:tc>
        <w:tc>
          <w:tcPr>
            <w:tcW w:w="2432" w:type="dxa"/>
          </w:tcPr>
          <w:p w14:paraId="7E875BCF" w14:textId="77777777" w:rsidR="00A207E1" w:rsidRPr="00A207E1" w:rsidRDefault="00A207E1" w:rsidP="00D06480">
            <w:pPr>
              <w:spacing w:line="240" w:lineRule="auto"/>
              <w:rPr>
                <w:lang w:val="en-US"/>
              </w:rPr>
            </w:pPr>
            <w:r w:rsidRPr="00A207E1">
              <w:rPr>
                <w:lang w:val="en-US"/>
              </w:rPr>
              <w:t>Land Area (sq. km)</w:t>
            </w:r>
          </w:p>
        </w:tc>
        <w:tc>
          <w:tcPr>
            <w:tcW w:w="2432" w:type="dxa"/>
          </w:tcPr>
          <w:p w14:paraId="29DA12C1" w14:textId="77777777" w:rsidR="00A207E1" w:rsidRPr="00A207E1" w:rsidRDefault="00A207E1" w:rsidP="00D06480">
            <w:pPr>
              <w:spacing w:line="240" w:lineRule="auto"/>
              <w:rPr>
                <w:lang w:val="en-US"/>
              </w:rPr>
            </w:pPr>
            <w:r w:rsidRPr="00A207E1">
              <w:rPr>
                <w:lang w:val="en-US"/>
              </w:rPr>
              <w:t>Static</w:t>
            </w:r>
          </w:p>
        </w:tc>
        <w:tc>
          <w:tcPr>
            <w:tcW w:w="2432" w:type="dxa"/>
          </w:tcPr>
          <w:p w14:paraId="2E0E4803" w14:textId="77777777" w:rsidR="00A207E1" w:rsidRPr="00A207E1" w:rsidRDefault="00A207E1" w:rsidP="00D06480">
            <w:pPr>
              <w:spacing w:line="240" w:lineRule="auto"/>
              <w:rPr>
                <w:lang w:val="en-US"/>
              </w:rPr>
            </w:pPr>
            <w:r w:rsidRPr="00A207E1">
              <w:rPr>
                <w:lang w:val="en-US"/>
              </w:rPr>
              <w:t>LOCF with Fallback Mean</w:t>
            </w:r>
          </w:p>
        </w:tc>
      </w:tr>
      <w:tr w:rsidR="00A207E1" w:rsidRPr="00A207E1" w14:paraId="52A7D6E7" w14:textId="77777777" w:rsidTr="00D06480">
        <w:tc>
          <w:tcPr>
            <w:tcW w:w="1730" w:type="dxa"/>
          </w:tcPr>
          <w:p w14:paraId="51FC9F0A" w14:textId="77777777" w:rsidR="00A207E1" w:rsidRPr="00A207E1" w:rsidRDefault="00A207E1" w:rsidP="00D06480">
            <w:pPr>
              <w:spacing w:line="240" w:lineRule="auto"/>
              <w:rPr>
                <w:lang w:val="en-US"/>
              </w:rPr>
            </w:pPr>
            <w:r w:rsidRPr="00A207E1">
              <w:rPr>
                <w:lang w:val="en-US"/>
              </w:rPr>
              <w:t>PA.NUS.PPP</w:t>
            </w:r>
          </w:p>
        </w:tc>
        <w:tc>
          <w:tcPr>
            <w:tcW w:w="2432" w:type="dxa"/>
          </w:tcPr>
          <w:p w14:paraId="636E35F2" w14:textId="77777777" w:rsidR="00A207E1" w:rsidRPr="00A207E1" w:rsidRDefault="00A207E1" w:rsidP="00D06480">
            <w:pPr>
              <w:spacing w:line="240" w:lineRule="auto"/>
              <w:rPr>
                <w:lang w:val="en-US"/>
              </w:rPr>
            </w:pPr>
            <w:r w:rsidRPr="00A207E1">
              <w:rPr>
                <w:lang w:val="en-US"/>
              </w:rPr>
              <w:t>PPP Conversion Factor</w:t>
            </w:r>
          </w:p>
        </w:tc>
        <w:tc>
          <w:tcPr>
            <w:tcW w:w="2432" w:type="dxa"/>
          </w:tcPr>
          <w:p w14:paraId="161873A9" w14:textId="77777777" w:rsidR="00A207E1" w:rsidRPr="00A207E1" w:rsidRDefault="00A207E1" w:rsidP="00D06480">
            <w:pPr>
              <w:spacing w:line="240" w:lineRule="auto"/>
              <w:rPr>
                <w:lang w:val="en-US"/>
              </w:rPr>
            </w:pPr>
            <w:r w:rsidRPr="00A207E1">
              <w:rPr>
                <w:lang w:val="en-US"/>
              </w:rPr>
              <w:t>PPP/FX</w:t>
            </w:r>
          </w:p>
        </w:tc>
        <w:tc>
          <w:tcPr>
            <w:tcW w:w="2432" w:type="dxa"/>
          </w:tcPr>
          <w:p w14:paraId="4319DFB4" w14:textId="77777777" w:rsidR="00A207E1" w:rsidRPr="00A207E1" w:rsidRDefault="00A207E1" w:rsidP="00D06480">
            <w:pPr>
              <w:spacing w:line="240" w:lineRule="auto"/>
              <w:rPr>
                <w:lang w:val="en-US"/>
              </w:rPr>
            </w:pPr>
            <w:r w:rsidRPr="00A207E1">
              <w:rPr>
                <w:lang w:val="en-US"/>
              </w:rPr>
              <w:t>2023-only: Direct/LOCF/Spline/Fixed</w:t>
            </w:r>
          </w:p>
        </w:tc>
      </w:tr>
      <w:tr w:rsidR="00A207E1" w:rsidRPr="00A207E1" w14:paraId="46C30EC7" w14:textId="77777777" w:rsidTr="00D06480">
        <w:tc>
          <w:tcPr>
            <w:tcW w:w="1730" w:type="dxa"/>
          </w:tcPr>
          <w:p w14:paraId="0BEC45F2" w14:textId="77777777" w:rsidR="00A207E1" w:rsidRPr="00A207E1" w:rsidRDefault="00A207E1" w:rsidP="00D06480">
            <w:pPr>
              <w:spacing w:line="240" w:lineRule="auto"/>
              <w:rPr>
                <w:lang w:val="en-US"/>
              </w:rPr>
            </w:pPr>
            <w:r w:rsidRPr="00A207E1">
              <w:rPr>
                <w:lang w:val="en-US"/>
              </w:rPr>
              <w:t>PA.NUS.FCRF</w:t>
            </w:r>
          </w:p>
        </w:tc>
        <w:tc>
          <w:tcPr>
            <w:tcW w:w="2432" w:type="dxa"/>
          </w:tcPr>
          <w:p w14:paraId="02440938" w14:textId="77777777" w:rsidR="00A207E1" w:rsidRPr="00A207E1" w:rsidRDefault="00A207E1" w:rsidP="00D06480">
            <w:pPr>
              <w:spacing w:line="240" w:lineRule="auto"/>
              <w:rPr>
                <w:lang w:val="en-US"/>
              </w:rPr>
            </w:pPr>
            <w:r w:rsidRPr="00A207E1">
              <w:rPr>
                <w:lang w:val="en-US"/>
              </w:rPr>
              <w:t>Official Exchange Rate (LCU per US$)</w:t>
            </w:r>
          </w:p>
        </w:tc>
        <w:tc>
          <w:tcPr>
            <w:tcW w:w="2432" w:type="dxa"/>
          </w:tcPr>
          <w:p w14:paraId="07225495" w14:textId="77777777" w:rsidR="00A207E1" w:rsidRPr="00A207E1" w:rsidRDefault="00A207E1" w:rsidP="00D06480">
            <w:pPr>
              <w:spacing w:line="240" w:lineRule="auto"/>
              <w:rPr>
                <w:lang w:val="en-US"/>
              </w:rPr>
            </w:pPr>
            <w:r w:rsidRPr="00A207E1">
              <w:rPr>
                <w:lang w:val="en-US"/>
              </w:rPr>
              <w:t>PPP/FX</w:t>
            </w:r>
          </w:p>
        </w:tc>
        <w:tc>
          <w:tcPr>
            <w:tcW w:w="2432" w:type="dxa"/>
          </w:tcPr>
          <w:p w14:paraId="4B138430" w14:textId="77777777" w:rsidR="00A207E1" w:rsidRPr="00A207E1" w:rsidRDefault="00A207E1" w:rsidP="00D06480">
            <w:pPr>
              <w:spacing w:line="240" w:lineRule="auto"/>
              <w:rPr>
                <w:lang w:val="en-US"/>
              </w:rPr>
            </w:pPr>
            <w:r w:rsidRPr="00A207E1">
              <w:rPr>
                <w:lang w:val="en-US"/>
              </w:rPr>
              <w:t>2023-only: Direct/LOCF/Spline/Fixed</w:t>
            </w:r>
          </w:p>
        </w:tc>
      </w:tr>
    </w:tbl>
    <w:p w14:paraId="518524CC" w14:textId="31065702" w:rsidR="00A207E1" w:rsidRPr="00A207E1" w:rsidRDefault="00A207E1" w:rsidP="00026512">
      <w:pPr>
        <w:pStyle w:val="Heading1"/>
      </w:pPr>
      <w:bookmarkStart w:id="6" w:name="_Toc200973308"/>
      <w:bookmarkStart w:id="7" w:name="_Toc200973324"/>
      <w:bookmarkStart w:id="8" w:name="imputation-workflow"/>
      <w:bookmarkEnd w:id="5"/>
      <w:r w:rsidRPr="00A207E1">
        <w:t>Imputation Workflow</w:t>
      </w:r>
      <w:bookmarkEnd w:id="6"/>
      <w:bookmarkEnd w:id="7"/>
    </w:p>
    <w:p w14:paraId="7BE19839" w14:textId="6F030035" w:rsidR="00A207E1" w:rsidRPr="00A207E1" w:rsidRDefault="00A207E1" w:rsidP="00026512">
      <w:pPr>
        <w:pStyle w:val="Heading2"/>
        <w:rPr>
          <w:lang w:val="en-US"/>
        </w:rPr>
      </w:pPr>
      <w:bookmarkStart w:id="9" w:name="_Toc200973309"/>
      <w:bookmarkStart w:id="10" w:name="_Toc200973325"/>
      <w:bookmarkStart w:id="11" w:name="static-variables"/>
      <w:r w:rsidRPr="00A207E1">
        <w:rPr>
          <w:lang w:val="en-US"/>
        </w:rPr>
        <w:t>Static Variables</w:t>
      </w:r>
      <w:bookmarkEnd w:id="9"/>
      <w:bookmarkEnd w:id="10"/>
    </w:p>
    <w:p w14:paraId="1899B50D" w14:textId="77777777" w:rsidR="00A207E1" w:rsidRPr="00A207E1" w:rsidRDefault="00A207E1" w:rsidP="00A207E1">
      <w:pPr>
        <w:rPr>
          <w:lang w:val="en-US"/>
        </w:rPr>
      </w:pPr>
      <w:proofErr w:type="gramStart"/>
      <w:r w:rsidRPr="00A207E1">
        <w:rPr>
          <w:lang w:val="en-US"/>
        </w:rPr>
        <w:t>Land</w:t>
      </w:r>
      <w:proofErr w:type="gramEnd"/>
      <w:r w:rsidRPr="00A207E1">
        <w:rPr>
          <w:lang w:val="en-US"/>
        </w:rPr>
        <w:t xml:space="preserve"> area (</w:t>
      </w:r>
      <w:proofErr w:type="gramStart"/>
      <w:r w:rsidRPr="00A207E1">
        <w:rPr>
          <w:lang w:val="en-US"/>
        </w:rPr>
        <w:t>AG.LND.TOTL.K2</w:t>
      </w:r>
      <w:proofErr w:type="gramEnd"/>
      <w:r w:rsidRPr="00A207E1">
        <w:rPr>
          <w:lang w:val="en-US"/>
        </w:rPr>
        <w:t xml:space="preserve">) and total population (SP.POP.TOTL) were treated as static or slowly varying indicators. Missing values were imputed using LOCF (for land area) and linear interpolation (for population). Where </w:t>
      </w:r>
      <w:proofErr w:type="gramStart"/>
      <w:r w:rsidRPr="00A207E1">
        <w:rPr>
          <w:lang w:val="en-US"/>
        </w:rPr>
        <w:t>entire</w:t>
      </w:r>
      <w:proofErr w:type="gramEnd"/>
      <w:r w:rsidRPr="00A207E1">
        <w:rPr>
          <w:lang w:val="en-US"/>
        </w:rPr>
        <w:t xml:space="preserve"> time series were missing, global means were used as fallback estimates.</w:t>
      </w:r>
    </w:p>
    <w:p w14:paraId="5BC36E64" w14:textId="0D0226EB" w:rsidR="00A207E1" w:rsidRPr="00A207E1" w:rsidRDefault="00A207E1" w:rsidP="00026512">
      <w:pPr>
        <w:pStyle w:val="Heading2"/>
        <w:rPr>
          <w:lang w:val="en-US"/>
        </w:rPr>
      </w:pPr>
      <w:bookmarkStart w:id="12" w:name="_Toc200973310"/>
      <w:bookmarkStart w:id="13" w:name="_Toc200973326"/>
      <w:bookmarkStart w:id="14" w:name="dynamic-variables"/>
      <w:bookmarkEnd w:id="11"/>
      <w:r w:rsidRPr="00A207E1">
        <w:rPr>
          <w:lang w:val="en-US"/>
        </w:rPr>
        <w:t>Dynamic Variables</w:t>
      </w:r>
      <w:bookmarkEnd w:id="12"/>
      <w:bookmarkEnd w:id="13"/>
    </w:p>
    <w:p w14:paraId="736ED4C8" w14:textId="77777777" w:rsidR="00A207E1" w:rsidRPr="00A207E1" w:rsidRDefault="00A207E1" w:rsidP="00A207E1">
      <w:pPr>
        <w:rPr>
          <w:lang w:val="en-US"/>
        </w:rPr>
      </w:pPr>
      <w:r w:rsidRPr="00A207E1">
        <w:rPr>
          <w:lang w:val="en-US"/>
        </w:rPr>
        <w:t>Dynamic macroeconomic indicators (GDP and GNI) were imputed using a country-level, PCA-assisted multiple imputation procedure:</w:t>
      </w:r>
    </w:p>
    <w:p w14:paraId="1A3A96A2" w14:textId="77777777" w:rsidR="00026512" w:rsidRDefault="00A207E1" w:rsidP="00A207E1">
      <w:pPr>
        <w:numPr>
          <w:ilvl w:val="0"/>
          <w:numId w:val="10"/>
        </w:numPr>
        <w:rPr>
          <w:lang w:val="en-US"/>
        </w:rPr>
      </w:pPr>
      <w:r w:rsidRPr="00A207E1">
        <w:rPr>
          <w:b/>
          <w:bCs/>
          <w:lang w:val="en-US"/>
        </w:rPr>
        <w:t>Filtering</w:t>
      </w:r>
      <w:r w:rsidRPr="00A207E1">
        <w:rPr>
          <w:lang w:val="en-US"/>
        </w:rPr>
        <w:t>: Countries with at least 10 observed values were selected.</w:t>
      </w:r>
    </w:p>
    <w:p w14:paraId="2E203250" w14:textId="77777777" w:rsidR="00026512" w:rsidRDefault="00A207E1" w:rsidP="00A207E1">
      <w:pPr>
        <w:numPr>
          <w:ilvl w:val="0"/>
          <w:numId w:val="10"/>
        </w:numPr>
        <w:rPr>
          <w:lang w:val="en-US"/>
        </w:rPr>
      </w:pPr>
      <w:r w:rsidRPr="00A207E1">
        <w:rPr>
          <w:b/>
          <w:bCs/>
          <w:lang w:val="en-US"/>
        </w:rPr>
        <w:t>Predictor Selection</w:t>
      </w:r>
      <w:r w:rsidRPr="00A207E1">
        <w:rPr>
          <w:lang w:val="en-US"/>
        </w:rPr>
        <w:t>: Variables with ≥40% non-missing values and sufficient variance were retained.</w:t>
      </w:r>
    </w:p>
    <w:p w14:paraId="6D94B7B4" w14:textId="2436F152" w:rsidR="00A207E1" w:rsidRDefault="00A207E1" w:rsidP="00A207E1">
      <w:pPr>
        <w:numPr>
          <w:ilvl w:val="0"/>
          <w:numId w:val="10"/>
        </w:numPr>
        <w:rPr>
          <w:lang w:val="en-US"/>
        </w:rPr>
      </w:pPr>
      <w:r w:rsidRPr="00A207E1">
        <w:rPr>
          <w:b/>
          <w:bCs/>
          <w:lang w:val="en-US"/>
        </w:rPr>
        <w:t>PCA Reduction</w:t>
      </w:r>
      <w:r w:rsidRPr="00A207E1">
        <w:rPr>
          <w:lang w:val="en-US"/>
        </w:rPr>
        <w:t>: Principal Component Analysis was used to reduce dimensionality and address multicollinearity.</w:t>
      </w:r>
    </w:p>
    <w:p w14:paraId="0DBD5D9E" w14:textId="77777777" w:rsidR="00D06480" w:rsidRDefault="00A207E1" w:rsidP="00A207E1">
      <w:pPr>
        <w:numPr>
          <w:ilvl w:val="0"/>
          <w:numId w:val="10"/>
        </w:numPr>
        <w:rPr>
          <w:lang w:val="en-US"/>
        </w:rPr>
      </w:pPr>
      <w:r w:rsidRPr="00A207E1">
        <w:rPr>
          <w:b/>
          <w:bCs/>
          <w:lang w:val="en-US"/>
        </w:rPr>
        <w:t>Holdout Validation</w:t>
      </w:r>
      <w:r w:rsidRPr="00A207E1">
        <w:rPr>
          <w:lang w:val="en-US"/>
        </w:rPr>
        <w:t xml:space="preserve">: Ten observed values were masked and imputed using four methods: </w:t>
      </w:r>
      <w:proofErr w:type="spellStart"/>
      <w:r w:rsidRPr="00A207E1">
        <w:rPr>
          <w:lang w:val="en-US"/>
        </w:rPr>
        <w:t>pmm</w:t>
      </w:r>
      <w:proofErr w:type="spellEnd"/>
      <w:r w:rsidRPr="00A207E1">
        <w:rPr>
          <w:lang w:val="en-US"/>
        </w:rPr>
        <w:t>, cart, rf, norm.</w:t>
      </w:r>
    </w:p>
    <w:p w14:paraId="1B4164AE" w14:textId="77777777" w:rsidR="00D06480" w:rsidRDefault="00A207E1" w:rsidP="00A207E1">
      <w:pPr>
        <w:numPr>
          <w:ilvl w:val="0"/>
          <w:numId w:val="10"/>
        </w:numPr>
        <w:rPr>
          <w:lang w:val="en-US"/>
        </w:rPr>
      </w:pPr>
      <w:r w:rsidRPr="00A207E1">
        <w:rPr>
          <w:b/>
          <w:bCs/>
          <w:lang w:val="en-US"/>
        </w:rPr>
        <w:t>Method Selection</w:t>
      </w:r>
      <w:r w:rsidRPr="00A207E1">
        <w:rPr>
          <w:lang w:val="en-US"/>
        </w:rPr>
        <w:t>: The method with the highest R² score was chosen for final imputation.</w:t>
      </w:r>
    </w:p>
    <w:p w14:paraId="1067AB9E" w14:textId="7E72F581" w:rsidR="00A207E1" w:rsidRPr="00A207E1" w:rsidRDefault="00A207E1" w:rsidP="00A207E1">
      <w:pPr>
        <w:numPr>
          <w:ilvl w:val="0"/>
          <w:numId w:val="10"/>
        </w:numPr>
        <w:rPr>
          <w:lang w:val="en-US"/>
        </w:rPr>
      </w:pPr>
      <w:r w:rsidRPr="00A207E1">
        <w:rPr>
          <w:b/>
          <w:bCs/>
          <w:lang w:val="en-US"/>
        </w:rPr>
        <w:lastRenderedPageBreak/>
        <w:t>Re-scaling</w:t>
      </w:r>
      <w:r w:rsidRPr="00A207E1">
        <w:rPr>
          <w:lang w:val="en-US"/>
        </w:rPr>
        <w:t>: Log-transformed imputations were back-transformed with expm1 and constrained to non-negative values.</w:t>
      </w:r>
    </w:p>
    <w:p w14:paraId="742F9454" w14:textId="12823DE3" w:rsidR="00A207E1" w:rsidRPr="00A207E1" w:rsidRDefault="00A207E1" w:rsidP="00D06480">
      <w:pPr>
        <w:pStyle w:val="Heading2"/>
        <w:rPr>
          <w:lang w:val="en-US"/>
        </w:rPr>
      </w:pPr>
      <w:bookmarkStart w:id="15" w:name="_Toc200973311"/>
      <w:bookmarkStart w:id="16" w:name="_Toc200973327"/>
      <w:bookmarkStart w:id="17" w:name="ppp-and-exchange-rate-2023-only"/>
      <w:bookmarkEnd w:id="14"/>
      <w:r w:rsidRPr="00A207E1">
        <w:rPr>
          <w:lang w:val="en-US"/>
        </w:rPr>
        <w:t>PPP and Exchange Rate (2023 Only)</w:t>
      </w:r>
      <w:bookmarkEnd w:id="15"/>
      <w:bookmarkEnd w:id="16"/>
    </w:p>
    <w:p w14:paraId="605A42BD" w14:textId="77777777" w:rsidR="00A207E1" w:rsidRPr="00A207E1" w:rsidRDefault="00A207E1" w:rsidP="00A207E1">
      <w:pPr>
        <w:rPr>
          <w:lang w:val="en-US"/>
        </w:rPr>
      </w:pPr>
      <w:r w:rsidRPr="00A207E1">
        <w:rPr>
          <w:lang w:val="en-US"/>
        </w:rPr>
        <w:t>PPP (PA.NUS.PPP) and FX (PA.NUS.FCRF) variables were treated as single-year (2023) requirements for economic normalization. A tiered strategy was adopted:</w:t>
      </w:r>
    </w:p>
    <w:p w14:paraId="01BF3FFB" w14:textId="298CFAA5" w:rsidR="00A207E1" w:rsidRPr="00A207E1" w:rsidRDefault="00A207E1" w:rsidP="00A207E1">
      <w:pPr>
        <w:numPr>
          <w:ilvl w:val="0"/>
          <w:numId w:val="10"/>
        </w:numPr>
        <w:rPr>
          <w:lang w:val="en-US"/>
        </w:rPr>
      </w:pPr>
      <w:r w:rsidRPr="00A207E1">
        <w:rPr>
          <w:b/>
          <w:bCs/>
          <w:lang w:val="en-US"/>
        </w:rPr>
        <w:t>Direct Use</w:t>
      </w:r>
      <w:r w:rsidRPr="00A207E1">
        <w:rPr>
          <w:lang w:val="en-US"/>
        </w:rPr>
        <w:t>: Use 2023 value if valid.</w:t>
      </w:r>
    </w:p>
    <w:p w14:paraId="21062234" w14:textId="207842DE" w:rsidR="00A207E1" w:rsidRPr="00A207E1" w:rsidRDefault="00A207E1" w:rsidP="00A207E1">
      <w:pPr>
        <w:numPr>
          <w:ilvl w:val="0"/>
          <w:numId w:val="10"/>
        </w:numPr>
        <w:rPr>
          <w:lang w:val="en-US"/>
        </w:rPr>
      </w:pPr>
      <w:r w:rsidRPr="00A207E1">
        <w:rPr>
          <w:b/>
          <w:bCs/>
          <w:lang w:val="en-US"/>
        </w:rPr>
        <w:t>LOCF</w:t>
      </w:r>
      <w:r w:rsidRPr="00A207E1">
        <w:rPr>
          <w:lang w:val="en-US"/>
        </w:rPr>
        <w:t xml:space="preserve">: Use 2022 value if 2023 </w:t>
      </w:r>
      <w:proofErr w:type="gramStart"/>
      <w:r w:rsidRPr="00A207E1">
        <w:rPr>
          <w:lang w:val="en-US"/>
        </w:rPr>
        <w:t>missing</w:t>
      </w:r>
      <w:proofErr w:type="gramEnd"/>
      <w:r w:rsidRPr="00A207E1">
        <w:rPr>
          <w:lang w:val="en-US"/>
        </w:rPr>
        <w:t>.</w:t>
      </w:r>
    </w:p>
    <w:p w14:paraId="035AEA35" w14:textId="40A9F798" w:rsidR="00A207E1" w:rsidRPr="00A207E1" w:rsidRDefault="00A207E1" w:rsidP="00A207E1">
      <w:pPr>
        <w:numPr>
          <w:ilvl w:val="0"/>
          <w:numId w:val="10"/>
        </w:numPr>
        <w:rPr>
          <w:lang w:val="en-US"/>
        </w:rPr>
      </w:pPr>
      <w:r w:rsidRPr="00A207E1">
        <w:rPr>
          <w:b/>
          <w:bCs/>
          <w:lang w:val="en-US"/>
        </w:rPr>
        <w:t>Spline Interpolation</w:t>
      </w:r>
      <w:r w:rsidRPr="00A207E1">
        <w:rPr>
          <w:lang w:val="en-US"/>
        </w:rPr>
        <w:t>: Use multi-year spline if available.</w:t>
      </w:r>
    </w:p>
    <w:p w14:paraId="51D7980B" w14:textId="538C5DDB" w:rsidR="00A207E1" w:rsidRPr="00A207E1" w:rsidRDefault="00A207E1" w:rsidP="00A207E1">
      <w:pPr>
        <w:numPr>
          <w:ilvl w:val="0"/>
          <w:numId w:val="10"/>
        </w:numPr>
        <w:rPr>
          <w:lang w:val="en-US"/>
        </w:rPr>
      </w:pPr>
      <w:r w:rsidRPr="00A207E1">
        <w:rPr>
          <w:b/>
          <w:bCs/>
          <w:lang w:val="en-US"/>
        </w:rPr>
        <w:t>LOCF Fallback</w:t>
      </w:r>
      <w:r w:rsidRPr="00A207E1">
        <w:rPr>
          <w:lang w:val="en-US"/>
        </w:rPr>
        <w:t>: Use last valid historical value.</w:t>
      </w:r>
    </w:p>
    <w:p w14:paraId="56F0BEF4" w14:textId="77777777" w:rsidR="00A207E1" w:rsidRPr="00A207E1" w:rsidRDefault="00A207E1" w:rsidP="00A207E1">
      <w:pPr>
        <w:numPr>
          <w:ilvl w:val="0"/>
          <w:numId w:val="10"/>
        </w:numPr>
        <w:rPr>
          <w:lang w:val="en-US"/>
        </w:rPr>
      </w:pPr>
      <w:r w:rsidRPr="00A207E1">
        <w:rPr>
          <w:b/>
          <w:bCs/>
          <w:lang w:val="en-US"/>
        </w:rPr>
        <w:t>USD Fixed Override</w:t>
      </w:r>
      <w:r w:rsidRPr="00A207E1">
        <w:rPr>
          <w:lang w:val="en-US"/>
        </w:rPr>
        <w:t>: Countries using USD were fixed at value = 1.0.</w:t>
      </w:r>
    </w:p>
    <w:p w14:paraId="6CDA7220" w14:textId="58EC5D76" w:rsidR="00A207E1" w:rsidRPr="00A207E1" w:rsidRDefault="00A207E1" w:rsidP="00D06480">
      <w:pPr>
        <w:pStyle w:val="Heading1"/>
      </w:pPr>
      <w:bookmarkStart w:id="18" w:name="_Toc200973312"/>
      <w:bookmarkStart w:id="19" w:name="_Toc200973328"/>
      <w:bookmarkStart w:id="20" w:name="pareto-chart-of-missing-values"/>
      <w:bookmarkEnd w:id="8"/>
      <w:bookmarkEnd w:id="17"/>
      <w:r w:rsidRPr="00A207E1">
        <w:t>Missing Value</w:t>
      </w:r>
      <w:bookmarkEnd w:id="18"/>
      <w:bookmarkEnd w:id="19"/>
      <w:r w:rsidR="00417B77">
        <w:t xml:space="preserve"> Imputation</w:t>
      </w:r>
    </w:p>
    <w:p w14:paraId="5BA75B26" w14:textId="594EB1FD" w:rsidR="00801853" w:rsidRPr="00A207E1" w:rsidRDefault="00A207E1" w:rsidP="00801853">
      <w:pPr>
        <w:rPr>
          <w:lang w:val="en-US"/>
        </w:rPr>
      </w:pPr>
      <w:r w:rsidRPr="00A207E1">
        <w:rPr>
          <w:lang w:val="en-US"/>
        </w:rPr>
        <w:t>Extent of missing values was assessed prior to imputation. The Pareto chart below shows the number of missing entries by indicator, sorted in descending order and accompanied by the cumulative proportion.</w:t>
      </w:r>
      <w:r w:rsidR="00801853" w:rsidRPr="00801853">
        <w:rPr>
          <w:lang w:val="en-US"/>
        </w:rPr>
        <w:t xml:space="preserve"> </w:t>
      </w:r>
      <w:r w:rsidR="00801853" w:rsidRPr="00A207E1">
        <w:rPr>
          <w:lang w:val="en-US"/>
        </w:rPr>
        <w:t>To validate the accuracy of the imputation strategy for GDP and GNI, we conducted a holdout-based evaluation of four widely used imputation methods—predictive mean matching (</w:t>
      </w:r>
      <w:proofErr w:type="spellStart"/>
      <w:r w:rsidR="00801853" w:rsidRPr="00A207E1">
        <w:rPr>
          <w:lang w:val="en-US"/>
        </w:rPr>
        <w:t>pmm</w:t>
      </w:r>
      <w:proofErr w:type="spellEnd"/>
      <w:r w:rsidR="00801853" w:rsidRPr="00A207E1">
        <w:rPr>
          <w:lang w:val="en-US"/>
        </w:rPr>
        <w:t>), classification and regression trees (cart), random forest (rf), and Bayesian normal regression (norm). For each country with sufficient data, ten observed values were randomly masked and imputed, and the R² score was computed between imputed and actual values.</w:t>
      </w:r>
    </w:p>
    <w:p w14:paraId="3E60AD9A" w14:textId="77777777" w:rsidR="00801853" w:rsidRPr="00A207E1" w:rsidRDefault="00801853" w:rsidP="00801853">
      <w:pPr>
        <w:rPr>
          <w:lang w:val="en-US"/>
        </w:rPr>
      </w:pPr>
      <w:r w:rsidRPr="00A207E1">
        <w:rPr>
          <w:lang w:val="en-US"/>
        </w:rPr>
        <w:t>The boxplots show that random forest (rf) and predictive mean matching (</w:t>
      </w:r>
      <w:proofErr w:type="spellStart"/>
      <w:r w:rsidRPr="00A207E1">
        <w:rPr>
          <w:lang w:val="en-US"/>
        </w:rPr>
        <w:t>pmm</w:t>
      </w:r>
      <w:proofErr w:type="spellEnd"/>
      <w:r w:rsidRPr="00A207E1">
        <w:rPr>
          <w:lang w:val="en-US"/>
        </w:rPr>
        <w:t>) consistently outperform other methods across most countries for both GDP and GNI, with median R² values often exceeding 0.85. The norm and cart methods exhibit greater variability and lower average performance. This justifies our use of a dynamic model selection approach, where the best-performing method (based on R²) is chosen for each country-indicator pair. This strategy enhances the reliability of imputed values while maintaining transparency and replicability in the estimation process.</w:t>
      </w:r>
    </w:p>
    <w:p w14:paraId="13592D83" w14:textId="1DF0BCE5" w:rsidR="00A207E1" w:rsidRPr="00A207E1" w:rsidRDefault="00A207E1" w:rsidP="00A207E1">
      <w:pPr>
        <w:rPr>
          <w:lang w:val="en-US"/>
        </w:rPr>
      </w:pPr>
    </w:p>
    <w:p w14:paraId="5F33C60B" w14:textId="77777777" w:rsidR="00A207E1" w:rsidRPr="00A207E1" w:rsidRDefault="00A207E1" w:rsidP="00A207E1">
      <w:pPr>
        <w:rPr>
          <w:lang w:val="en-US"/>
        </w:rPr>
      </w:pPr>
      <w:r w:rsidRPr="00A207E1">
        <w:rPr>
          <w:noProof/>
          <w:lang w:val="en-US"/>
        </w:rPr>
        <w:lastRenderedPageBreak/>
        <w:drawing>
          <wp:inline distT="0" distB="0" distL="0" distR="0" wp14:anchorId="146A38E2" wp14:editId="0AF7F6B6">
            <wp:extent cx="5334000" cy="4267200"/>
            <wp:effectExtent l="0" t="0" r="0" b="0"/>
            <wp:docPr id="27" name="Picture" descr="A graph with a red line&#10;&#10;AI-generated content may be incorrect."/>
            <wp:cNvGraphicFramePr/>
            <a:graphic xmlns:a="http://schemas.openxmlformats.org/drawingml/2006/main">
              <a:graphicData uri="http://schemas.openxmlformats.org/drawingml/2006/picture">
                <pic:pic xmlns:pic="http://schemas.openxmlformats.org/drawingml/2006/picture">
                  <pic:nvPicPr>
                    <pic:cNvPr id="27" name="Picture" descr="A graph with a red line&#10;&#10;AI-generated content may be incorrect."/>
                    <pic:cNvPicPr>
                      <a:picLocks noChangeAspect="1" noChangeArrowheads="1"/>
                    </pic:cNvPicPr>
                  </pic:nvPicPr>
                  <pic:blipFill>
                    <a:blip r:embed="rId8"/>
                    <a:stretch>
                      <a:fillRect/>
                    </a:stretch>
                  </pic:blipFill>
                  <pic:spPr bwMode="auto">
                    <a:xfrm>
                      <a:off x="0" y="0"/>
                      <a:ext cx="5334000" cy="4267200"/>
                    </a:xfrm>
                    <a:prstGeom prst="rect">
                      <a:avLst/>
                    </a:prstGeom>
                    <a:noFill/>
                    <a:ln w="9525">
                      <a:noFill/>
                      <a:headEnd/>
                      <a:tailEnd/>
                    </a:ln>
                  </pic:spPr>
                </pic:pic>
              </a:graphicData>
            </a:graphic>
          </wp:inline>
        </w:drawing>
      </w:r>
    </w:p>
    <w:p w14:paraId="501CE931" w14:textId="6FF05FEF" w:rsidR="00DF700D" w:rsidRPr="00801853" w:rsidRDefault="00A207E1" w:rsidP="000C202D">
      <w:pPr>
        <w:rPr>
          <w:lang w:val="en-US"/>
        </w:rPr>
      </w:pPr>
      <w:bookmarkStart w:id="21" w:name="X7cabb99ea9197024af430e537f82785487fcffe"/>
      <w:r w:rsidRPr="00A207E1">
        <w:rPr>
          <w:noProof/>
          <w:lang w:val="en-US"/>
        </w:rPr>
        <w:drawing>
          <wp:inline distT="0" distB="0" distL="0" distR="0" wp14:anchorId="1F434516" wp14:editId="65C04DB3">
            <wp:extent cx="5334000" cy="4267200"/>
            <wp:effectExtent l="0" t="0" r="0" b="0"/>
            <wp:docPr id="30" name="Picture" descr="A graph of different colored squares&#10;&#10;AI-generated content may be incorrect."/>
            <wp:cNvGraphicFramePr/>
            <a:graphic xmlns:a="http://schemas.openxmlformats.org/drawingml/2006/main">
              <a:graphicData uri="http://schemas.openxmlformats.org/drawingml/2006/picture">
                <pic:pic xmlns:pic="http://schemas.openxmlformats.org/drawingml/2006/picture">
                  <pic:nvPicPr>
                    <pic:cNvPr id="30" name="Picture" descr="A graph of different colored squares&#10;&#10;AI-generated content may be incorrect."/>
                    <pic:cNvPicPr>
                      <a:picLocks noChangeAspect="1" noChangeArrowheads="1"/>
                    </pic:cNvPicPr>
                  </pic:nvPicPr>
                  <pic:blipFill>
                    <a:blip r:embed="rId9"/>
                    <a:stretch>
                      <a:fillRect/>
                    </a:stretch>
                  </pic:blipFill>
                  <pic:spPr bwMode="auto">
                    <a:xfrm>
                      <a:off x="0" y="0"/>
                      <a:ext cx="5334000" cy="4267200"/>
                    </a:xfrm>
                    <a:prstGeom prst="rect">
                      <a:avLst/>
                    </a:prstGeom>
                    <a:noFill/>
                    <a:ln w="9525">
                      <a:noFill/>
                      <a:headEnd/>
                      <a:tailEnd/>
                    </a:ln>
                  </pic:spPr>
                </pic:pic>
              </a:graphicData>
            </a:graphic>
          </wp:inline>
        </w:drawing>
      </w:r>
      <w:bookmarkEnd w:id="20"/>
      <w:bookmarkEnd w:id="21"/>
    </w:p>
    <w:sectPr w:rsidR="00DF700D" w:rsidRPr="00801853" w:rsidSect="00A9726E">
      <w:footerReference w:type="default" r:id="rId10"/>
      <w:footnotePr>
        <w:numFmt w:val="lowerRoman"/>
      </w:foot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2BF6" w14:textId="77777777" w:rsidR="00A73CD6" w:rsidRDefault="00A73CD6">
      <w:pPr>
        <w:spacing w:after="0" w:line="240" w:lineRule="auto"/>
      </w:pPr>
      <w:r>
        <w:separator/>
      </w:r>
    </w:p>
  </w:endnote>
  <w:endnote w:type="continuationSeparator" w:id="0">
    <w:p w14:paraId="324002F1" w14:textId="77777777" w:rsidR="00A73CD6" w:rsidRDefault="00A7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763340"/>
      <w:docPartObj>
        <w:docPartGallery w:val="Page Numbers (Bottom of Page)"/>
        <w:docPartUnique/>
      </w:docPartObj>
    </w:sdtPr>
    <w:sdtEndPr>
      <w:rPr>
        <w:noProof/>
      </w:rPr>
    </w:sdtEndPr>
    <w:sdtContent>
      <w:p w14:paraId="6FEFCD2D" w14:textId="77777777" w:rsidR="0014162B" w:rsidRDefault="00A73CD6" w:rsidP="00CE065F">
        <w:pPr>
          <w:pStyle w:val="Footer"/>
        </w:pPr>
        <w:r>
          <w:fldChar w:fldCharType="begin"/>
        </w:r>
        <w:r>
          <w:instrText xml:space="preserve"> PAGE   \* MERGEFORMAT </w:instrText>
        </w:r>
        <w:r>
          <w:fldChar w:fldCharType="separate"/>
        </w:r>
        <w:r>
          <w:rPr>
            <w:noProof/>
          </w:rPr>
          <w:t>2</w:t>
        </w:r>
        <w:r>
          <w:rPr>
            <w:noProof/>
          </w:rPr>
          <w:fldChar w:fldCharType="end"/>
        </w:r>
      </w:p>
    </w:sdtContent>
  </w:sdt>
  <w:p w14:paraId="5D9F2AD0" w14:textId="77777777" w:rsidR="0014162B" w:rsidRDefault="0014162B" w:rsidP="00CE0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0B74" w14:textId="77777777" w:rsidR="00242DA3" w:rsidRDefault="00A73CD6" w:rsidP="00CE065F">
      <w:r>
        <w:separator/>
      </w:r>
    </w:p>
  </w:footnote>
  <w:footnote w:type="continuationSeparator" w:id="0">
    <w:p w14:paraId="6677CB84" w14:textId="77777777" w:rsidR="00242DA3" w:rsidRDefault="00A73CD6" w:rsidP="00CE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698434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4C4E32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10AAAC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0C5A7B"/>
    <w:multiLevelType w:val="multilevel"/>
    <w:tmpl w:val="1C16FE7E"/>
    <w:lvl w:ilvl="0">
      <w:start w:val="1"/>
      <w:numFmt w:val="decimal"/>
      <w:pStyle w:val="Heading1"/>
      <w:lvlText w:val="%1"/>
      <w:lvlJc w:val="left"/>
      <w:pPr>
        <w:ind w:left="4260" w:hanging="432"/>
      </w:pPr>
    </w:lvl>
    <w:lvl w:ilvl="1">
      <w:start w:val="1"/>
      <w:numFmt w:val="decimal"/>
      <w:pStyle w:val="Heading2"/>
      <w:lvlText w:val="%1.%2"/>
      <w:lvlJc w:val="left"/>
      <w:pPr>
        <w:ind w:left="576" w:hanging="576"/>
      </w:pPr>
    </w:lvl>
    <w:lvl w:ilvl="2">
      <w:start w:val="1"/>
      <w:numFmt w:val="decimal"/>
      <w:pStyle w:val="Heading3"/>
      <w:lvlText w:val="%1.%2.%3"/>
      <w:lvlJc w:val="left"/>
      <w:pPr>
        <w:ind w:left="4548"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450944"/>
    <w:multiLevelType w:val="hybridMultilevel"/>
    <w:tmpl w:val="5B6A732A"/>
    <w:lvl w:ilvl="0" w:tplc="58507002">
      <w:start w:val="1"/>
      <w:numFmt w:val="bullet"/>
      <w:lvlText w:val=""/>
      <w:lvlJc w:val="left"/>
      <w:pPr>
        <w:ind w:left="720" w:hanging="360"/>
      </w:pPr>
      <w:rPr>
        <w:rFonts w:ascii="Symbol" w:hAnsi="Symbol" w:hint="default"/>
      </w:rPr>
    </w:lvl>
    <w:lvl w:ilvl="1" w:tplc="86E80854" w:tentative="1">
      <w:start w:val="1"/>
      <w:numFmt w:val="bullet"/>
      <w:lvlText w:val="o"/>
      <w:lvlJc w:val="left"/>
      <w:pPr>
        <w:ind w:left="1440" w:hanging="360"/>
      </w:pPr>
      <w:rPr>
        <w:rFonts w:ascii="Courier New" w:hAnsi="Courier New" w:cs="Courier New" w:hint="default"/>
      </w:rPr>
    </w:lvl>
    <w:lvl w:ilvl="2" w:tplc="FB06D7B4" w:tentative="1">
      <w:start w:val="1"/>
      <w:numFmt w:val="bullet"/>
      <w:lvlText w:val=""/>
      <w:lvlJc w:val="left"/>
      <w:pPr>
        <w:ind w:left="2160" w:hanging="360"/>
      </w:pPr>
      <w:rPr>
        <w:rFonts w:ascii="Wingdings" w:hAnsi="Wingdings" w:hint="default"/>
      </w:rPr>
    </w:lvl>
    <w:lvl w:ilvl="3" w:tplc="A36AA1EA" w:tentative="1">
      <w:start w:val="1"/>
      <w:numFmt w:val="bullet"/>
      <w:lvlText w:val=""/>
      <w:lvlJc w:val="left"/>
      <w:pPr>
        <w:ind w:left="2880" w:hanging="360"/>
      </w:pPr>
      <w:rPr>
        <w:rFonts w:ascii="Symbol" w:hAnsi="Symbol" w:hint="default"/>
      </w:rPr>
    </w:lvl>
    <w:lvl w:ilvl="4" w:tplc="35DE1748" w:tentative="1">
      <w:start w:val="1"/>
      <w:numFmt w:val="bullet"/>
      <w:lvlText w:val="o"/>
      <w:lvlJc w:val="left"/>
      <w:pPr>
        <w:ind w:left="3600" w:hanging="360"/>
      </w:pPr>
      <w:rPr>
        <w:rFonts w:ascii="Courier New" w:hAnsi="Courier New" w:cs="Courier New" w:hint="default"/>
      </w:rPr>
    </w:lvl>
    <w:lvl w:ilvl="5" w:tplc="7E9E0DB6" w:tentative="1">
      <w:start w:val="1"/>
      <w:numFmt w:val="bullet"/>
      <w:lvlText w:val=""/>
      <w:lvlJc w:val="left"/>
      <w:pPr>
        <w:ind w:left="4320" w:hanging="360"/>
      </w:pPr>
      <w:rPr>
        <w:rFonts w:ascii="Wingdings" w:hAnsi="Wingdings" w:hint="default"/>
      </w:rPr>
    </w:lvl>
    <w:lvl w:ilvl="6" w:tplc="5246ACE2" w:tentative="1">
      <w:start w:val="1"/>
      <w:numFmt w:val="bullet"/>
      <w:lvlText w:val=""/>
      <w:lvlJc w:val="left"/>
      <w:pPr>
        <w:ind w:left="5040" w:hanging="360"/>
      </w:pPr>
      <w:rPr>
        <w:rFonts w:ascii="Symbol" w:hAnsi="Symbol" w:hint="default"/>
      </w:rPr>
    </w:lvl>
    <w:lvl w:ilvl="7" w:tplc="EBF4759E" w:tentative="1">
      <w:start w:val="1"/>
      <w:numFmt w:val="bullet"/>
      <w:lvlText w:val="o"/>
      <w:lvlJc w:val="left"/>
      <w:pPr>
        <w:ind w:left="5760" w:hanging="360"/>
      </w:pPr>
      <w:rPr>
        <w:rFonts w:ascii="Courier New" w:hAnsi="Courier New" w:cs="Courier New" w:hint="default"/>
      </w:rPr>
    </w:lvl>
    <w:lvl w:ilvl="8" w:tplc="B9081B78" w:tentative="1">
      <w:start w:val="1"/>
      <w:numFmt w:val="bullet"/>
      <w:lvlText w:val=""/>
      <w:lvlJc w:val="left"/>
      <w:pPr>
        <w:ind w:left="6480" w:hanging="360"/>
      </w:pPr>
      <w:rPr>
        <w:rFonts w:ascii="Wingdings" w:hAnsi="Wingdings" w:hint="default"/>
      </w:rPr>
    </w:lvl>
  </w:abstractNum>
  <w:abstractNum w:abstractNumId="5" w15:restartNumberingAfterBreak="0">
    <w:nsid w:val="1A114242"/>
    <w:multiLevelType w:val="hybridMultilevel"/>
    <w:tmpl w:val="3E5A58C2"/>
    <w:lvl w:ilvl="0" w:tplc="3326B2AE">
      <w:start w:val="1"/>
      <w:numFmt w:val="bullet"/>
      <w:lvlText w:val=""/>
      <w:lvlJc w:val="left"/>
      <w:pPr>
        <w:ind w:left="720" w:hanging="360"/>
      </w:pPr>
      <w:rPr>
        <w:rFonts w:ascii="Symbol" w:hAnsi="Symbol" w:hint="default"/>
      </w:rPr>
    </w:lvl>
    <w:lvl w:ilvl="1" w:tplc="46FCA3C4" w:tentative="1">
      <w:start w:val="1"/>
      <w:numFmt w:val="bullet"/>
      <w:lvlText w:val="o"/>
      <w:lvlJc w:val="left"/>
      <w:pPr>
        <w:ind w:left="1440" w:hanging="360"/>
      </w:pPr>
      <w:rPr>
        <w:rFonts w:ascii="Courier New" w:hAnsi="Courier New" w:cs="Courier New" w:hint="default"/>
      </w:rPr>
    </w:lvl>
    <w:lvl w:ilvl="2" w:tplc="2F1CB35C" w:tentative="1">
      <w:start w:val="1"/>
      <w:numFmt w:val="bullet"/>
      <w:lvlText w:val=""/>
      <w:lvlJc w:val="left"/>
      <w:pPr>
        <w:ind w:left="2160" w:hanging="360"/>
      </w:pPr>
      <w:rPr>
        <w:rFonts w:ascii="Wingdings" w:hAnsi="Wingdings" w:hint="default"/>
      </w:rPr>
    </w:lvl>
    <w:lvl w:ilvl="3" w:tplc="880A896E" w:tentative="1">
      <w:start w:val="1"/>
      <w:numFmt w:val="bullet"/>
      <w:lvlText w:val=""/>
      <w:lvlJc w:val="left"/>
      <w:pPr>
        <w:ind w:left="2880" w:hanging="360"/>
      </w:pPr>
      <w:rPr>
        <w:rFonts w:ascii="Symbol" w:hAnsi="Symbol" w:hint="default"/>
      </w:rPr>
    </w:lvl>
    <w:lvl w:ilvl="4" w:tplc="E1AC3F62" w:tentative="1">
      <w:start w:val="1"/>
      <w:numFmt w:val="bullet"/>
      <w:lvlText w:val="o"/>
      <w:lvlJc w:val="left"/>
      <w:pPr>
        <w:ind w:left="3600" w:hanging="360"/>
      </w:pPr>
      <w:rPr>
        <w:rFonts w:ascii="Courier New" w:hAnsi="Courier New" w:cs="Courier New" w:hint="default"/>
      </w:rPr>
    </w:lvl>
    <w:lvl w:ilvl="5" w:tplc="22880A34" w:tentative="1">
      <w:start w:val="1"/>
      <w:numFmt w:val="bullet"/>
      <w:lvlText w:val=""/>
      <w:lvlJc w:val="left"/>
      <w:pPr>
        <w:ind w:left="4320" w:hanging="360"/>
      </w:pPr>
      <w:rPr>
        <w:rFonts w:ascii="Wingdings" w:hAnsi="Wingdings" w:hint="default"/>
      </w:rPr>
    </w:lvl>
    <w:lvl w:ilvl="6" w:tplc="CE30A88C" w:tentative="1">
      <w:start w:val="1"/>
      <w:numFmt w:val="bullet"/>
      <w:lvlText w:val=""/>
      <w:lvlJc w:val="left"/>
      <w:pPr>
        <w:ind w:left="5040" w:hanging="360"/>
      </w:pPr>
      <w:rPr>
        <w:rFonts w:ascii="Symbol" w:hAnsi="Symbol" w:hint="default"/>
      </w:rPr>
    </w:lvl>
    <w:lvl w:ilvl="7" w:tplc="801C55EE" w:tentative="1">
      <w:start w:val="1"/>
      <w:numFmt w:val="bullet"/>
      <w:lvlText w:val="o"/>
      <w:lvlJc w:val="left"/>
      <w:pPr>
        <w:ind w:left="5760" w:hanging="360"/>
      </w:pPr>
      <w:rPr>
        <w:rFonts w:ascii="Courier New" w:hAnsi="Courier New" w:cs="Courier New" w:hint="default"/>
      </w:rPr>
    </w:lvl>
    <w:lvl w:ilvl="8" w:tplc="0ECAD8D8" w:tentative="1">
      <w:start w:val="1"/>
      <w:numFmt w:val="bullet"/>
      <w:lvlText w:val=""/>
      <w:lvlJc w:val="left"/>
      <w:pPr>
        <w:ind w:left="6480" w:hanging="360"/>
      </w:pPr>
      <w:rPr>
        <w:rFonts w:ascii="Wingdings" w:hAnsi="Wingdings" w:hint="default"/>
      </w:rPr>
    </w:lvl>
  </w:abstractNum>
  <w:abstractNum w:abstractNumId="6" w15:restartNumberingAfterBreak="0">
    <w:nsid w:val="2F3E0CA6"/>
    <w:multiLevelType w:val="hybridMultilevel"/>
    <w:tmpl w:val="02C0EC1C"/>
    <w:lvl w:ilvl="0" w:tplc="E8EEABBE">
      <w:start w:val="1"/>
      <w:numFmt w:val="bullet"/>
      <w:lvlText w:val=""/>
      <w:lvlJc w:val="left"/>
      <w:pPr>
        <w:ind w:left="1080" w:hanging="360"/>
      </w:pPr>
      <w:rPr>
        <w:rFonts w:ascii="Symbol" w:hAnsi="Symbol" w:hint="default"/>
      </w:rPr>
    </w:lvl>
    <w:lvl w:ilvl="1" w:tplc="2CE4AD04" w:tentative="1">
      <w:start w:val="1"/>
      <w:numFmt w:val="bullet"/>
      <w:lvlText w:val="o"/>
      <w:lvlJc w:val="left"/>
      <w:pPr>
        <w:ind w:left="1800" w:hanging="360"/>
      </w:pPr>
      <w:rPr>
        <w:rFonts w:ascii="Courier New" w:hAnsi="Courier New" w:cs="Courier New" w:hint="default"/>
      </w:rPr>
    </w:lvl>
    <w:lvl w:ilvl="2" w:tplc="E12CDA92" w:tentative="1">
      <w:start w:val="1"/>
      <w:numFmt w:val="bullet"/>
      <w:lvlText w:val=""/>
      <w:lvlJc w:val="left"/>
      <w:pPr>
        <w:ind w:left="2520" w:hanging="360"/>
      </w:pPr>
      <w:rPr>
        <w:rFonts w:ascii="Wingdings" w:hAnsi="Wingdings" w:hint="default"/>
      </w:rPr>
    </w:lvl>
    <w:lvl w:ilvl="3" w:tplc="BF06E3CA" w:tentative="1">
      <w:start w:val="1"/>
      <w:numFmt w:val="bullet"/>
      <w:lvlText w:val=""/>
      <w:lvlJc w:val="left"/>
      <w:pPr>
        <w:ind w:left="3240" w:hanging="360"/>
      </w:pPr>
      <w:rPr>
        <w:rFonts w:ascii="Symbol" w:hAnsi="Symbol" w:hint="default"/>
      </w:rPr>
    </w:lvl>
    <w:lvl w:ilvl="4" w:tplc="56E4BF7C" w:tentative="1">
      <w:start w:val="1"/>
      <w:numFmt w:val="bullet"/>
      <w:lvlText w:val="o"/>
      <w:lvlJc w:val="left"/>
      <w:pPr>
        <w:ind w:left="3960" w:hanging="360"/>
      </w:pPr>
      <w:rPr>
        <w:rFonts w:ascii="Courier New" w:hAnsi="Courier New" w:cs="Courier New" w:hint="default"/>
      </w:rPr>
    </w:lvl>
    <w:lvl w:ilvl="5" w:tplc="7BF4CD32" w:tentative="1">
      <w:start w:val="1"/>
      <w:numFmt w:val="bullet"/>
      <w:lvlText w:val=""/>
      <w:lvlJc w:val="left"/>
      <w:pPr>
        <w:ind w:left="4680" w:hanging="360"/>
      </w:pPr>
      <w:rPr>
        <w:rFonts w:ascii="Wingdings" w:hAnsi="Wingdings" w:hint="default"/>
      </w:rPr>
    </w:lvl>
    <w:lvl w:ilvl="6" w:tplc="A6B630F6" w:tentative="1">
      <w:start w:val="1"/>
      <w:numFmt w:val="bullet"/>
      <w:lvlText w:val=""/>
      <w:lvlJc w:val="left"/>
      <w:pPr>
        <w:ind w:left="5400" w:hanging="360"/>
      </w:pPr>
      <w:rPr>
        <w:rFonts w:ascii="Symbol" w:hAnsi="Symbol" w:hint="default"/>
      </w:rPr>
    </w:lvl>
    <w:lvl w:ilvl="7" w:tplc="AFEA2A8E" w:tentative="1">
      <w:start w:val="1"/>
      <w:numFmt w:val="bullet"/>
      <w:lvlText w:val="o"/>
      <w:lvlJc w:val="left"/>
      <w:pPr>
        <w:ind w:left="6120" w:hanging="360"/>
      </w:pPr>
      <w:rPr>
        <w:rFonts w:ascii="Courier New" w:hAnsi="Courier New" w:cs="Courier New" w:hint="default"/>
      </w:rPr>
    </w:lvl>
    <w:lvl w:ilvl="8" w:tplc="D228E800" w:tentative="1">
      <w:start w:val="1"/>
      <w:numFmt w:val="bullet"/>
      <w:lvlText w:val=""/>
      <w:lvlJc w:val="left"/>
      <w:pPr>
        <w:ind w:left="6840" w:hanging="360"/>
      </w:pPr>
      <w:rPr>
        <w:rFonts w:ascii="Wingdings" w:hAnsi="Wingdings" w:hint="default"/>
      </w:rPr>
    </w:lvl>
  </w:abstractNum>
  <w:abstractNum w:abstractNumId="7" w15:restartNumberingAfterBreak="0">
    <w:nsid w:val="4C3A1217"/>
    <w:multiLevelType w:val="hybridMultilevel"/>
    <w:tmpl w:val="77EACE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4CF2CE4"/>
    <w:multiLevelType w:val="hybridMultilevel"/>
    <w:tmpl w:val="BACE026A"/>
    <w:lvl w:ilvl="0" w:tplc="E04AFF02">
      <w:start w:val="1"/>
      <w:numFmt w:val="bullet"/>
      <w:lvlText w:val=""/>
      <w:lvlJc w:val="left"/>
      <w:pPr>
        <w:ind w:left="720" w:hanging="360"/>
      </w:pPr>
      <w:rPr>
        <w:rFonts w:ascii="Symbol" w:hAnsi="Symbol" w:hint="default"/>
      </w:rPr>
    </w:lvl>
    <w:lvl w:ilvl="1" w:tplc="81BA4E66" w:tentative="1">
      <w:start w:val="1"/>
      <w:numFmt w:val="bullet"/>
      <w:lvlText w:val="o"/>
      <w:lvlJc w:val="left"/>
      <w:pPr>
        <w:ind w:left="1440" w:hanging="360"/>
      </w:pPr>
      <w:rPr>
        <w:rFonts w:ascii="Courier New" w:hAnsi="Courier New" w:cs="Courier New" w:hint="default"/>
      </w:rPr>
    </w:lvl>
    <w:lvl w:ilvl="2" w:tplc="08501F14" w:tentative="1">
      <w:start w:val="1"/>
      <w:numFmt w:val="bullet"/>
      <w:lvlText w:val=""/>
      <w:lvlJc w:val="left"/>
      <w:pPr>
        <w:ind w:left="2160" w:hanging="360"/>
      </w:pPr>
      <w:rPr>
        <w:rFonts w:ascii="Wingdings" w:hAnsi="Wingdings" w:hint="default"/>
      </w:rPr>
    </w:lvl>
    <w:lvl w:ilvl="3" w:tplc="B838F512" w:tentative="1">
      <w:start w:val="1"/>
      <w:numFmt w:val="bullet"/>
      <w:lvlText w:val=""/>
      <w:lvlJc w:val="left"/>
      <w:pPr>
        <w:ind w:left="2880" w:hanging="360"/>
      </w:pPr>
      <w:rPr>
        <w:rFonts w:ascii="Symbol" w:hAnsi="Symbol" w:hint="default"/>
      </w:rPr>
    </w:lvl>
    <w:lvl w:ilvl="4" w:tplc="35901F9C" w:tentative="1">
      <w:start w:val="1"/>
      <w:numFmt w:val="bullet"/>
      <w:lvlText w:val="o"/>
      <w:lvlJc w:val="left"/>
      <w:pPr>
        <w:ind w:left="3600" w:hanging="360"/>
      </w:pPr>
      <w:rPr>
        <w:rFonts w:ascii="Courier New" w:hAnsi="Courier New" w:cs="Courier New" w:hint="default"/>
      </w:rPr>
    </w:lvl>
    <w:lvl w:ilvl="5" w:tplc="04DCC436" w:tentative="1">
      <w:start w:val="1"/>
      <w:numFmt w:val="bullet"/>
      <w:lvlText w:val=""/>
      <w:lvlJc w:val="left"/>
      <w:pPr>
        <w:ind w:left="4320" w:hanging="360"/>
      </w:pPr>
      <w:rPr>
        <w:rFonts w:ascii="Wingdings" w:hAnsi="Wingdings" w:hint="default"/>
      </w:rPr>
    </w:lvl>
    <w:lvl w:ilvl="6" w:tplc="D674A30C" w:tentative="1">
      <w:start w:val="1"/>
      <w:numFmt w:val="bullet"/>
      <w:lvlText w:val=""/>
      <w:lvlJc w:val="left"/>
      <w:pPr>
        <w:ind w:left="5040" w:hanging="360"/>
      </w:pPr>
      <w:rPr>
        <w:rFonts w:ascii="Symbol" w:hAnsi="Symbol" w:hint="default"/>
      </w:rPr>
    </w:lvl>
    <w:lvl w:ilvl="7" w:tplc="6F86D842" w:tentative="1">
      <w:start w:val="1"/>
      <w:numFmt w:val="bullet"/>
      <w:lvlText w:val="o"/>
      <w:lvlJc w:val="left"/>
      <w:pPr>
        <w:ind w:left="5760" w:hanging="360"/>
      </w:pPr>
      <w:rPr>
        <w:rFonts w:ascii="Courier New" w:hAnsi="Courier New" w:cs="Courier New" w:hint="default"/>
      </w:rPr>
    </w:lvl>
    <w:lvl w:ilvl="8" w:tplc="D7DEE996" w:tentative="1">
      <w:start w:val="1"/>
      <w:numFmt w:val="bullet"/>
      <w:lvlText w:val=""/>
      <w:lvlJc w:val="left"/>
      <w:pPr>
        <w:ind w:left="6480" w:hanging="360"/>
      </w:pPr>
      <w:rPr>
        <w:rFonts w:ascii="Wingdings" w:hAnsi="Wingdings" w:hint="default"/>
      </w:rPr>
    </w:lvl>
  </w:abstractNum>
  <w:abstractNum w:abstractNumId="9" w15:restartNumberingAfterBreak="0">
    <w:nsid w:val="7A695B59"/>
    <w:multiLevelType w:val="multilevel"/>
    <w:tmpl w:val="7FF8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51890">
    <w:abstractNumId w:val="3"/>
  </w:num>
  <w:num w:numId="2" w16cid:durableId="623314030">
    <w:abstractNumId w:val="0"/>
  </w:num>
  <w:num w:numId="3" w16cid:durableId="490291847">
    <w:abstractNumId w:val="9"/>
  </w:num>
  <w:num w:numId="4" w16cid:durableId="1744258166">
    <w:abstractNumId w:val="5"/>
  </w:num>
  <w:num w:numId="5" w16cid:durableId="1006831727">
    <w:abstractNumId w:val="6"/>
  </w:num>
  <w:num w:numId="6" w16cid:durableId="1610158649">
    <w:abstractNumId w:val="3"/>
  </w:num>
  <w:num w:numId="7" w16cid:durableId="65887445">
    <w:abstractNumId w:val="3"/>
  </w:num>
  <w:num w:numId="8" w16cid:durableId="1043095758">
    <w:abstractNumId w:val="4"/>
  </w:num>
  <w:num w:numId="9" w16cid:durableId="1651448175">
    <w:abstractNumId w:val="8"/>
  </w:num>
  <w:num w:numId="10" w16cid:durableId="1196846983">
    <w:abstractNumId w:val="1"/>
  </w:num>
  <w:num w:numId="11" w16cid:durableId="1822454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7445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8258188">
    <w:abstractNumId w:val="7"/>
  </w:num>
  <w:num w:numId="14" w16cid:durableId="717241387">
    <w:abstractNumId w:val="3"/>
  </w:num>
  <w:num w:numId="15" w16cid:durableId="225187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1E"/>
    <w:rsid w:val="00006852"/>
    <w:rsid w:val="00007E22"/>
    <w:rsid w:val="00012905"/>
    <w:rsid w:val="00026512"/>
    <w:rsid w:val="00075A32"/>
    <w:rsid w:val="00080B28"/>
    <w:rsid w:val="00090C21"/>
    <w:rsid w:val="00091B1E"/>
    <w:rsid w:val="000960D0"/>
    <w:rsid w:val="000B45F0"/>
    <w:rsid w:val="000B70F1"/>
    <w:rsid w:val="000C202D"/>
    <w:rsid w:val="000D3A76"/>
    <w:rsid w:val="000E0317"/>
    <w:rsid w:val="001118B3"/>
    <w:rsid w:val="0011444E"/>
    <w:rsid w:val="0014162B"/>
    <w:rsid w:val="001430A0"/>
    <w:rsid w:val="00160CDE"/>
    <w:rsid w:val="00167E74"/>
    <w:rsid w:val="0017728F"/>
    <w:rsid w:val="001B4024"/>
    <w:rsid w:val="001B636F"/>
    <w:rsid w:val="00210E19"/>
    <w:rsid w:val="00225E2A"/>
    <w:rsid w:val="00242DA3"/>
    <w:rsid w:val="00243839"/>
    <w:rsid w:val="00247490"/>
    <w:rsid w:val="002765AC"/>
    <w:rsid w:val="00283803"/>
    <w:rsid w:val="0028635A"/>
    <w:rsid w:val="00290911"/>
    <w:rsid w:val="002A5568"/>
    <w:rsid w:val="002E0212"/>
    <w:rsid w:val="002F305C"/>
    <w:rsid w:val="002F4D2B"/>
    <w:rsid w:val="00303775"/>
    <w:rsid w:val="00315AAC"/>
    <w:rsid w:val="00327718"/>
    <w:rsid w:val="00334FDD"/>
    <w:rsid w:val="00337B56"/>
    <w:rsid w:val="003451E5"/>
    <w:rsid w:val="0036697A"/>
    <w:rsid w:val="00374306"/>
    <w:rsid w:val="003A4306"/>
    <w:rsid w:val="003D59DB"/>
    <w:rsid w:val="003E75DD"/>
    <w:rsid w:val="00402714"/>
    <w:rsid w:val="0041681D"/>
    <w:rsid w:val="00417B77"/>
    <w:rsid w:val="00421A72"/>
    <w:rsid w:val="00444E14"/>
    <w:rsid w:val="00465C78"/>
    <w:rsid w:val="004746BE"/>
    <w:rsid w:val="004A59F9"/>
    <w:rsid w:val="004B67B7"/>
    <w:rsid w:val="004C3B85"/>
    <w:rsid w:val="004C5568"/>
    <w:rsid w:val="004D2290"/>
    <w:rsid w:val="004D42DB"/>
    <w:rsid w:val="004D73F0"/>
    <w:rsid w:val="004E708D"/>
    <w:rsid w:val="00522415"/>
    <w:rsid w:val="005327EF"/>
    <w:rsid w:val="0053468F"/>
    <w:rsid w:val="00543B29"/>
    <w:rsid w:val="0056729B"/>
    <w:rsid w:val="00580BFC"/>
    <w:rsid w:val="00581886"/>
    <w:rsid w:val="005864F5"/>
    <w:rsid w:val="00593A68"/>
    <w:rsid w:val="005C2216"/>
    <w:rsid w:val="005C2617"/>
    <w:rsid w:val="005C53EA"/>
    <w:rsid w:val="005D2822"/>
    <w:rsid w:val="005E09BF"/>
    <w:rsid w:val="005E43F7"/>
    <w:rsid w:val="00606DDD"/>
    <w:rsid w:val="00610E87"/>
    <w:rsid w:val="0061189F"/>
    <w:rsid w:val="00617DDD"/>
    <w:rsid w:val="00641BCF"/>
    <w:rsid w:val="0064574D"/>
    <w:rsid w:val="00662228"/>
    <w:rsid w:val="0068344E"/>
    <w:rsid w:val="006958E3"/>
    <w:rsid w:val="006B1A05"/>
    <w:rsid w:val="006C266D"/>
    <w:rsid w:val="006D601E"/>
    <w:rsid w:val="006F0C0E"/>
    <w:rsid w:val="006F2031"/>
    <w:rsid w:val="00703F20"/>
    <w:rsid w:val="00703F3A"/>
    <w:rsid w:val="007204D8"/>
    <w:rsid w:val="00720D33"/>
    <w:rsid w:val="007222A6"/>
    <w:rsid w:val="0072601B"/>
    <w:rsid w:val="007460D1"/>
    <w:rsid w:val="007508DB"/>
    <w:rsid w:val="00752448"/>
    <w:rsid w:val="00757CFE"/>
    <w:rsid w:val="00772616"/>
    <w:rsid w:val="007A5A90"/>
    <w:rsid w:val="007B420F"/>
    <w:rsid w:val="007E3C0D"/>
    <w:rsid w:val="007E628B"/>
    <w:rsid w:val="007F389C"/>
    <w:rsid w:val="00801853"/>
    <w:rsid w:val="008034AE"/>
    <w:rsid w:val="00806659"/>
    <w:rsid w:val="00813637"/>
    <w:rsid w:val="0082050A"/>
    <w:rsid w:val="0083461D"/>
    <w:rsid w:val="00846AE4"/>
    <w:rsid w:val="008706CA"/>
    <w:rsid w:val="00870CC4"/>
    <w:rsid w:val="00882A41"/>
    <w:rsid w:val="0088455C"/>
    <w:rsid w:val="008C252F"/>
    <w:rsid w:val="008E2F8F"/>
    <w:rsid w:val="008E3470"/>
    <w:rsid w:val="008E6E16"/>
    <w:rsid w:val="008E7D56"/>
    <w:rsid w:val="008F5E6A"/>
    <w:rsid w:val="009115F5"/>
    <w:rsid w:val="00935CA6"/>
    <w:rsid w:val="00942A94"/>
    <w:rsid w:val="009549A3"/>
    <w:rsid w:val="00954F77"/>
    <w:rsid w:val="00956846"/>
    <w:rsid w:val="009624CF"/>
    <w:rsid w:val="00972ECD"/>
    <w:rsid w:val="00996B99"/>
    <w:rsid w:val="009B5547"/>
    <w:rsid w:val="009B798B"/>
    <w:rsid w:val="009C7771"/>
    <w:rsid w:val="009E18E8"/>
    <w:rsid w:val="009E7355"/>
    <w:rsid w:val="009F31A3"/>
    <w:rsid w:val="009F567F"/>
    <w:rsid w:val="00A01171"/>
    <w:rsid w:val="00A05163"/>
    <w:rsid w:val="00A207E1"/>
    <w:rsid w:val="00A24100"/>
    <w:rsid w:val="00A426FA"/>
    <w:rsid w:val="00A53D5E"/>
    <w:rsid w:val="00A73CD6"/>
    <w:rsid w:val="00A74937"/>
    <w:rsid w:val="00A81FE1"/>
    <w:rsid w:val="00A86CAF"/>
    <w:rsid w:val="00A9726E"/>
    <w:rsid w:val="00AB6197"/>
    <w:rsid w:val="00AC1BF0"/>
    <w:rsid w:val="00AC5E01"/>
    <w:rsid w:val="00AD395E"/>
    <w:rsid w:val="00B22A20"/>
    <w:rsid w:val="00B360E7"/>
    <w:rsid w:val="00B448E3"/>
    <w:rsid w:val="00B44B4B"/>
    <w:rsid w:val="00B47699"/>
    <w:rsid w:val="00B56F55"/>
    <w:rsid w:val="00B608E4"/>
    <w:rsid w:val="00B63CA6"/>
    <w:rsid w:val="00B64C00"/>
    <w:rsid w:val="00B71984"/>
    <w:rsid w:val="00B75886"/>
    <w:rsid w:val="00B76411"/>
    <w:rsid w:val="00B77540"/>
    <w:rsid w:val="00B82E0E"/>
    <w:rsid w:val="00B859A6"/>
    <w:rsid w:val="00B916FE"/>
    <w:rsid w:val="00B93F59"/>
    <w:rsid w:val="00BB4E18"/>
    <w:rsid w:val="00BB746B"/>
    <w:rsid w:val="00BD2234"/>
    <w:rsid w:val="00BD236A"/>
    <w:rsid w:val="00BD3EF2"/>
    <w:rsid w:val="00BD6BC3"/>
    <w:rsid w:val="00BE3AD6"/>
    <w:rsid w:val="00BE4929"/>
    <w:rsid w:val="00BF5F6F"/>
    <w:rsid w:val="00BF61C8"/>
    <w:rsid w:val="00C052C9"/>
    <w:rsid w:val="00C265FB"/>
    <w:rsid w:val="00C4491B"/>
    <w:rsid w:val="00C46E83"/>
    <w:rsid w:val="00C561B4"/>
    <w:rsid w:val="00C85353"/>
    <w:rsid w:val="00C86520"/>
    <w:rsid w:val="00CC4E1A"/>
    <w:rsid w:val="00CD1B65"/>
    <w:rsid w:val="00CD2EEA"/>
    <w:rsid w:val="00CE065F"/>
    <w:rsid w:val="00CF58A0"/>
    <w:rsid w:val="00D06480"/>
    <w:rsid w:val="00D24291"/>
    <w:rsid w:val="00D32DC3"/>
    <w:rsid w:val="00D4178C"/>
    <w:rsid w:val="00D56166"/>
    <w:rsid w:val="00D61C83"/>
    <w:rsid w:val="00D82163"/>
    <w:rsid w:val="00D97640"/>
    <w:rsid w:val="00DA105F"/>
    <w:rsid w:val="00DA1557"/>
    <w:rsid w:val="00DC0B39"/>
    <w:rsid w:val="00DC19FB"/>
    <w:rsid w:val="00DD688D"/>
    <w:rsid w:val="00DD6DC8"/>
    <w:rsid w:val="00DE54D9"/>
    <w:rsid w:val="00DF4FF7"/>
    <w:rsid w:val="00DF700D"/>
    <w:rsid w:val="00E01DA3"/>
    <w:rsid w:val="00E0591F"/>
    <w:rsid w:val="00E109F6"/>
    <w:rsid w:val="00E14B0D"/>
    <w:rsid w:val="00E15C73"/>
    <w:rsid w:val="00E27BB8"/>
    <w:rsid w:val="00E806F8"/>
    <w:rsid w:val="00E817AC"/>
    <w:rsid w:val="00E853DC"/>
    <w:rsid w:val="00E85EC7"/>
    <w:rsid w:val="00EA541C"/>
    <w:rsid w:val="00EB0942"/>
    <w:rsid w:val="00EB5328"/>
    <w:rsid w:val="00EB5EEA"/>
    <w:rsid w:val="00EC31B0"/>
    <w:rsid w:val="00EC7DF6"/>
    <w:rsid w:val="00ED01C6"/>
    <w:rsid w:val="00ED57CD"/>
    <w:rsid w:val="00EF1AE4"/>
    <w:rsid w:val="00F041C1"/>
    <w:rsid w:val="00F07D96"/>
    <w:rsid w:val="00F225B0"/>
    <w:rsid w:val="00F34436"/>
    <w:rsid w:val="00F36353"/>
    <w:rsid w:val="00F52BEE"/>
    <w:rsid w:val="00F5539F"/>
    <w:rsid w:val="00F722D6"/>
    <w:rsid w:val="00F72771"/>
    <w:rsid w:val="00F806CE"/>
    <w:rsid w:val="00F94672"/>
    <w:rsid w:val="00FA1B83"/>
    <w:rsid w:val="00FA1DB8"/>
    <w:rsid w:val="00FD03A8"/>
    <w:rsid w:val="00FD1459"/>
    <w:rsid w:val="00FE27D2"/>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2A33"/>
  <w15:docId w15:val="{95E48F23-A9E3-4E54-A73D-10F84E12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65F"/>
    <w:pPr>
      <w:spacing w:line="360" w:lineRule="auto"/>
    </w:pPr>
    <w:rPr>
      <w:rFonts w:ascii="Times New Roman" w:hAnsi="Times New Roman"/>
      <w:sz w:val="24"/>
      <w:szCs w:val="24"/>
    </w:rPr>
  </w:style>
  <w:style w:type="paragraph" w:styleId="Heading1">
    <w:name w:val="heading 1"/>
    <w:basedOn w:val="Normal"/>
    <w:next w:val="Normal"/>
    <w:link w:val="Heading1Char"/>
    <w:uiPriority w:val="9"/>
    <w:qFormat/>
    <w:rsid w:val="009C7771"/>
    <w:pPr>
      <w:keepNext/>
      <w:keepLines/>
      <w:numPr>
        <w:numId w:val="1"/>
      </w:numPr>
      <w:spacing w:before="240" w:after="240"/>
      <w:ind w:left="432"/>
      <w:outlineLvl w:val="0"/>
    </w:pPr>
    <w:rPr>
      <w:rFonts w:eastAsiaTheme="majorEastAsia" w:cstheme="majorBidi"/>
      <w:b/>
      <w:sz w:val="28"/>
      <w:szCs w:val="40"/>
      <w:lang w:val="en-US"/>
    </w:rPr>
  </w:style>
  <w:style w:type="paragraph" w:styleId="Heading2">
    <w:name w:val="heading 2"/>
    <w:basedOn w:val="Normal"/>
    <w:next w:val="Normal"/>
    <w:link w:val="Heading2Char"/>
    <w:uiPriority w:val="9"/>
    <w:unhideWhenUsed/>
    <w:qFormat/>
    <w:rsid w:val="00B76411"/>
    <w:pPr>
      <w:keepNext/>
      <w:keepLines/>
      <w:numPr>
        <w:ilvl w:val="1"/>
        <w:numId w:val="1"/>
      </w:numPr>
      <w:spacing w:before="16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4162B"/>
    <w:pPr>
      <w:keepNext/>
      <w:keepLines/>
      <w:numPr>
        <w:ilvl w:val="2"/>
        <w:numId w:val="1"/>
      </w:numPr>
      <w:spacing w:before="160" w:after="80"/>
      <w:ind w:left="720"/>
      <w:outlineLvl w:val="2"/>
    </w:pPr>
    <w:rPr>
      <w:rFonts w:eastAsiaTheme="majorEastAsia" w:cstheme="majorBidi"/>
      <w:sz w:val="22"/>
    </w:rPr>
  </w:style>
  <w:style w:type="paragraph" w:styleId="Heading4">
    <w:name w:val="heading 4"/>
    <w:basedOn w:val="Normal"/>
    <w:next w:val="Normal"/>
    <w:link w:val="Heading4Char"/>
    <w:uiPriority w:val="9"/>
    <w:semiHidden/>
    <w:unhideWhenUsed/>
    <w:qFormat/>
    <w:rsid w:val="00091B1E"/>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B1E"/>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B1E"/>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B1E"/>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B1E"/>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B1E"/>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771"/>
    <w:rPr>
      <w:rFonts w:ascii="Times New Roman" w:eastAsiaTheme="majorEastAsia" w:hAnsi="Times New Roman" w:cstheme="majorBidi"/>
      <w:b/>
      <w:sz w:val="28"/>
      <w:szCs w:val="40"/>
      <w:lang w:val="en-US"/>
    </w:rPr>
  </w:style>
  <w:style w:type="character" w:customStyle="1" w:styleId="Heading2Char">
    <w:name w:val="Heading 2 Char"/>
    <w:basedOn w:val="DefaultParagraphFont"/>
    <w:link w:val="Heading2"/>
    <w:uiPriority w:val="9"/>
    <w:rsid w:val="00B76411"/>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4162B"/>
    <w:rPr>
      <w:rFonts w:ascii="Times New Roman" w:eastAsiaTheme="majorEastAsia" w:hAnsi="Times New Roman" w:cstheme="majorBidi"/>
    </w:rPr>
  </w:style>
  <w:style w:type="character" w:customStyle="1" w:styleId="Heading4Char">
    <w:name w:val="Heading 4 Char"/>
    <w:basedOn w:val="DefaultParagraphFont"/>
    <w:link w:val="Heading4"/>
    <w:uiPriority w:val="9"/>
    <w:semiHidden/>
    <w:rsid w:val="00091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B1E"/>
    <w:rPr>
      <w:rFonts w:eastAsiaTheme="majorEastAsia" w:cstheme="majorBidi"/>
      <w:color w:val="272727" w:themeColor="text1" w:themeTint="D8"/>
    </w:rPr>
  </w:style>
  <w:style w:type="paragraph" w:styleId="Title">
    <w:name w:val="Title"/>
    <w:basedOn w:val="Normal"/>
    <w:next w:val="Normal"/>
    <w:link w:val="TitleChar"/>
    <w:uiPriority w:val="10"/>
    <w:qFormat/>
    <w:rsid w:val="0028635A"/>
    <w:pPr>
      <w:spacing w:before="360" w:after="360"/>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28635A"/>
    <w:rPr>
      <w:rFonts w:ascii="Times New Roman" w:eastAsiaTheme="majorEastAsia" w:hAnsi="Times New Roman" w:cstheme="majorBidi"/>
      <w:b/>
      <w:spacing w:val="-10"/>
      <w:kern w:val="28"/>
      <w:sz w:val="36"/>
      <w:szCs w:val="56"/>
    </w:rPr>
  </w:style>
  <w:style w:type="paragraph" w:styleId="Subtitle">
    <w:name w:val="Subtitle"/>
    <w:basedOn w:val="Normal"/>
    <w:next w:val="Normal"/>
    <w:link w:val="SubtitleChar"/>
    <w:uiPriority w:val="11"/>
    <w:qFormat/>
    <w:rsid w:val="00091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B1E"/>
    <w:pPr>
      <w:spacing w:before="160"/>
      <w:jc w:val="center"/>
    </w:pPr>
    <w:rPr>
      <w:i/>
      <w:iCs/>
      <w:color w:val="404040" w:themeColor="text1" w:themeTint="BF"/>
    </w:rPr>
  </w:style>
  <w:style w:type="character" w:customStyle="1" w:styleId="QuoteChar">
    <w:name w:val="Quote Char"/>
    <w:basedOn w:val="DefaultParagraphFont"/>
    <w:link w:val="Quote"/>
    <w:uiPriority w:val="29"/>
    <w:rsid w:val="00091B1E"/>
    <w:rPr>
      <w:i/>
      <w:iCs/>
      <w:color w:val="404040" w:themeColor="text1" w:themeTint="BF"/>
    </w:rPr>
  </w:style>
  <w:style w:type="paragraph" w:styleId="ListParagraph">
    <w:name w:val="List Paragraph"/>
    <w:basedOn w:val="Normal"/>
    <w:uiPriority w:val="34"/>
    <w:qFormat/>
    <w:rsid w:val="00091B1E"/>
    <w:pPr>
      <w:ind w:left="720"/>
      <w:contextualSpacing/>
    </w:pPr>
  </w:style>
  <w:style w:type="character" w:styleId="IntenseEmphasis">
    <w:name w:val="Intense Emphasis"/>
    <w:basedOn w:val="DefaultParagraphFont"/>
    <w:uiPriority w:val="21"/>
    <w:qFormat/>
    <w:rsid w:val="00091B1E"/>
    <w:rPr>
      <w:i/>
      <w:iCs/>
      <w:color w:val="0F4761" w:themeColor="accent1" w:themeShade="BF"/>
    </w:rPr>
  </w:style>
  <w:style w:type="paragraph" w:styleId="IntenseQuote">
    <w:name w:val="Intense Quote"/>
    <w:basedOn w:val="Normal"/>
    <w:next w:val="Normal"/>
    <w:link w:val="IntenseQuoteChar"/>
    <w:uiPriority w:val="30"/>
    <w:qFormat/>
    <w:rsid w:val="00091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B1E"/>
    <w:rPr>
      <w:i/>
      <w:iCs/>
      <w:color w:val="0F4761" w:themeColor="accent1" w:themeShade="BF"/>
    </w:rPr>
  </w:style>
  <w:style w:type="character" w:styleId="IntenseReference">
    <w:name w:val="Intense Reference"/>
    <w:basedOn w:val="DefaultParagraphFont"/>
    <w:uiPriority w:val="32"/>
    <w:qFormat/>
    <w:rsid w:val="00091B1E"/>
    <w:rPr>
      <w:b/>
      <w:bCs/>
      <w:smallCaps/>
      <w:color w:val="0F4761" w:themeColor="accent1" w:themeShade="BF"/>
      <w:spacing w:val="5"/>
    </w:rPr>
  </w:style>
  <w:style w:type="table" w:styleId="TableGrid">
    <w:name w:val="Table Grid"/>
    <w:basedOn w:val="TableNormal"/>
    <w:uiPriority w:val="39"/>
    <w:rsid w:val="00BD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2234"/>
    <w:pPr>
      <w:spacing w:after="0" w:line="240" w:lineRule="auto"/>
    </w:pPr>
    <w:rPr>
      <w:rFonts w:ascii="Times New Roman" w:hAnsi="Times New Roman"/>
    </w:rPr>
  </w:style>
  <w:style w:type="paragraph" w:styleId="FootnoteText">
    <w:name w:val="footnote text"/>
    <w:basedOn w:val="Normal"/>
    <w:link w:val="FootnoteTextChar"/>
    <w:uiPriority w:val="99"/>
    <w:unhideWhenUsed/>
    <w:rsid w:val="001B4024"/>
    <w:pPr>
      <w:spacing w:after="0"/>
    </w:pPr>
    <w:rPr>
      <w:szCs w:val="20"/>
    </w:rPr>
  </w:style>
  <w:style w:type="character" w:customStyle="1" w:styleId="FootnoteTextChar">
    <w:name w:val="Footnote Text Char"/>
    <w:basedOn w:val="DefaultParagraphFont"/>
    <w:link w:val="FootnoteText"/>
    <w:uiPriority w:val="99"/>
    <w:rsid w:val="001B4024"/>
    <w:rPr>
      <w:rFonts w:ascii="Times New Roman" w:hAnsi="Times New Roman"/>
      <w:sz w:val="20"/>
      <w:szCs w:val="20"/>
    </w:rPr>
  </w:style>
  <w:style w:type="character" w:styleId="FootnoteReference">
    <w:name w:val="footnote reference"/>
    <w:basedOn w:val="DefaultParagraphFont"/>
    <w:uiPriority w:val="99"/>
    <w:semiHidden/>
    <w:unhideWhenUsed/>
    <w:rsid w:val="001B4024"/>
    <w:rPr>
      <w:vertAlign w:val="superscript"/>
    </w:rPr>
  </w:style>
  <w:style w:type="paragraph" w:customStyle="1" w:styleId="SourceCode">
    <w:name w:val="Source Code"/>
    <w:basedOn w:val="Normal"/>
    <w:link w:val="VerbatimChar"/>
    <w:pPr>
      <w:shd w:val="clear" w:color="auto" w:fill="F1F3F5"/>
      <w:wordWrap w:val="0"/>
    </w:pPr>
  </w:style>
  <w:style w:type="character" w:customStyle="1" w:styleId="KeywordTok">
    <w:name w:val="KeywordTok"/>
    <w:rPr>
      <w:b/>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b/>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paragraph" w:styleId="Header">
    <w:name w:val="header"/>
    <w:basedOn w:val="Normal"/>
    <w:link w:val="HeaderChar"/>
    <w:uiPriority w:val="99"/>
    <w:unhideWhenUsed/>
    <w:rsid w:val="0014162B"/>
    <w:pPr>
      <w:tabs>
        <w:tab w:val="center" w:pos="4513"/>
        <w:tab w:val="right" w:pos="9026"/>
      </w:tabs>
      <w:spacing w:after="0"/>
    </w:pPr>
  </w:style>
  <w:style w:type="character" w:customStyle="1" w:styleId="HeaderChar">
    <w:name w:val="Header Char"/>
    <w:basedOn w:val="DefaultParagraphFont"/>
    <w:link w:val="Header"/>
    <w:uiPriority w:val="99"/>
    <w:rsid w:val="0014162B"/>
    <w:rPr>
      <w:rFonts w:ascii="Times New Roman" w:hAnsi="Times New Roman"/>
      <w:sz w:val="20"/>
    </w:rPr>
  </w:style>
  <w:style w:type="paragraph" w:styleId="Footer">
    <w:name w:val="footer"/>
    <w:basedOn w:val="Normal"/>
    <w:link w:val="FooterChar"/>
    <w:uiPriority w:val="99"/>
    <w:unhideWhenUsed/>
    <w:rsid w:val="0014162B"/>
    <w:pPr>
      <w:tabs>
        <w:tab w:val="center" w:pos="4513"/>
        <w:tab w:val="right" w:pos="9026"/>
      </w:tabs>
      <w:spacing w:after="0"/>
    </w:pPr>
  </w:style>
  <w:style w:type="character" w:customStyle="1" w:styleId="FooterChar">
    <w:name w:val="Footer Char"/>
    <w:basedOn w:val="DefaultParagraphFont"/>
    <w:link w:val="Footer"/>
    <w:uiPriority w:val="99"/>
    <w:rsid w:val="0014162B"/>
    <w:rPr>
      <w:rFonts w:ascii="Times New Roman" w:hAnsi="Times New Roman"/>
      <w:sz w:val="20"/>
    </w:rPr>
  </w:style>
  <w:style w:type="character" w:styleId="LineNumber">
    <w:name w:val="line number"/>
    <w:basedOn w:val="DefaultParagraphFont"/>
    <w:uiPriority w:val="99"/>
    <w:semiHidden/>
    <w:unhideWhenUsed/>
    <w:rsid w:val="008F5E6A"/>
  </w:style>
  <w:style w:type="table" w:styleId="PlainTable5">
    <w:name w:val="Plain Table 5"/>
    <w:basedOn w:val="TableNormal"/>
    <w:uiPriority w:val="45"/>
    <w:rsid w:val="00012905"/>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68344E"/>
    <w:pPr>
      <w:spacing w:before="200"/>
    </w:pPr>
    <w:rPr>
      <w:b/>
      <w:bCs/>
    </w:rPr>
  </w:style>
  <w:style w:type="paragraph" w:styleId="NormalWeb">
    <w:name w:val="Normal (Web)"/>
    <w:basedOn w:val="Normal"/>
    <w:uiPriority w:val="99"/>
    <w:unhideWhenUsed/>
    <w:rsid w:val="00D4178C"/>
    <w:pPr>
      <w:spacing w:before="100" w:beforeAutospacing="1" w:after="100" w:afterAutospacing="1"/>
    </w:pPr>
    <w:rPr>
      <w:rFonts w:eastAsia="Times New Roman" w:cs="Times New Roman"/>
      <w:kern w:val="0"/>
      <w:lang w:eastAsia="en-GB"/>
      <w14:ligatures w14:val="none"/>
    </w:rPr>
  </w:style>
  <w:style w:type="table" w:styleId="PlainTable3">
    <w:name w:val="Plain Table 3"/>
    <w:basedOn w:val="TableNormal"/>
    <w:uiPriority w:val="43"/>
    <w:rsid w:val="005E09B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327718"/>
    <w:rPr>
      <w:b/>
      <w:bCs/>
    </w:rPr>
  </w:style>
  <w:style w:type="paragraph" w:styleId="BodyText">
    <w:name w:val="Body Text"/>
    <w:basedOn w:val="Normal"/>
    <w:link w:val="BodyTextChar"/>
    <w:qFormat/>
    <w:rsid w:val="00B77540"/>
    <w:pPr>
      <w:spacing w:before="180" w:after="180" w:line="240" w:lineRule="auto"/>
    </w:pPr>
    <w:rPr>
      <w:rFonts w:asciiTheme="minorHAnsi" w:hAnsiTheme="minorHAnsi"/>
      <w:kern w:val="0"/>
      <w:lang w:val="en-US"/>
      <w14:ligatures w14:val="none"/>
    </w:rPr>
  </w:style>
  <w:style w:type="character" w:customStyle="1" w:styleId="BodyTextChar">
    <w:name w:val="Body Text Char"/>
    <w:basedOn w:val="DefaultParagraphFont"/>
    <w:link w:val="BodyText"/>
    <w:rsid w:val="00B77540"/>
    <w:rPr>
      <w:kern w:val="0"/>
      <w:sz w:val="24"/>
      <w:szCs w:val="24"/>
      <w:lang w:val="en-US"/>
      <w14:ligatures w14:val="none"/>
    </w:rPr>
  </w:style>
  <w:style w:type="paragraph" w:customStyle="1" w:styleId="FirstParagraph">
    <w:name w:val="First Paragraph"/>
    <w:basedOn w:val="BodyText"/>
    <w:next w:val="BodyText"/>
    <w:qFormat/>
    <w:rsid w:val="00B77540"/>
  </w:style>
  <w:style w:type="paragraph" w:customStyle="1" w:styleId="Compact">
    <w:name w:val="Compact"/>
    <w:basedOn w:val="BodyText"/>
    <w:qFormat/>
    <w:rsid w:val="00B77540"/>
    <w:pPr>
      <w:spacing w:before="36" w:after="36"/>
    </w:pPr>
  </w:style>
  <w:style w:type="table" w:customStyle="1" w:styleId="Table">
    <w:name w:val="Table"/>
    <w:semiHidden/>
    <w:unhideWhenUsed/>
    <w:qFormat/>
    <w:rsid w:val="00B77540"/>
    <w:pPr>
      <w:spacing w:after="200" w:line="240" w:lineRule="auto"/>
    </w:pPr>
    <w:rPr>
      <w:kern w:val="0"/>
      <w:sz w:val="24"/>
      <w:szCs w:val="24"/>
      <w:lang w:val="en-US" w:eastAsia="en-GB" w:bidi="bn-BD"/>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ImageCaption">
    <w:name w:val="Image Caption"/>
    <w:basedOn w:val="Caption"/>
    <w:rsid w:val="00B77540"/>
    <w:pPr>
      <w:spacing w:before="0" w:after="120" w:line="240" w:lineRule="auto"/>
    </w:pPr>
    <w:rPr>
      <w:rFonts w:asciiTheme="minorHAnsi" w:hAnsiTheme="minorHAnsi"/>
      <w:b w:val="0"/>
      <w:bCs w:val="0"/>
      <w:i/>
      <w:kern w:val="0"/>
      <w:lang w:val="en-US"/>
      <w14:ligatures w14:val="none"/>
    </w:rPr>
  </w:style>
  <w:style w:type="character" w:customStyle="1" w:styleId="VerbatimChar">
    <w:name w:val="Verbatim Char"/>
    <w:basedOn w:val="DefaultParagraphFont"/>
    <w:link w:val="SourceCode"/>
    <w:rsid w:val="00B77540"/>
    <w:rPr>
      <w:rFonts w:ascii="Times New Roman" w:hAnsi="Times New Roman"/>
      <w:sz w:val="24"/>
      <w:szCs w:val="24"/>
      <w:shd w:val="clear" w:color="auto" w:fill="F1F3F5"/>
    </w:rPr>
  </w:style>
  <w:style w:type="character" w:styleId="Hyperlink">
    <w:name w:val="Hyperlink"/>
    <w:basedOn w:val="DefaultParagraphFont"/>
    <w:uiPriority w:val="99"/>
    <w:unhideWhenUsed/>
    <w:rsid w:val="00A207E1"/>
    <w:rPr>
      <w:color w:val="467886" w:themeColor="hyperlink"/>
      <w:u w:val="single"/>
    </w:rPr>
  </w:style>
  <w:style w:type="character" w:styleId="UnresolvedMention">
    <w:name w:val="Unresolved Mention"/>
    <w:basedOn w:val="DefaultParagraphFont"/>
    <w:uiPriority w:val="99"/>
    <w:semiHidden/>
    <w:unhideWhenUsed/>
    <w:rsid w:val="00A20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41A5A-A56B-9F48-9E8D-21F021EF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Assessment of Climate Change-Attributed Loss and Damage</dc:title>
  <dc:creator>Nandan Mukherjee (Staff)</dc:creator>
  <cp:lastModifiedBy>Nandan Mukherjee (Staff)</cp:lastModifiedBy>
  <cp:revision>2</cp:revision>
  <dcterms:created xsi:type="dcterms:W3CDTF">2025-07-17T11:32:00Z</dcterms:created>
  <dcterms:modified xsi:type="dcterms:W3CDTF">2025-07-17T11:32:00Z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references_edt.bib</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MSIP_Label_a618d1e0-f5d7-4da7-8ddd-3b83021a2c85_ActionId">
    <vt:lpwstr>605cd85e-7c4f-4bbd-b445-a7d376101298</vt:lpwstr>
  </property>
  <property fmtid="{D5CDD505-2E9C-101B-9397-08002B2CF9AE}" pid="10" name="MSIP_Label_a618d1e0-f5d7-4da7-8ddd-3b83021a2c85_ContentBits">
    <vt:lpwstr>0</vt:lpwstr>
  </property>
  <property fmtid="{D5CDD505-2E9C-101B-9397-08002B2CF9AE}" pid="11" name="MSIP_Label_a618d1e0-f5d7-4da7-8ddd-3b83021a2c85_Enabled">
    <vt:lpwstr>true</vt:lpwstr>
  </property>
  <property fmtid="{D5CDD505-2E9C-101B-9397-08002B2CF9AE}" pid="12" name="MSIP_Label_a618d1e0-f5d7-4da7-8ddd-3b83021a2c85_Method">
    <vt:lpwstr>Privileged</vt:lpwstr>
  </property>
  <property fmtid="{D5CDD505-2E9C-101B-9397-08002B2CF9AE}" pid="13" name="MSIP_Label_a618d1e0-f5d7-4da7-8ddd-3b83021a2c85_Name">
    <vt:lpwstr>Private</vt:lpwstr>
  </property>
  <property fmtid="{D5CDD505-2E9C-101B-9397-08002B2CF9AE}" pid="14" name="MSIP_Label_a618d1e0-f5d7-4da7-8ddd-3b83021a2c85_SetDate">
    <vt:lpwstr>2025-06-17T04:56:49Z</vt:lpwstr>
  </property>
  <property fmtid="{D5CDD505-2E9C-101B-9397-08002B2CF9AE}" pid="15" name="MSIP_Label_a618d1e0-f5d7-4da7-8ddd-3b83021a2c85_SiteId">
    <vt:lpwstr>ae323139-093a-4d2a-81a6-5d334bcd9019</vt:lpwstr>
  </property>
  <property fmtid="{D5CDD505-2E9C-101B-9397-08002B2CF9AE}" pid="16" name="MSIP_Label_a618d1e0-f5d7-4da7-8ddd-3b83021a2c85_Tag">
    <vt:lpwstr>50, 0, 1, 1</vt:lpwstr>
  </property>
  <property fmtid="{D5CDD505-2E9C-101B-9397-08002B2CF9AE}" pid="17" name="toc-title">
    <vt:lpwstr>Table of contents</vt:lpwstr>
  </property>
</Properties>
</file>