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53282" w14:textId="77777777" w:rsidR="00413184" w:rsidRDefault="00413184" w:rsidP="00413184">
      <w:pPr>
        <w:widowControl w:val="0"/>
        <w:spacing w:before="120" w:after="120"/>
        <w:jc w:val="both"/>
        <w:rPr>
          <w:rFonts w:ascii="Calibri" w:hAnsi="Calibri"/>
        </w:rPr>
      </w:pPr>
      <w:r>
        <w:rPr>
          <w:rFonts w:ascii="Calibri" w:hAnsi="Calibri" w:hint="eastAsia"/>
          <w:noProof/>
        </w:rPr>
        <w:drawing>
          <wp:inline distT="0" distB="0" distL="114300" distR="114300" wp14:anchorId="62EB3777" wp14:editId="74BBAFFC">
            <wp:extent cx="3090545" cy="3919855"/>
            <wp:effectExtent l="0" t="0" r="8255" b="4445"/>
            <wp:docPr id="5" name="图片 5" descr="p-p38_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p-p38_tu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391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B8D84" w14:textId="3B0FA9A0" w:rsidR="004E780C" w:rsidRDefault="00413184" w:rsidP="00413184">
      <w:r>
        <w:rPr>
          <w:rFonts w:ascii="Calibri" w:hAnsi="Calibri" w:hint="eastAsia"/>
          <w:sz w:val="21"/>
          <w:szCs w:val="21"/>
        </w:rPr>
        <w:t>Supplementary Figure 1 | Phospho-p38 (T180/Y182) levels in HEK293T cell models expressing physiologic (15Q) or pathogenic (77Q) ataxin-3 with or without gastrodin treatment.</w:t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184"/>
    <w:rsid w:val="002978F5"/>
    <w:rsid w:val="003852CF"/>
    <w:rsid w:val="003F143F"/>
    <w:rsid w:val="00413184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1C549"/>
  <w15:chartTrackingRefBased/>
  <w15:docId w15:val="{3833D84A-850E-491A-B94F-EE48CE62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184"/>
    <w:pPr>
      <w:spacing w:after="200" w:line="276" w:lineRule="auto"/>
    </w:pPr>
    <w:rPr>
      <w:rFonts w:ascii="Times New Roman" w:eastAsia="SimSun" w:hAnsi="Times New Roman" w:cs="Times New Roman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31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1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18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18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18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18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18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18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18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1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1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1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1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1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3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18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3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18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3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18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31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1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1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1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2025-07-28T17:01:00Z</dcterms:created>
  <dcterms:modified xsi:type="dcterms:W3CDTF">2025-07-28T17:01:00Z</dcterms:modified>
</cp:coreProperties>
</file>