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Supplementary Material</w:t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Table S1. ICD-9/-10 codes used for identification of psychiatric disorders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23"/>
        <w:gridCol w:w="1335"/>
        <w:gridCol w:w="5684"/>
      </w:tblGrid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Psychiatric disorder category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Code type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Codes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Anxiety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309.0, 309.24, 309.28, 309.3, 309.4, 309.29, 309.82, 309.83, 309.89, 309.9,300.02, 300.3, 698.4, 306.3, 312.39, 300.09, 313.0, 313.1, 313.21, 313.22, 313.3, 313.89, 300.00, 313.9,313.23,308.3,309.2 , 300.23, 300.01, 309.81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ICD-10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F43.20, F43.21, F43.22, F43.23, F43.24, F43.25, F43.29, F94.8, F94.9, F41.1, F42, F42.2, F42.8 ,F42.9 , F42.4, L98.1, F63.3, F94.2, F41.3, F41.8, F93.8, F41.9, F93.9, F94.0, F43.0, F94.1, F93.0, F40.10, F40.11, F41.0, F43.8, F43.10, F43.11, F43.12, F43.9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Behavioral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314.00, 314.01, 314.1, 314.2, 314.9, 312.00, 312.01, 312.02, 312.03, 312.10, 312.11, 312.12, 312.13, 312.20, 312.21, 312.22, 312.23, 312.81, 312.82, 312.4, 312.89 ,312.9, 313.81, 312.34, 312.35, 312.39, 312.30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ICD-10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F90.0, F90.1, F90.2, F90.8, F90.9, F91.0, F91.1, F91.2, F91.8, F91.9, F91.3, F63.81, F98.8, F63.89, F98.9, F63.9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Mood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ICD-9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296.00, 296.01, 296.02, 296.03, 296.04, 296.05, 296.06, 296.40, 296.41, 296.42, 296.43, 296.44, 296.45, 296.46, 296.50, 296.51, 296.52, 296.53, 296.54, 296.55, 296.56, 296.60, 296.61, 296.62, 296.63, 296.64, 296.65, 296.66, 296.7, 296.89, 296.80, 301.13, 296.10, 296.11, 296.12, 296.13, 296.14, 296.15, 296.16, 296.81, 300.4, 296.20, 296.21, 296.22, 296.23, 296.24, 296.25, 296.26, 296.30, 296.31, 296.32, 296.33, 296.34, 296.35, 296.36, 296.82, 298.0, 309.1, 311, 301.12, 296.90, 296.99, 301.10</w:t>
            </w:r>
          </w:p>
        </w:tc>
      </w:tr>
      <w:tr w:rsidR="0039582E" w:rsidTr="0039582E"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ICD-10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F31.0, F31.10, F31.11, F31.12, F31.13, F31.2, F31.30, F31.31, F31.32, F31.4, F31.5, F31.60, F31.61, F31.62, F31.63, F31.64, F31.70, F31.71, F31.72, F31.73, F31.74, F31.75, F31.76, F31.77, F31.78, F31.81, F31.89, F31.9, F34.0, F30.10, F30.11, F30.12, F30.13, F30.2, F30.3, F30.4, F30.8, F34.1, F32.0, F32.1, F32.2, F32.3, F32.4, F32.5, F32.9, F33.0, F33.1, F33.2, F33.3, F33.40, F33.41, F33.42, F33.9, F32.8, F32.89, F33.8, F34.81, F34.9, F39, F34.8, F34.89,</w:t>
            </w:r>
          </w:p>
        </w:tc>
      </w:tr>
    </w:tbl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Figure S1.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Time to diagnosis of behavioral disorder (n=943 participants; n=21 events; risk=2.7 cases per 1,000 person-years)</w:t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noProof/>
          <w:color w:val="000000"/>
          <w:lang w:val="en-IN" w:eastAsia="en-IN"/>
        </w:rPr>
        <w:drawing>
          <wp:inline distT="0" distB="0" distL="0" distR="0">
            <wp:extent cx="5943600" cy="4457700"/>
            <wp:effectExtent l="0" t="0" r="0" b="0"/>
            <wp:docPr id="1" name="Picture 1" descr="Product-Limit Survival Curves with Number of Subjects at Ri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roduct-Limit Survival Curves with Number of Subjects at Ri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S2. </w:t>
      </w:r>
      <w:proofErr w:type="gramStart"/>
      <w:r>
        <w:rPr>
          <w:rFonts w:ascii="Times New Roman" w:hAnsi="Times New Roman" w:cs="Times New Roman"/>
          <w:b/>
        </w:rPr>
        <w:t>Predictors of diagnosis of any psychiatric disorders.</w:t>
      </w:r>
      <w:proofErr w:type="gramEnd"/>
      <w:r>
        <w:rPr>
          <w:rFonts w:ascii="Times New Roman" w:hAnsi="Times New Roman" w:cs="Times New Roman"/>
          <w:b/>
        </w:rPr>
        <w:t xml:space="preserve"> Results of unadjusted time-varying cox-proportional hazards models (n=943 participants; n=109 events)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12"/>
        <w:gridCol w:w="1436"/>
        <w:gridCol w:w="2399"/>
        <w:gridCol w:w="895"/>
      </w:tblGrid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Unadjusted models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Psychiatric Disorder</w:t>
            </w:r>
          </w:p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Hazard ratio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95% confidence interval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i/>
              </w:rPr>
              <w:t>p</w:t>
            </w:r>
            <w:r>
              <w:rPr>
                <w:rFonts w:cs="Times New Roman"/>
              </w:rPr>
              <w:t>-value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Age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Children (0-12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0.41 to 1.11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Adolescents (13-17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2.27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1.40 to 3.69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Adults (18+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Female vs. 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1.33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0.91 to 1.94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0.14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0.07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White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Black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0.41 to 1.54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0.50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Asian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0.18 to 0.79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0.50 to 1.52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Hispanic vs. non-Hispanic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0.44 to 1.27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0.28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Diagnosis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0.07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FSGS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0.82 to 3.64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0.15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Minimal Change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2.41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1.15 to 5.05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Membranous Nephropathy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1.71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0.69 to 4.21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0.25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NS-not biopsied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IgA Nephropathy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0.39 to 2.27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0.89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1.68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0.74 to 3.82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eGFR</w:t>
            </w:r>
            <w:proofErr w:type="spellEnd"/>
            <w:r>
              <w:rPr>
                <w:rFonts w:cs="Times New Roman"/>
              </w:rPr>
              <w:t xml:space="preserve"> per 30ml/min/1.73m</w:t>
            </w:r>
            <w:r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0.98 to 1.20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0.10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UPCR per 1 log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1.08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0.97 to 1.22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0.17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Steroid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1.97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1.34 to 2.90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Steroid dose per mg/kg/day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1.57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0.98 to 2.51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0.06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Cumulative months of steroid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1.42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0.31 to 6.47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0.65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CNI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1.44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0.90 to 2.32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0.13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CTX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0.26 to 1.94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MMF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1.35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0.81 to 2.25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0.26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Rituximab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2.39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1.10 to 5.19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0.03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Cumulative months of non-steroid IST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1.87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0.33 to 10.66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0.48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Number of IST treatments (per 1 medication)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1.17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1.03 to 1.34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0.02</w:t>
            </w:r>
          </w:p>
        </w:tc>
      </w:tr>
    </w:tbl>
    <w:p w:rsidR="0039582E" w:rsidRDefault="0039582E" w:rsidP="003958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CNI, </w:t>
      </w:r>
      <w:proofErr w:type="spellStart"/>
      <w:r>
        <w:rPr>
          <w:rFonts w:ascii="Times New Roman" w:hAnsi="Times New Roman" w:cs="Times New Roman"/>
        </w:rPr>
        <w:t>Calcineurin</w:t>
      </w:r>
      <w:proofErr w:type="spellEnd"/>
      <w:r>
        <w:rPr>
          <w:rFonts w:ascii="Times New Roman" w:hAnsi="Times New Roman" w:cs="Times New Roman"/>
        </w:rPr>
        <w:t xml:space="preserve"> inhibitors; CTX, Cytoxan; </w:t>
      </w:r>
      <w:proofErr w:type="spellStart"/>
      <w:r>
        <w:rPr>
          <w:rFonts w:ascii="Times New Roman" w:hAnsi="Times New Roman" w:cs="Times New Roman"/>
        </w:rPr>
        <w:t>eGFR</w:t>
      </w:r>
      <w:proofErr w:type="spellEnd"/>
      <w:r>
        <w:rPr>
          <w:rFonts w:ascii="Times New Roman" w:hAnsi="Times New Roman" w:cs="Times New Roman"/>
        </w:rPr>
        <w:t xml:space="preserve">, estimated glomerular filtration rate; FSGS, focal segmental glomerulosclerosis; IQR, interquartile range; IST, immunosuppressive therapy; MMF, mycophenolate </w:t>
      </w:r>
      <w:proofErr w:type="spellStart"/>
      <w:r>
        <w:rPr>
          <w:rFonts w:ascii="Times New Roman" w:hAnsi="Times New Roman" w:cs="Times New Roman"/>
        </w:rPr>
        <w:t>mofetil</w:t>
      </w:r>
      <w:proofErr w:type="spellEnd"/>
      <w:r>
        <w:rPr>
          <w:rFonts w:ascii="Times New Roman" w:hAnsi="Times New Roman" w:cs="Times New Roman"/>
        </w:rPr>
        <w:t>; NS, nephrotic syndrome; UPCR, urine protein: creatinine ratio</w:t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9582E" w:rsidRDefault="0039582E" w:rsidP="0039582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Table S3. </w:t>
      </w:r>
      <w:proofErr w:type="gramStart"/>
      <w:r>
        <w:rPr>
          <w:rFonts w:ascii="Times New Roman" w:hAnsi="Times New Roman" w:cs="Times New Roman"/>
          <w:b/>
        </w:rPr>
        <w:t>Predictors of ESKD.</w:t>
      </w:r>
      <w:proofErr w:type="gramEnd"/>
      <w:r>
        <w:rPr>
          <w:rFonts w:ascii="Times New Roman" w:hAnsi="Times New Roman" w:cs="Times New Roman"/>
          <w:b/>
        </w:rPr>
        <w:t xml:space="preserve"> Results of unadjusted time-varying cox-proportional hazards models (n=943 participants; n=329 events)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519"/>
        <w:gridCol w:w="1427"/>
        <w:gridCol w:w="2401"/>
        <w:gridCol w:w="895"/>
      </w:tblGrid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Unadjusted models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ESKD</w:t>
            </w:r>
          </w:p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Hazard ratio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95% confidence interval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  <w:i/>
              </w:rPr>
              <w:t>p</w:t>
            </w:r>
            <w:r>
              <w:rPr>
                <w:rFonts w:cs="Times New Roman"/>
              </w:rPr>
              <w:t>-value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Onset of psychiatric disorder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1.43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0.91 to 2.26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eastAsia="Times New Roman" w:cs="Times New Roman"/>
              </w:rPr>
            </w:pPr>
            <w:r>
              <w:rPr>
                <w:rFonts w:eastAsia="Times New Roman" w:cs="Times New Roman"/>
              </w:rPr>
              <w:t>0.12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Age at kidney disease onset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Children (0-12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0.35 to 0.59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Adolescents (13-17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0.70 to 1.51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0.89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Adults (18+ years)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Female vs. male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0.85 to 1.33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0.59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Race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0.85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White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Black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1.16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0.80 to 1.68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0.44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Asian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0.96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0.69 to 1.32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0.79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0.72 to 1.45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0.90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Hispanic vs. non-Hispanic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1.30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0.99 to 1.71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0.06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Diagnosis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FSGS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6.05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3.24 to 11.30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Minimal Change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1.45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0.71 to 2.98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Membranous Nephropathy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3.19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1.54 to 6.60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0.002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NS-not biopsied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REF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IgA Nephropathy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4.70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2.46 to 8.97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ind w:left="152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Other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3.62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1.85 to 7.07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proofErr w:type="spellStart"/>
            <w:r>
              <w:rPr>
                <w:rFonts w:cs="Times New Roman"/>
              </w:rPr>
              <w:t>eGFR</w:t>
            </w:r>
            <w:proofErr w:type="spellEnd"/>
            <w:r>
              <w:rPr>
                <w:rFonts w:cs="Times New Roman"/>
              </w:rPr>
              <w:t xml:space="preserve"> at onset per 30ml/min/1.73m</w:t>
            </w:r>
            <w:r>
              <w:rPr>
                <w:rFonts w:cs="Times New Roman"/>
                <w:vertAlign w:val="superscript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0.54 to 0.64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UPCR at onset per 1 log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1.11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1.02 to 1.20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Steroid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0.34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0.27 to 0.43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CNI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0.48 to 0.81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CTX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0.22 to 0.61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MMF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0.53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0.40 to 0.69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Rituximab treatment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0.49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0.33 to 0.73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  <w:tr w:rsidR="0039582E" w:rsidTr="0039582E">
        <w:tc>
          <w:tcPr>
            <w:tcW w:w="4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Number of IST treatments (per 1 medication)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0.63 to 0.76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82E" w:rsidRDefault="0039582E">
            <w:pPr>
              <w:spacing w:after="0" w:line="240" w:lineRule="auto"/>
              <w:jc w:val="center"/>
              <w:rPr>
                <w:rFonts w:cs="Times New Roman"/>
              </w:rPr>
            </w:pPr>
            <w:r>
              <w:rPr>
                <w:rFonts w:eastAsia="Times New Roman" w:cs="Times New Roman"/>
              </w:rPr>
              <w:t>&lt;0.001</w:t>
            </w:r>
          </w:p>
        </w:tc>
      </w:tr>
    </w:tbl>
    <w:p w:rsidR="0039582E" w:rsidRDefault="0039582E" w:rsidP="0039582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Abbreviations: ESKD, end stage kidney disease; CNI, </w:t>
      </w:r>
      <w:proofErr w:type="spellStart"/>
      <w:r>
        <w:rPr>
          <w:rFonts w:ascii="Times New Roman" w:hAnsi="Times New Roman" w:cs="Times New Roman"/>
        </w:rPr>
        <w:t>Calcineurin</w:t>
      </w:r>
      <w:proofErr w:type="spellEnd"/>
      <w:r>
        <w:rPr>
          <w:rFonts w:ascii="Times New Roman" w:hAnsi="Times New Roman" w:cs="Times New Roman"/>
        </w:rPr>
        <w:t xml:space="preserve"> inhibitors; CTX, Cytoxan; </w:t>
      </w:r>
      <w:proofErr w:type="spellStart"/>
      <w:r>
        <w:rPr>
          <w:rFonts w:ascii="Times New Roman" w:hAnsi="Times New Roman" w:cs="Times New Roman"/>
        </w:rPr>
        <w:t>eGFR</w:t>
      </w:r>
      <w:proofErr w:type="spellEnd"/>
      <w:r>
        <w:rPr>
          <w:rFonts w:ascii="Times New Roman" w:hAnsi="Times New Roman" w:cs="Times New Roman"/>
        </w:rPr>
        <w:t xml:space="preserve">, estimated glomerular filtration rate; FSGS, focal segmental glomerulosclerosis; IQR, interquartile range; IST, immunosuppressive therapy; MMF, mycophenolate </w:t>
      </w:r>
      <w:proofErr w:type="spellStart"/>
      <w:r>
        <w:rPr>
          <w:rFonts w:ascii="Times New Roman" w:hAnsi="Times New Roman" w:cs="Times New Roman"/>
        </w:rPr>
        <w:t>mofetil</w:t>
      </w:r>
      <w:proofErr w:type="spellEnd"/>
      <w:r>
        <w:rPr>
          <w:rFonts w:ascii="Times New Roman" w:hAnsi="Times New Roman" w:cs="Times New Roman"/>
        </w:rPr>
        <w:t>; NS, nephrotic syndrome; UPCR, urine protein: creatinine ratio</w:t>
      </w:r>
    </w:p>
    <w:p w:rsidR="0039582E" w:rsidRDefault="0039582E" w:rsidP="0039582E">
      <w:pPr>
        <w:rPr>
          <w:rFonts w:ascii="Times New Roman" w:hAnsi="Times New Roman" w:cs="Times New Roman"/>
        </w:rPr>
      </w:pPr>
    </w:p>
    <w:p w:rsidR="0039582E" w:rsidRDefault="0039582E" w:rsidP="0039582E">
      <w:pPr>
        <w:rPr>
          <w:rFonts w:ascii="Times New Roman" w:hAnsi="Times New Roman" w:cs="Times New Roman"/>
        </w:rPr>
      </w:pPr>
    </w:p>
    <w:p w:rsidR="008D3C87" w:rsidRDefault="008D3C87">
      <w:bookmarkStart w:id="0" w:name="_GoBack"/>
      <w:bookmarkEnd w:id="0"/>
    </w:p>
    <w:sectPr w:rsidR="008D3C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582E"/>
    <w:rsid w:val="0039582E"/>
    <w:rsid w:val="008D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2E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82E"/>
    <w:pPr>
      <w:spacing w:after="0" w:line="240" w:lineRule="auto"/>
    </w:pPr>
    <w:rPr>
      <w:rFonts w:ascii="Times New Roman" w:hAnsi="Times New Roman"/>
      <w:sz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82E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582E"/>
    <w:pPr>
      <w:spacing w:after="160"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582E"/>
    <w:pPr>
      <w:spacing w:after="0" w:line="240" w:lineRule="auto"/>
    </w:pPr>
    <w:rPr>
      <w:rFonts w:ascii="Times New Roman" w:hAnsi="Times New Roman"/>
      <w:sz w:val="24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958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582E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1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SagarMhande</dc:creator>
  <cp:lastModifiedBy>SagarMhande</cp:lastModifiedBy>
  <cp:revision>1</cp:revision>
  <dcterms:created xsi:type="dcterms:W3CDTF">2020-10-05T12:58:00Z</dcterms:created>
  <dcterms:modified xsi:type="dcterms:W3CDTF">2020-10-05T12:59:00Z</dcterms:modified>
</cp:coreProperties>
</file>