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D673C" w14:textId="218FD7E8" w:rsidR="002975C5" w:rsidRDefault="009E4BAC" w:rsidP="00F65395">
      <w:pPr>
        <w:spacing w:line="480" w:lineRule="auto"/>
        <w:rPr>
          <w:b/>
          <w:bCs/>
        </w:rPr>
      </w:pPr>
      <w:r w:rsidRPr="009E4BAC">
        <w:rPr>
          <w:rFonts w:eastAsiaTheme="minorEastAsia"/>
          <w:b/>
          <w:bCs/>
          <w:lang w:eastAsia="zh-TW"/>
        </w:rPr>
        <w:t xml:space="preserve">Supplementary Figure </w:t>
      </w:r>
      <w:r w:rsidR="009448C5">
        <w:rPr>
          <w:rFonts w:eastAsiaTheme="minorEastAsia" w:hint="eastAsia"/>
          <w:b/>
          <w:bCs/>
          <w:lang w:eastAsia="zh-TW"/>
        </w:rPr>
        <w:t>S</w:t>
      </w:r>
      <w:r w:rsidRPr="009E4BAC">
        <w:rPr>
          <w:rFonts w:eastAsiaTheme="minorEastAsia"/>
          <w:b/>
          <w:bCs/>
          <w:lang w:eastAsia="zh-TW"/>
        </w:rPr>
        <w:t>1. Distribution of Countries for the Studying Abroad Students’ Group</w:t>
      </w:r>
      <w:r>
        <w:rPr>
          <w:rFonts w:eastAsiaTheme="minorEastAsia" w:hint="eastAsia"/>
          <w:b/>
          <w:bCs/>
          <w:lang w:eastAsia="zh-TW"/>
        </w:rPr>
        <w:t xml:space="preserve">. </w:t>
      </w:r>
      <w:r w:rsidRPr="009E4BAC">
        <w:rPr>
          <w:rFonts w:eastAsiaTheme="minorEastAsia"/>
          <w:lang w:eastAsia="zh-TW"/>
        </w:rPr>
        <w:t>In this study, about 47% of the sample were currently active students in Taiwan, and the majority communicated with their peer groups in Taiwan, given the study's sampling technique. The sample also included 13% of participants from Japan, 6% from South Korea, 9% from Malaysia and Mainland China, 5% from Thailand, 3% from the United Kingdom, 4% from Malaysia, 2% from Turkey, and 1% from Singapore, Switzerland, the Philippines, Germany, Hungary, Ireland, and the United States</w:t>
      </w:r>
      <w:r>
        <w:rPr>
          <w:rFonts w:eastAsiaTheme="minorEastAsia" w:hint="eastAsia"/>
          <w:lang w:eastAsia="zh-TW"/>
        </w:rPr>
        <w:t>.</w:t>
      </w:r>
      <w:r w:rsidR="00F65395">
        <w:rPr>
          <w:b/>
          <w:bCs/>
          <w:noProof/>
        </w:rPr>
        <w:drawing>
          <wp:inline distT="0" distB="0" distL="0" distR="0" wp14:anchorId="0B851396" wp14:editId="28BE5B89">
            <wp:extent cx="6919913" cy="3943350"/>
            <wp:effectExtent l="0" t="0" r="14605" b="0"/>
            <wp:docPr id="8362814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1CE2881" w14:textId="77777777" w:rsidR="002975C5" w:rsidRDefault="002975C5">
      <w:pPr>
        <w:rPr>
          <w:rFonts w:eastAsiaTheme="minorEastAsia"/>
          <w:b/>
          <w:bCs/>
          <w:lang w:eastAsia="zh-TW"/>
        </w:rPr>
      </w:pPr>
      <w:r>
        <w:rPr>
          <w:b/>
          <w:bCs/>
        </w:rPr>
        <w:br w:type="page"/>
      </w:r>
    </w:p>
    <w:p w14:paraId="77778681" w14:textId="1F518B30" w:rsidR="00596603" w:rsidRPr="00596603" w:rsidRDefault="004526C7">
      <w:pPr>
        <w:rPr>
          <w:rFonts w:eastAsiaTheme="minorEastAsia" w:hint="eastAsia"/>
          <w:b/>
          <w:bCs/>
          <w:lang w:eastAsia="zh-TW"/>
        </w:rPr>
      </w:pPr>
      <w:r w:rsidRPr="009E4BAC">
        <w:rPr>
          <w:rFonts w:eastAsiaTheme="minorEastAsia"/>
          <w:b/>
          <w:bCs/>
          <w:lang w:eastAsia="zh-TW"/>
        </w:rPr>
        <w:lastRenderedPageBreak/>
        <w:t xml:space="preserve">Supplementary </w:t>
      </w:r>
      <w:r>
        <w:rPr>
          <w:rFonts w:eastAsiaTheme="minorEastAsia" w:hint="eastAsia"/>
          <w:b/>
          <w:bCs/>
          <w:lang w:eastAsia="zh-TW"/>
        </w:rPr>
        <w:t>Table</w:t>
      </w:r>
      <w:r w:rsidRPr="009E4BAC">
        <w:rPr>
          <w:rFonts w:eastAsiaTheme="minorEastAsia"/>
          <w:b/>
          <w:bCs/>
          <w:lang w:eastAsia="zh-TW"/>
        </w:rPr>
        <w:t xml:space="preserve"> </w:t>
      </w:r>
      <w:r>
        <w:rPr>
          <w:rFonts w:eastAsiaTheme="minorEastAsia" w:hint="eastAsia"/>
          <w:b/>
          <w:bCs/>
          <w:lang w:eastAsia="zh-TW"/>
        </w:rPr>
        <w:t>S</w:t>
      </w:r>
      <w:r w:rsidRPr="009E4BAC">
        <w:rPr>
          <w:rFonts w:eastAsiaTheme="minorEastAsia"/>
          <w:b/>
          <w:bCs/>
          <w:lang w:eastAsia="zh-TW"/>
        </w:rPr>
        <w:t>1</w:t>
      </w:r>
      <w:r>
        <w:rPr>
          <w:rFonts w:eastAsiaTheme="minorEastAsia" w:hint="eastAsia"/>
          <w:b/>
          <w:bCs/>
          <w:lang w:eastAsia="zh-TW"/>
        </w:rPr>
        <w:t xml:space="preserve">. </w:t>
      </w:r>
      <w:r w:rsidR="0061465A" w:rsidRPr="0061465A">
        <w:rPr>
          <w:rFonts w:eastAsiaTheme="minorEastAsia"/>
          <w:lang w:eastAsia="zh-TW"/>
        </w:rPr>
        <w:t>Full (below the diagonal) and partial (above the diagonal) correlation matrices between measured variables are illustrated, with warmer colors denoting positive correlations and cooler colors denoting negative correlations among the domestic group of postgraduate students (n=193).</w:t>
      </w:r>
    </w:p>
    <w:p w14:paraId="393F406E" w14:textId="4372565F" w:rsidR="00F65395" w:rsidRDefault="00596603" w:rsidP="00596603">
      <w:pPr>
        <w:rPr>
          <w:rFonts w:eastAsiaTheme="minorEastAsia"/>
          <w:b/>
          <w:bCs/>
          <w:lang w:eastAsia="zh-TW"/>
        </w:rPr>
      </w:pPr>
      <w:r w:rsidRPr="00596603">
        <w:rPr>
          <w:rFonts w:eastAsiaTheme="minorEastAsia"/>
          <w:noProof/>
        </w:rPr>
        <w:drawing>
          <wp:inline distT="0" distB="0" distL="0" distR="0" wp14:anchorId="41F482CA" wp14:editId="6B3C05DF">
            <wp:extent cx="7982093" cy="5836285"/>
            <wp:effectExtent l="0" t="0" r="0" b="0"/>
            <wp:docPr id="1482006496"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83080" cy="5837007"/>
                    </a:xfrm>
                    <a:prstGeom prst="rect">
                      <a:avLst/>
                    </a:prstGeom>
                    <a:noFill/>
                    <a:ln>
                      <a:noFill/>
                    </a:ln>
                  </pic:spPr>
                </pic:pic>
              </a:graphicData>
            </a:graphic>
          </wp:inline>
        </w:drawing>
      </w:r>
    </w:p>
    <w:p w14:paraId="21652601" w14:textId="6FFE6B3E" w:rsidR="00596603" w:rsidRDefault="00596603" w:rsidP="00596603">
      <w:pPr>
        <w:rPr>
          <w:rFonts w:eastAsiaTheme="minorEastAsia"/>
          <w:b/>
          <w:bCs/>
          <w:lang w:eastAsia="zh-TW"/>
        </w:rPr>
      </w:pPr>
    </w:p>
    <w:p w14:paraId="58E4CDC0" w14:textId="3A51338A" w:rsidR="006069AF" w:rsidRPr="00596603" w:rsidRDefault="006069AF" w:rsidP="006069AF">
      <w:pPr>
        <w:rPr>
          <w:rFonts w:eastAsiaTheme="minorEastAsia" w:hint="eastAsia"/>
          <w:b/>
          <w:bCs/>
          <w:lang w:eastAsia="zh-TW"/>
        </w:rPr>
      </w:pPr>
      <w:r w:rsidRPr="009E4BAC">
        <w:rPr>
          <w:rFonts w:eastAsiaTheme="minorEastAsia"/>
          <w:b/>
          <w:bCs/>
          <w:lang w:eastAsia="zh-TW"/>
        </w:rPr>
        <w:lastRenderedPageBreak/>
        <w:t xml:space="preserve">Supplementary </w:t>
      </w:r>
      <w:r>
        <w:rPr>
          <w:rFonts w:eastAsiaTheme="minorEastAsia" w:hint="eastAsia"/>
          <w:b/>
          <w:bCs/>
          <w:lang w:eastAsia="zh-TW"/>
        </w:rPr>
        <w:t>Table</w:t>
      </w:r>
      <w:r w:rsidRPr="009E4BAC">
        <w:rPr>
          <w:rFonts w:eastAsiaTheme="minorEastAsia"/>
          <w:b/>
          <w:bCs/>
          <w:lang w:eastAsia="zh-TW"/>
        </w:rPr>
        <w:t xml:space="preserve"> </w:t>
      </w:r>
      <w:r>
        <w:rPr>
          <w:rFonts w:eastAsiaTheme="minorEastAsia" w:hint="eastAsia"/>
          <w:b/>
          <w:bCs/>
          <w:lang w:eastAsia="zh-TW"/>
        </w:rPr>
        <w:t>S</w:t>
      </w:r>
      <w:r>
        <w:rPr>
          <w:rFonts w:eastAsiaTheme="minorEastAsia" w:hint="eastAsia"/>
          <w:b/>
          <w:bCs/>
          <w:lang w:eastAsia="zh-TW"/>
        </w:rPr>
        <w:t>2</w:t>
      </w:r>
      <w:r>
        <w:rPr>
          <w:rFonts w:eastAsiaTheme="minorEastAsia" w:hint="eastAsia"/>
          <w:b/>
          <w:bCs/>
          <w:lang w:eastAsia="zh-TW"/>
        </w:rPr>
        <w:t xml:space="preserve">. </w:t>
      </w:r>
      <w:r w:rsidRPr="0061465A">
        <w:rPr>
          <w:rFonts w:eastAsiaTheme="minorEastAsia"/>
          <w:lang w:eastAsia="zh-TW"/>
        </w:rPr>
        <w:t xml:space="preserve">Full (below the diagonal) and partial (above the diagonal) correlation matrices between measured variables are illustrated, with warmer colors denoting positive correlations and cooler colors denoting negative correlations among the </w:t>
      </w:r>
      <w:r>
        <w:rPr>
          <w:rFonts w:eastAsiaTheme="minorEastAsia" w:hint="eastAsia"/>
          <w:lang w:eastAsia="zh-TW"/>
        </w:rPr>
        <w:t>international</w:t>
      </w:r>
      <w:r w:rsidRPr="0061465A">
        <w:rPr>
          <w:rFonts w:eastAsiaTheme="minorEastAsia"/>
          <w:lang w:eastAsia="zh-TW"/>
        </w:rPr>
        <w:t xml:space="preserve"> group of postgraduate students (n=193).</w:t>
      </w:r>
    </w:p>
    <w:p w14:paraId="1F0077BE" w14:textId="2EC2903D" w:rsidR="00596603" w:rsidRPr="00596603" w:rsidRDefault="006069AF" w:rsidP="00596603">
      <w:pPr>
        <w:rPr>
          <w:rFonts w:eastAsiaTheme="minorEastAsia"/>
          <w:b/>
          <w:bCs/>
          <w:lang w:eastAsia="zh-TW"/>
        </w:rPr>
      </w:pPr>
      <w:r w:rsidRPr="00596603">
        <w:rPr>
          <w:rFonts w:eastAsiaTheme="minorEastAsia" w:hint="eastAsia"/>
          <w:noProof/>
        </w:rPr>
        <w:drawing>
          <wp:inline distT="0" distB="0" distL="0" distR="0" wp14:anchorId="79242E14" wp14:editId="055CDAEB">
            <wp:extent cx="8355148" cy="6109053"/>
            <wp:effectExtent l="0" t="0" r="8255" b="6350"/>
            <wp:docPr id="1522147082"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58901" cy="6111797"/>
                    </a:xfrm>
                    <a:prstGeom prst="rect">
                      <a:avLst/>
                    </a:prstGeom>
                    <a:noFill/>
                    <a:ln>
                      <a:noFill/>
                    </a:ln>
                  </pic:spPr>
                </pic:pic>
              </a:graphicData>
            </a:graphic>
          </wp:inline>
        </w:drawing>
      </w:r>
    </w:p>
    <w:sectPr w:rsidR="00596603" w:rsidRPr="00596603" w:rsidSect="00596603">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66E62" w14:textId="77777777" w:rsidR="00622507" w:rsidRDefault="00622507" w:rsidP="00F65395">
      <w:r>
        <w:separator/>
      </w:r>
    </w:p>
  </w:endnote>
  <w:endnote w:type="continuationSeparator" w:id="0">
    <w:p w14:paraId="4855BF74" w14:textId="77777777" w:rsidR="00622507" w:rsidRDefault="00622507" w:rsidP="00F6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9D911" w14:textId="77777777" w:rsidR="00622507" w:rsidRDefault="00622507" w:rsidP="00F65395">
      <w:r>
        <w:separator/>
      </w:r>
    </w:p>
  </w:footnote>
  <w:footnote w:type="continuationSeparator" w:id="0">
    <w:p w14:paraId="4F075146" w14:textId="77777777" w:rsidR="00622507" w:rsidRDefault="00622507" w:rsidP="00F65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B33"/>
    <w:rsid w:val="0024093B"/>
    <w:rsid w:val="002975C5"/>
    <w:rsid w:val="00404B33"/>
    <w:rsid w:val="004526C7"/>
    <w:rsid w:val="004C2051"/>
    <w:rsid w:val="00596603"/>
    <w:rsid w:val="005D15C6"/>
    <w:rsid w:val="006069AF"/>
    <w:rsid w:val="0061465A"/>
    <w:rsid w:val="00622507"/>
    <w:rsid w:val="006F5EE5"/>
    <w:rsid w:val="009448C5"/>
    <w:rsid w:val="009566D4"/>
    <w:rsid w:val="009E4BAC"/>
    <w:rsid w:val="00B66237"/>
    <w:rsid w:val="00C56965"/>
    <w:rsid w:val="00C60D82"/>
    <w:rsid w:val="00DD7889"/>
    <w:rsid w:val="00F65395"/>
    <w:rsid w:val="00F824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DADE3"/>
  <w15:chartTrackingRefBased/>
  <w15:docId w15:val="{7EE04F32-86E9-46DE-A817-2D038AAF2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395"/>
    <w:rPr>
      <w:rFonts w:ascii="Times New Roman" w:eastAsia="Times New Roman" w:hAnsi="Times New Roman" w:cs="Times New Roman"/>
      <w:kern w:val="0"/>
      <w:szCs w:val="24"/>
      <w:lang w:val="en-ID"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395"/>
    <w:pPr>
      <w:tabs>
        <w:tab w:val="center" w:pos="4153"/>
        <w:tab w:val="right" w:pos="8306"/>
      </w:tabs>
      <w:snapToGrid w:val="0"/>
    </w:pPr>
    <w:rPr>
      <w:sz w:val="20"/>
      <w:szCs w:val="20"/>
    </w:rPr>
  </w:style>
  <w:style w:type="character" w:customStyle="1" w:styleId="a4">
    <w:name w:val="頁首 字元"/>
    <w:basedOn w:val="a0"/>
    <w:link w:val="a3"/>
    <w:uiPriority w:val="99"/>
    <w:rsid w:val="00F65395"/>
    <w:rPr>
      <w:sz w:val="20"/>
      <w:szCs w:val="20"/>
    </w:rPr>
  </w:style>
  <w:style w:type="paragraph" w:styleId="a5">
    <w:name w:val="footer"/>
    <w:basedOn w:val="a"/>
    <w:link w:val="a6"/>
    <w:uiPriority w:val="99"/>
    <w:unhideWhenUsed/>
    <w:rsid w:val="00F65395"/>
    <w:pPr>
      <w:tabs>
        <w:tab w:val="center" w:pos="4153"/>
        <w:tab w:val="right" w:pos="8306"/>
      </w:tabs>
      <w:snapToGrid w:val="0"/>
    </w:pPr>
    <w:rPr>
      <w:sz w:val="20"/>
      <w:szCs w:val="20"/>
    </w:rPr>
  </w:style>
  <w:style w:type="character" w:customStyle="1" w:styleId="a6">
    <w:name w:val="頁尾 字元"/>
    <w:basedOn w:val="a0"/>
    <w:link w:val="a5"/>
    <w:uiPriority w:val="99"/>
    <w:rsid w:val="00F6539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366479">
      <w:bodyDiv w:val="1"/>
      <w:marLeft w:val="0"/>
      <w:marRight w:val="0"/>
      <w:marTop w:val="0"/>
      <w:marBottom w:val="0"/>
      <w:divBdr>
        <w:top w:val="none" w:sz="0" w:space="0" w:color="auto"/>
        <w:left w:val="none" w:sz="0" w:space="0" w:color="auto"/>
        <w:bottom w:val="none" w:sz="0" w:space="0" w:color="auto"/>
        <w:right w:val="none" w:sz="0" w:space="0" w:color="auto"/>
      </w:divBdr>
    </w:div>
    <w:div w:id="1006128643">
      <w:bodyDiv w:val="1"/>
      <w:marLeft w:val="0"/>
      <w:marRight w:val="0"/>
      <w:marTop w:val="0"/>
      <w:marBottom w:val="0"/>
      <w:divBdr>
        <w:top w:val="none" w:sz="0" w:space="0" w:color="auto"/>
        <w:left w:val="none" w:sz="0" w:space="0" w:color="auto"/>
        <w:bottom w:val="none" w:sz="0" w:space="0" w:color="auto"/>
        <w:right w:val="none" w:sz="0" w:space="0" w:color="auto"/>
      </w:divBdr>
    </w:div>
    <w:div w:id="162006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Distribution of case group countries</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7C58-4531-8B3C-5A55673B1AA4}"/>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7C58-4531-8B3C-5A55673B1AA4}"/>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7C58-4531-8B3C-5A55673B1AA4}"/>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7C58-4531-8B3C-5A55673B1AA4}"/>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7C58-4531-8B3C-5A55673B1AA4}"/>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7C58-4531-8B3C-5A55673B1AA4}"/>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7C58-4531-8B3C-5A55673B1AA4}"/>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7C58-4531-8B3C-5A55673B1AA4}"/>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7C58-4531-8B3C-5A55673B1AA4}"/>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7C58-4531-8B3C-5A55673B1AA4}"/>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7C58-4531-8B3C-5A55673B1AA4}"/>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7C58-4531-8B3C-5A55673B1AA4}"/>
              </c:ext>
            </c:extLst>
          </c:dPt>
          <c:dPt>
            <c:idx val="12"/>
            <c:bubble3D val="0"/>
            <c:spPr>
              <a:solidFill>
                <a:schemeClr val="accent1">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7C58-4531-8B3C-5A55673B1AA4}"/>
              </c:ext>
            </c:extLst>
          </c:dPt>
          <c:dPt>
            <c:idx val="13"/>
            <c:bubble3D val="0"/>
            <c:spPr>
              <a:solidFill>
                <a:schemeClr val="accent2">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7C58-4531-8B3C-5A55673B1AA4}"/>
              </c:ext>
            </c:extLst>
          </c:dPt>
          <c:dPt>
            <c:idx val="14"/>
            <c:bubble3D val="0"/>
            <c:spPr>
              <a:solidFill>
                <a:schemeClr val="accent3">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7C58-4531-8B3C-5A55673B1AA4}"/>
              </c:ext>
            </c:extLst>
          </c:dPt>
          <c:dPt>
            <c:idx val="15"/>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7C58-4531-8B3C-5A55673B1AA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TW"/>
                </a:p>
              </c:txPr>
              <c:dLblPos val="outEnd"/>
              <c:showLegendKey val="0"/>
              <c:showVal val="0"/>
              <c:showCatName val="1"/>
              <c:showSerName val="0"/>
              <c:showPercent val="1"/>
              <c:showBubbleSize val="0"/>
              <c:extLst>
                <c:ext xmlns:c16="http://schemas.microsoft.com/office/drawing/2014/chart" uri="{C3380CC4-5D6E-409C-BE32-E72D297353CC}">
                  <c16:uniqueId val="{00000001-7C58-4531-8B3C-5A55673B1AA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zh-TW"/>
                </a:p>
              </c:txPr>
              <c:dLblPos val="outEnd"/>
              <c:showLegendKey val="0"/>
              <c:showVal val="0"/>
              <c:showCatName val="1"/>
              <c:showSerName val="0"/>
              <c:showPercent val="1"/>
              <c:showBubbleSize val="0"/>
              <c:extLst>
                <c:ext xmlns:c16="http://schemas.microsoft.com/office/drawing/2014/chart" uri="{C3380CC4-5D6E-409C-BE32-E72D297353CC}">
                  <c16:uniqueId val="{00000003-7C58-4531-8B3C-5A55673B1AA4}"/>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zh-TW"/>
                </a:p>
              </c:txPr>
              <c:dLblPos val="outEnd"/>
              <c:showLegendKey val="0"/>
              <c:showVal val="0"/>
              <c:showCatName val="1"/>
              <c:showSerName val="0"/>
              <c:showPercent val="1"/>
              <c:showBubbleSize val="0"/>
              <c:extLst>
                <c:ext xmlns:c16="http://schemas.microsoft.com/office/drawing/2014/chart" uri="{C3380CC4-5D6E-409C-BE32-E72D297353CC}">
                  <c16:uniqueId val="{00000005-7C58-4531-8B3C-5A55673B1AA4}"/>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zh-TW"/>
                </a:p>
              </c:txPr>
              <c:dLblPos val="outEnd"/>
              <c:showLegendKey val="0"/>
              <c:showVal val="0"/>
              <c:showCatName val="1"/>
              <c:showSerName val="0"/>
              <c:showPercent val="1"/>
              <c:showBubbleSize val="0"/>
              <c:extLst>
                <c:ext xmlns:c16="http://schemas.microsoft.com/office/drawing/2014/chart" uri="{C3380CC4-5D6E-409C-BE32-E72D297353CC}">
                  <c16:uniqueId val="{00000007-7C58-4531-8B3C-5A55673B1AA4}"/>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zh-TW"/>
                </a:p>
              </c:txPr>
              <c:dLblPos val="outEnd"/>
              <c:showLegendKey val="0"/>
              <c:showVal val="0"/>
              <c:showCatName val="1"/>
              <c:showSerName val="0"/>
              <c:showPercent val="1"/>
              <c:showBubbleSize val="0"/>
              <c:extLst>
                <c:ext xmlns:c16="http://schemas.microsoft.com/office/drawing/2014/chart" uri="{C3380CC4-5D6E-409C-BE32-E72D297353CC}">
                  <c16:uniqueId val="{00000009-7C58-4531-8B3C-5A55673B1AA4}"/>
                </c:ext>
              </c:extLst>
            </c:dLbl>
            <c:dLbl>
              <c:idx val="5"/>
              <c:layout>
                <c:manualLayout>
                  <c:x val="2.6088701585390291E-2"/>
                  <c:y val="1.9175455417066098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zh-TW"/>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7C58-4531-8B3C-5A55673B1AA4}"/>
                </c:ext>
              </c:extLst>
            </c:dLbl>
            <c:dLbl>
              <c:idx val="6"/>
              <c:layout>
                <c:manualLayout>
                  <c:x val="-0.25085289985952236"/>
                  <c:y val="5.433045701502077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zh-TW"/>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7C58-4531-8B3C-5A55673B1AA4}"/>
                </c:ext>
              </c:extLst>
            </c:dLbl>
            <c:dLbl>
              <c:idx val="7"/>
              <c:layout>
                <c:manualLayout>
                  <c:x val="-0.24282560706401765"/>
                  <c:y val="3.835091083413227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zh-TW"/>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7C58-4531-8B3C-5A55673B1AA4}"/>
                </c:ext>
              </c:extLst>
            </c:dLbl>
            <c:dLbl>
              <c:idx val="8"/>
              <c:layout>
                <c:manualLayout>
                  <c:x val="-0.21272325908087497"/>
                  <c:y val="3.1959092361776779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zh-TW"/>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7C58-4531-8B3C-5A55673B1AA4}"/>
                </c:ext>
              </c:extLst>
            </c:dLbl>
            <c:dLbl>
              <c:idx val="9"/>
              <c:layout>
                <c:manualLayout>
                  <c:x val="-0.15452538631346582"/>
                  <c:y val="-1.4647748120444861E-1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zh-TW"/>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7C58-4531-8B3C-5A55673B1AA4}"/>
                </c:ext>
              </c:extLst>
            </c:dLbl>
            <c:dLbl>
              <c:idx val="10"/>
              <c:layout>
                <c:manualLayout>
                  <c:x val="-6.8231988761790124E-2"/>
                  <c:y val="-3.1959092361776927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zh-TW"/>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7C58-4531-8B3C-5A55673B1AA4}"/>
                </c:ext>
              </c:extLst>
            </c:dLbl>
            <c:dLbl>
              <c:idx val="11"/>
              <c:layout>
                <c:manualLayout>
                  <c:x val="0.10435480634156132"/>
                  <c:y val="-6.3918184723554001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zh-TW"/>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7C58-4531-8B3C-5A55673B1AA4}"/>
                </c:ext>
              </c:extLst>
            </c:dLbl>
            <c:dLbl>
              <c:idx val="12"/>
              <c:layout>
                <c:manualLayout>
                  <c:x val="0.17860726469998001"/>
                  <c:y val="-3.1959092361776927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80000"/>
                          <a:lumOff val="20000"/>
                        </a:schemeClr>
                      </a:solidFill>
                      <a:latin typeface="+mn-lt"/>
                      <a:ea typeface="+mn-ea"/>
                      <a:cs typeface="+mn-cs"/>
                    </a:defRPr>
                  </a:pPr>
                  <a:endParaRPr lang="zh-TW"/>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9-7C58-4531-8B3C-5A55673B1AA4}"/>
                </c:ext>
              </c:extLst>
            </c:dLbl>
            <c:dLbl>
              <c:idx val="13"/>
              <c:layout>
                <c:manualLayout>
                  <c:x val="0.25285972305839854"/>
                  <c:y val="-6.3918184723553853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80000"/>
                          <a:lumOff val="20000"/>
                        </a:schemeClr>
                      </a:solidFill>
                      <a:latin typeface="+mn-lt"/>
                      <a:ea typeface="+mn-ea"/>
                      <a:cs typeface="+mn-cs"/>
                    </a:defRPr>
                  </a:pPr>
                  <a:endParaRPr lang="zh-TW"/>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7C58-4531-8B3C-5A55673B1AA4}"/>
                </c:ext>
              </c:extLst>
            </c:dLbl>
            <c:dLbl>
              <c:idx val="14"/>
              <c:layout>
                <c:manualLayout>
                  <c:x val="0.45225847277737263"/>
                  <c:y val="1.9175486480648769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80000"/>
                          <a:lumOff val="20000"/>
                        </a:schemeClr>
                      </a:solidFill>
                      <a:latin typeface="+mn-lt"/>
                      <a:ea typeface="+mn-ea"/>
                      <a:cs typeface="+mn-cs"/>
                    </a:defRPr>
                  </a:pPr>
                  <a:endParaRPr lang="zh-TW"/>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7C58-4531-8B3C-5A55673B1AA4}"/>
                </c:ext>
              </c:extLst>
            </c:dLbl>
            <c:dLbl>
              <c:idx val="15"/>
              <c:layout>
                <c:manualLayout>
                  <c:x val="0.34302803165626677"/>
                  <c:y val="2.2355528501580694E-3"/>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80000"/>
                          <a:lumOff val="20000"/>
                        </a:schemeClr>
                      </a:solidFill>
                      <a:latin typeface="+mn-lt"/>
                      <a:ea typeface="+mn-ea"/>
                      <a:cs typeface="+mn-cs"/>
                    </a:defRPr>
                  </a:pPr>
                  <a:endParaRPr lang="zh-TW"/>
                </a:p>
              </c:txPr>
              <c:dLblPos val="bestFit"/>
              <c:showLegendKey val="0"/>
              <c:showVal val="0"/>
              <c:showCatName val="1"/>
              <c:showSerName val="0"/>
              <c:showPercent val="1"/>
              <c:showBubbleSize val="0"/>
              <c:extLst>
                <c:ext xmlns:c15="http://schemas.microsoft.com/office/drawing/2012/chart" uri="{CE6537A1-D6FC-4f65-9D91-7224C49458BB}">
                  <c15:layout>
                    <c:manualLayout>
                      <c:w val="0.11410213791943349"/>
                      <c:h val="0.11392352452202827"/>
                    </c:manualLayout>
                  </c15:layout>
                </c:ext>
                <c:ext xmlns:c16="http://schemas.microsoft.com/office/drawing/2014/chart" uri="{C3380CC4-5D6E-409C-BE32-E72D297353CC}">
                  <c16:uniqueId val="{0000001F-7C58-4531-8B3C-5A55673B1AA4}"/>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Sheet1!$A$2:$A$17</c:f>
              <c:strCache>
                <c:ptCount val="16"/>
                <c:pt idx="0">
                  <c:v>Taiwan</c:v>
                </c:pt>
                <c:pt idx="1">
                  <c:v>Japan</c:v>
                </c:pt>
                <c:pt idx="2">
                  <c:v>China</c:v>
                </c:pt>
                <c:pt idx="3">
                  <c:v>Australia</c:v>
                </c:pt>
                <c:pt idx="4">
                  <c:v>South Korea</c:v>
                </c:pt>
                <c:pt idx="5">
                  <c:v>Thailand</c:v>
                </c:pt>
                <c:pt idx="6">
                  <c:v>Malaysia</c:v>
                </c:pt>
                <c:pt idx="7">
                  <c:v>The UK</c:v>
                </c:pt>
                <c:pt idx="8">
                  <c:v>Turkey</c:v>
                </c:pt>
                <c:pt idx="9">
                  <c:v>Germany</c:v>
                </c:pt>
                <c:pt idx="10">
                  <c:v>Singapore</c:v>
                </c:pt>
                <c:pt idx="11">
                  <c:v>Philippines</c:v>
                </c:pt>
                <c:pt idx="12">
                  <c:v>Hungary</c:v>
                </c:pt>
                <c:pt idx="13">
                  <c:v>Ireland</c:v>
                </c:pt>
                <c:pt idx="14">
                  <c:v>Switzerland</c:v>
                </c:pt>
                <c:pt idx="15">
                  <c:v>The US</c:v>
                </c:pt>
              </c:strCache>
            </c:strRef>
          </c:cat>
          <c:val>
            <c:numRef>
              <c:f>Sheet1!$B$2:$B$17</c:f>
              <c:numCache>
                <c:formatCode>General</c:formatCode>
                <c:ptCount val="16"/>
                <c:pt idx="0">
                  <c:v>94</c:v>
                </c:pt>
                <c:pt idx="1">
                  <c:v>26</c:v>
                </c:pt>
                <c:pt idx="2">
                  <c:v>18</c:v>
                </c:pt>
                <c:pt idx="3">
                  <c:v>17</c:v>
                </c:pt>
                <c:pt idx="4">
                  <c:v>12</c:v>
                </c:pt>
                <c:pt idx="5">
                  <c:v>9</c:v>
                </c:pt>
                <c:pt idx="6">
                  <c:v>7</c:v>
                </c:pt>
                <c:pt idx="7">
                  <c:v>6</c:v>
                </c:pt>
                <c:pt idx="8">
                  <c:v>3</c:v>
                </c:pt>
                <c:pt idx="9">
                  <c:v>2</c:v>
                </c:pt>
                <c:pt idx="10">
                  <c:v>1</c:v>
                </c:pt>
                <c:pt idx="11">
                  <c:v>1</c:v>
                </c:pt>
                <c:pt idx="12">
                  <c:v>1</c:v>
                </c:pt>
                <c:pt idx="13">
                  <c:v>1</c:v>
                </c:pt>
                <c:pt idx="14">
                  <c:v>1</c:v>
                </c:pt>
                <c:pt idx="15">
                  <c:v>1</c:v>
                </c:pt>
              </c:numCache>
            </c:numRef>
          </c:val>
          <c:extLst>
            <c:ext xmlns:c16="http://schemas.microsoft.com/office/drawing/2014/chart" uri="{C3380CC4-5D6E-409C-BE32-E72D297353CC}">
              <c16:uniqueId val="{00000020-7C58-4531-8B3C-5A55673B1AA4}"/>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澂毅 陳</dc:creator>
  <cp:keywords/>
  <dc:description/>
  <cp:lastModifiedBy>澂毅 陳</cp:lastModifiedBy>
  <cp:revision>9</cp:revision>
  <dcterms:created xsi:type="dcterms:W3CDTF">2024-05-31T06:17:00Z</dcterms:created>
  <dcterms:modified xsi:type="dcterms:W3CDTF">2024-06-19T06:16:00Z</dcterms:modified>
</cp:coreProperties>
</file>