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CAE7C" w14:textId="77777777" w:rsidR="00B7275F" w:rsidRDefault="00B7275F" w:rsidP="00B7275F">
      <w:pPr>
        <w:spacing w:before="240" w:after="240" w:line="360" w:lineRule="auto"/>
        <w:jc w:val="both"/>
      </w:pPr>
      <w:r>
        <w:t>Table 2.  Yearly expenditure (in Naira) for the different sub-sectors of Nigeria Fisheries and Aquaculture from 2013-2022</w:t>
      </w:r>
    </w:p>
    <w:tbl>
      <w:tblPr>
        <w:tblpPr w:leftFromText="180" w:rightFromText="180" w:vertAnchor="page" w:horzAnchor="margin" w:tblpXSpec="center" w:tblpY="2566"/>
        <w:tblW w:w="15678" w:type="dxa"/>
        <w:tblLayout w:type="fixed"/>
        <w:tblLook w:val="04A0" w:firstRow="1" w:lastRow="0" w:firstColumn="1" w:lastColumn="0" w:noHBand="0" w:noVBand="1"/>
      </w:tblPr>
      <w:tblGrid>
        <w:gridCol w:w="1638"/>
        <w:gridCol w:w="1170"/>
        <w:gridCol w:w="1080"/>
        <w:gridCol w:w="1080"/>
        <w:gridCol w:w="1170"/>
        <w:gridCol w:w="1260"/>
        <w:gridCol w:w="1266"/>
        <w:gridCol w:w="1266"/>
        <w:gridCol w:w="1266"/>
        <w:gridCol w:w="1266"/>
        <w:gridCol w:w="1266"/>
        <w:gridCol w:w="1950"/>
      </w:tblGrid>
      <w:tr w:rsidR="00B7275F" w:rsidRPr="00D52374" w14:paraId="7C87360B" w14:textId="77777777" w:rsidTr="00555C0E">
        <w:trPr>
          <w:trHeight w:val="300"/>
        </w:trPr>
        <w:tc>
          <w:tcPr>
            <w:tcW w:w="1638" w:type="dxa"/>
            <w:tcBorders>
              <w:top w:val="single" w:sz="4" w:space="0" w:color="000000"/>
              <w:bottom w:val="single" w:sz="4" w:space="0" w:color="000000"/>
            </w:tcBorders>
          </w:tcPr>
          <w:p w14:paraId="260EB41A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Sub-Sectors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1D2006F7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70B7EA13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5A9BCB85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5DB8775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14:paraId="71E85AAF" w14:textId="77777777" w:rsidR="00B7275F" w:rsidRPr="00D52374" w:rsidRDefault="00B7275F" w:rsidP="00555C0E">
            <w:pPr>
              <w:ind w:left="-240" w:right="160"/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79EBDAD7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68376044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2F74FBC7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35EBCA6D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31C175DD" w14:textId="77777777" w:rsidR="00B7275F" w:rsidRPr="00D52374" w:rsidRDefault="00B7275F" w:rsidP="00555C0E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</w:tcPr>
          <w:p w14:paraId="65D376F3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Sub-Sector Total</w:t>
            </w:r>
          </w:p>
        </w:tc>
      </w:tr>
      <w:tr w:rsidR="00B7275F" w:rsidRPr="00D52374" w14:paraId="5BAEDC0D" w14:textId="77777777" w:rsidTr="00555C0E">
        <w:trPr>
          <w:trHeight w:val="300"/>
        </w:trPr>
        <w:tc>
          <w:tcPr>
            <w:tcW w:w="163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6A31482B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Aquaculture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</w:tcBorders>
            <w:vAlign w:val="bottom"/>
          </w:tcPr>
          <w:p w14:paraId="7FAA8357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315,079,955</w:t>
            </w:r>
          </w:p>
        </w:tc>
        <w:tc>
          <w:tcPr>
            <w:tcW w:w="1080" w:type="dxa"/>
            <w:tcBorders>
              <w:top w:val="single" w:sz="4" w:space="0" w:color="000000"/>
            </w:tcBorders>
            <w:vAlign w:val="bottom"/>
          </w:tcPr>
          <w:p w14:paraId="4B7DAC1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</w:tcBorders>
            <w:vAlign w:val="bottom"/>
          </w:tcPr>
          <w:p w14:paraId="2F41037E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30,446,000</w:t>
            </w:r>
          </w:p>
        </w:tc>
        <w:tc>
          <w:tcPr>
            <w:tcW w:w="1170" w:type="dxa"/>
            <w:tcBorders>
              <w:top w:val="single" w:sz="4" w:space="0" w:color="000000"/>
            </w:tcBorders>
            <w:vAlign w:val="bottom"/>
          </w:tcPr>
          <w:p w14:paraId="6C2FD7A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377,804,449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bottom"/>
          </w:tcPr>
          <w:p w14:paraId="02703A0C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495,604,023</w:t>
            </w:r>
          </w:p>
        </w:tc>
        <w:tc>
          <w:tcPr>
            <w:tcW w:w="1266" w:type="dxa"/>
            <w:tcBorders>
              <w:top w:val="single" w:sz="4" w:space="0" w:color="000000"/>
            </w:tcBorders>
            <w:vAlign w:val="bottom"/>
          </w:tcPr>
          <w:p w14:paraId="266F89E5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499,226,323</w:t>
            </w:r>
          </w:p>
        </w:tc>
        <w:tc>
          <w:tcPr>
            <w:tcW w:w="1266" w:type="dxa"/>
            <w:tcBorders>
              <w:top w:val="single" w:sz="4" w:space="0" w:color="000000"/>
            </w:tcBorders>
            <w:vAlign w:val="bottom"/>
          </w:tcPr>
          <w:p w14:paraId="2009DE2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119,180,210</w:t>
            </w:r>
          </w:p>
        </w:tc>
        <w:tc>
          <w:tcPr>
            <w:tcW w:w="1266" w:type="dxa"/>
            <w:tcBorders>
              <w:top w:val="single" w:sz="4" w:space="0" w:color="000000"/>
            </w:tcBorders>
            <w:vAlign w:val="bottom"/>
          </w:tcPr>
          <w:p w14:paraId="359B4A7E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21,622,500</w:t>
            </w:r>
          </w:p>
        </w:tc>
        <w:tc>
          <w:tcPr>
            <w:tcW w:w="1266" w:type="dxa"/>
            <w:tcBorders>
              <w:top w:val="single" w:sz="4" w:space="0" w:color="000000"/>
            </w:tcBorders>
            <w:vAlign w:val="bottom"/>
          </w:tcPr>
          <w:p w14:paraId="21858796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113,800,815</w:t>
            </w:r>
          </w:p>
        </w:tc>
        <w:tc>
          <w:tcPr>
            <w:tcW w:w="1266" w:type="dxa"/>
            <w:tcBorders>
              <w:top w:val="single" w:sz="4" w:space="0" w:color="000000"/>
            </w:tcBorders>
            <w:vAlign w:val="bottom"/>
          </w:tcPr>
          <w:p w14:paraId="1AAF47B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299,275,000</w:t>
            </w:r>
          </w:p>
        </w:tc>
        <w:tc>
          <w:tcPr>
            <w:tcW w:w="1950" w:type="dxa"/>
            <w:tcBorders>
              <w:top w:val="single" w:sz="4" w:space="0" w:color="000000"/>
            </w:tcBorders>
            <w:vAlign w:val="bottom"/>
          </w:tcPr>
          <w:p w14:paraId="515F9A4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2,272,039,275 (48.4%)</w:t>
            </w:r>
          </w:p>
        </w:tc>
      </w:tr>
      <w:tr w:rsidR="00B7275F" w:rsidRPr="00D52374" w14:paraId="3272F847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5E3CD063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Trade, Storage &amp; Processing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5E1354D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148,778,025</w:t>
            </w:r>
          </w:p>
        </w:tc>
        <w:tc>
          <w:tcPr>
            <w:tcW w:w="1080" w:type="dxa"/>
            <w:vAlign w:val="bottom"/>
          </w:tcPr>
          <w:p w14:paraId="26AB4F2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1508F6E5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10,216,500</w:t>
            </w:r>
          </w:p>
        </w:tc>
        <w:tc>
          <w:tcPr>
            <w:tcW w:w="1170" w:type="dxa"/>
            <w:vAlign w:val="bottom"/>
          </w:tcPr>
          <w:p w14:paraId="13F4739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194,373,845</w:t>
            </w:r>
          </w:p>
        </w:tc>
        <w:tc>
          <w:tcPr>
            <w:tcW w:w="1260" w:type="dxa"/>
            <w:vAlign w:val="bottom"/>
          </w:tcPr>
          <w:p w14:paraId="2403AE9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209,039,039</w:t>
            </w:r>
          </w:p>
        </w:tc>
        <w:tc>
          <w:tcPr>
            <w:tcW w:w="1266" w:type="dxa"/>
            <w:vAlign w:val="bottom"/>
          </w:tcPr>
          <w:p w14:paraId="3C4CBF6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165,923,865</w:t>
            </w:r>
          </w:p>
        </w:tc>
        <w:tc>
          <w:tcPr>
            <w:tcW w:w="1266" w:type="dxa"/>
            <w:vAlign w:val="bottom"/>
          </w:tcPr>
          <w:p w14:paraId="67588EC3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37,252,500</w:t>
            </w:r>
          </w:p>
        </w:tc>
        <w:tc>
          <w:tcPr>
            <w:tcW w:w="1266" w:type="dxa"/>
            <w:vAlign w:val="bottom"/>
          </w:tcPr>
          <w:p w14:paraId="4B69CAB2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59,425,628</w:t>
            </w:r>
          </w:p>
        </w:tc>
        <w:tc>
          <w:tcPr>
            <w:tcW w:w="1266" w:type="dxa"/>
            <w:vAlign w:val="bottom"/>
          </w:tcPr>
          <w:p w14:paraId="3491F22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5E043DD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88,066,000</w:t>
            </w:r>
          </w:p>
        </w:tc>
        <w:tc>
          <w:tcPr>
            <w:tcW w:w="1950" w:type="dxa"/>
            <w:vAlign w:val="bottom"/>
          </w:tcPr>
          <w:p w14:paraId="63C5B30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913,075,402 (19.4%)</w:t>
            </w:r>
          </w:p>
        </w:tc>
      </w:tr>
      <w:tr w:rsidR="00B7275F" w:rsidRPr="00D52374" w14:paraId="12D8960A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7FAB8D9C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Artisanal Fisheries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7364A75C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777560D7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59,068,775</w:t>
            </w:r>
          </w:p>
        </w:tc>
        <w:tc>
          <w:tcPr>
            <w:tcW w:w="1080" w:type="dxa"/>
            <w:vAlign w:val="bottom"/>
          </w:tcPr>
          <w:p w14:paraId="6D111203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23,331,000</w:t>
            </w:r>
          </w:p>
        </w:tc>
        <w:tc>
          <w:tcPr>
            <w:tcW w:w="1170" w:type="dxa"/>
            <w:vAlign w:val="bottom"/>
          </w:tcPr>
          <w:p w14:paraId="42ECEB4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115,354,656</w:t>
            </w:r>
          </w:p>
        </w:tc>
        <w:tc>
          <w:tcPr>
            <w:tcW w:w="1260" w:type="dxa"/>
            <w:vAlign w:val="bottom"/>
          </w:tcPr>
          <w:p w14:paraId="160C1709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237,908,696</w:t>
            </w:r>
          </w:p>
        </w:tc>
        <w:tc>
          <w:tcPr>
            <w:tcW w:w="1266" w:type="dxa"/>
            <w:vAlign w:val="bottom"/>
          </w:tcPr>
          <w:p w14:paraId="68DC65D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206,664,590</w:t>
            </w:r>
          </w:p>
        </w:tc>
        <w:tc>
          <w:tcPr>
            <w:tcW w:w="1266" w:type="dxa"/>
            <w:vAlign w:val="bottom"/>
          </w:tcPr>
          <w:p w14:paraId="6A3CFF4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45,308,465</w:t>
            </w:r>
          </w:p>
        </w:tc>
        <w:tc>
          <w:tcPr>
            <w:tcW w:w="1266" w:type="dxa"/>
            <w:vAlign w:val="bottom"/>
          </w:tcPr>
          <w:p w14:paraId="411AAD93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3781A543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83,028,703</w:t>
            </w:r>
          </w:p>
        </w:tc>
        <w:tc>
          <w:tcPr>
            <w:tcW w:w="1266" w:type="dxa"/>
            <w:vAlign w:val="bottom"/>
          </w:tcPr>
          <w:p w14:paraId="03ADD269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121,300,500</w:t>
            </w:r>
          </w:p>
        </w:tc>
        <w:tc>
          <w:tcPr>
            <w:tcW w:w="1950" w:type="dxa"/>
            <w:vAlign w:val="bottom"/>
          </w:tcPr>
          <w:p w14:paraId="3E6DBC2B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891,965,385 (19%)</w:t>
            </w:r>
          </w:p>
        </w:tc>
      </w:tr>
      <w:tr w:rsidR="00B7275F" w:rsidRPr="00D52374" w14:paraId="14CA93BF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1A00BE00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Industrial Fisheries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2985BA9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0A546D0E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63E87405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bottom"/>
          </w:tcPr>
          <w:p w14:paraId="67B7DE06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bottom"/>
          </w:tcPr>
          <w:p w14:paraId="13CD6FD6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12,290,113</w:t>
            </w:r>
          </w:p>
        </w:tc>
        <w:tc>
          <w:tcPr>
            <w:tcW w:w="1266" w:type="dxa"/>
            <w:vAlign w:val="bottom"/>
          </w:tcPr>
          <w:p w14:paraId="4B482E8C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2B2E877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17,607,500</w:t>
            </w:r>
          </w:p>
        </w:tc>
        <w:tc>
          <w:tcPr>
            <w:tcW w:w="1266" w:type="dxa"/>
            <w:vAlign w:val="bottom"/>
          </w:tcPr>
          <w:p w14:paraId="33102C43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117,165,783</w:t>
            </w:r>
          </w:p>
        </w:tc>
        <w:tc>
          <w:tcPr>
            <w:tcW w:w="1266" w:type="dxa"/>
            <w:vAlign w:val="bottom"/>
          </w:tcPr>
          <w:p w14:paraId="0E7ED11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105,648,134</w:t>
            </w:r>
          </w:p>
        </w:tc>
        <w:tc>
          <w:tcPr>
            <w:tcW w:w="1266" w:type="dxa"/>
            <w:vAlign w:val="bottom"/>
          </w:tcPr>
          <w:p w14:paraId="3229506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38,327,000</w:t>
            </w:r>
          </w:p>
        </w:tc>
        <w:tc>
          <w:tcPr>
            <w:tcW w:w="1950" w:type="dxa"/>
            <w:vAlign w:val="bottom"/>
          </w:tcPr>
          <w:p w14:paraId="75FD62F7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291,038,530 (6.2%)</w:t>
            </w:r>
          </w:p>
        </w:tc>
      </w:tr>
      <w:tr w:rsidR="00B7275F" w:rsidRPr="00D52374" w14:paraId="473EF4BA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3A92BD29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Quality Assurance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2A6F9F45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10,325,600</w:t>
            </w:r>
          </w:p>
        </w:tc>
        <w:tc>
          <w:tcPr>
            <w:tcW w:w="1080" w:type="dxa"/>
            <w:vAlign w:val="bottom"/>
          </w:tcPr>
          <w:p w14:paraId="173DD796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12,575,206</w:t>
            </w:r>
          </w:p>
        </w:tc>
        <w:tc>
          <w:tcPr>
            <w:tcW w:w="1080" w:type="dxa"/>
            <w:vAlign w:val="bottom"/>
          </w:tcPr>
          <w:p w14:paraId="3A844DD7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4,483,920</w:t>
            </w:r>
          </w:p>
        </w:tc>
        <w:tc>
          <w:tcPr>
            <w:tcW w:w="1170" w:type="dxa"/>
            <w:vAlign w:val="bottom"/>
          </w:tcPr>
          <w:p w14:paraId="00AAFB5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47,501,637</w:t>
            </w:r>
          </w:p>
        </w:tc>
        <w:tc>
          <w:tcPr>
            <w:tcW w:w="1260" w:type="dxa"/>
            <w:vAlign w:val="bottom"/>
          </w:tcPr>
          <w:p w14:paraId="3A79D27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41,500,000</w:t>
            </w:r>
          </w:p>
        </w:tc>
        <w:tc>
          <w:tcPr>
            <w:tcW w:w="1266" w:type="dxa"/>
            <w:vAlign w:val="bottom"/>
          </w:tcPr>
          <w:p w14:paraId="6E8CC59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9,585,870</w:t>
            </w:r>
          </w:p>
        </w:tc>
        <w:tc>
          <w:tcPr>
            <w:tcW w:w="1266" w:type="dxa"/>
            <w:vAlign w:val="bottom"/>
          </w:tcPr>
          <w:p w14:paraId="2986639E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27,463,401</w:t>
            </w:r>
          </w:p>
        </w:tc>
        <w:tc>
          <w:tcPr>
            <w:tcW w:w="1266" w:type="dxa"/>
            <w:vAlign w:val="bottom"/>
          </w:tcPr>
          <w:p w14:paraId="23A86BC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0F3C9BA6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232BF2AB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950" w:type="dxa"/>
            <w:vAlign w:val="bottom"/>
          </w:tcPr>
          <w:p w14:paraId="680948E9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153,435,634 (3.3%)</w:t>
            </w:r>
          </w:p>
        </w:tc>
      </w:tr>
      <w:tr w:rsidR="00B7275F" w:rsidRPr="00D52374" w14:paraId="3E991410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553F547E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Data Management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79994634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08273054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6275CEAB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70" w:type="dxa"/>
            <w:vAlign w:val="bottom"/>
          </w:tcPr>
          <w:p w14:paraId="5C867340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47,493,925</w:t>
            </w:r>
          </w:p>
        </w:tc>
        <w:tc>
          <w:tcPr>
            <w:tcW w:w="1260" w:type="dxa"/>
            <w:vAlign w:val="bottom"/>
          </w:tcPr>
          <w:p w14:paraId="2D00452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7E68C585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146E8AE9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21,061,000</w:t>
            </w:r>
          </w:p>
        </w:tc>
        <w:tc>
          <w:tcPr>
            <w:tcW w:w="1266" w:type="dxa"/>
            <w:vAlign w:val="bottom"/>
          </w:tcPr>
          <w:p w14:paraId="6FD3CF67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16,621,875</w:t>
            </w:r>
          </w:p>
        </w:tc>
        <w:tc>
          <w:tcPr>
            <w:tcW w:w="1266" w:type="dxa"/>
            <w:vAlign w:val="bottom"/>
          </w:tcPr>
          <w:p w14:paraId="2BC89C8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4A2AAA0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36,610,345</w:t>
            </w:r>
          </w:p>
        </w:tc>
        <w:tc>
          <w:tcPr>
            <w:tcW w:w="1950" w:type="dxa"/>
            <w:vAlign w:val="bottom"/>
          </w:tcPr>
          <w:p w14:paraId="61CADD4F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121,787,145 (2.6%)</w:t>
            </w:r>
          </w:p>
        </w:tc>
      </w:tr>
      <w:tr w:rsidR="00B7275F" w:rsidRPr="00D52374" w14:paraId="7F939FE1" w14:textId="77777777" w:rsidTr="00555C0E">
        <w:trPr>
          <w:trHeight w:val="300"/>
        </w:trPr>
        <w:tc>
          <w:tcPr>
            <w:tcW w:w="1638" w:type="dxa"/>
            <w:tcBorders>
              <w:right w:val="single" w:sz="4" w:space="0" w:color="000000"/>
            </w:tcBorders>
            <w:vAlign w:val="center"/>
          </w:tcPr>
          <w:p w14:paraId="11A38707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Administration</w:t>
            </w:r>
          </w:p>
        </w:tc>
        <w:tc>
          <w:tcPr>
            <w:tcW w:w="1170" w:type="dxa"/>
            <w:tcBorders>
              <w:left w:val="single" w:sz="4" w:space="0" w:color="000000"/>
            </w:tcBorders>
            <w:vAlign w:val="bottom"/>
          </w:tcPr>
          <w:p w14:paraId="497FC985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4662D313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vAlign w:val="bottom"/>
          </w:tcPr>
          <w:p w14:paraId="58485EFC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4,874,100</w:t>
            </w:r>
          </w:p>
        </w:tc>
        <w:tc>
          <w:tcPr>
            <w:tcW w:w="1170" w:type="dxa"/>
            <w:vAlign w:val="bottom"/>
          </w:tcPr>
          <w:p w14:paraId="6B70D6A4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bottom"/>
          </w:tcPr>
          <w:p w14:paraId="62E73D66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9,034,988</w:t>
            </w:r>
          </w:p>
        </w:tc>
        <w:tc>
          <w:tcPr>
            <w:tcW w:w="1266" w:type="dxa"/>
            <w:vAlign w:val="bottom"/>
          </w:tcPr>
          <w:p w14:paraId="5C2B5A94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063EC885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13,500,000</w:t>
            </w:r>
          </w:p>
        </w:tc>
        <w:tc>
          <w:tcPr>
            <w:tcW w:w="1266" w:type="dxa"/>
            <w:vAlign w:val="bottom"/>
          </w:tcPr>
          <w:p w14:paraId="319F473F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467D06D1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vAlign w:val="bottom"/>
          </w:tcPr>
          <w:p w14:paraId="457B4BFA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19,490,870</w:t>
            </w:r>
          </w:p>
        </w:tc>
        <w:tc>
          <w:tcPr>
            <w:tcW w:w="1950" w:type="dxa"/>
            <w:vAlign w:val="bottom"/>
          </w:tcPr>
          <w:p w14:paraId="261E9DAC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46,899,958 (1.0%)</w:t>
            </w:r>
          </w:p>
        </w:tc>
      </w:tr>
      <w:tr w:rsidR="00B7275F" w:rsidRPr="00D52374" w14:paraId="185825B9" w14:textId="77777777" w:rsidTr="00555C0E">
        <w:trPr>
          <w:trHeight w:val="396"/>
        </w:trPr>
        <w:tc>
          <w:tcPr>
            <w:tcW w:w="163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D69771E" w14:textId="77777777" w:rsidR="00B7275F" w:rsidRPr="00D52374" w:rsidRDefault="00B7275F" w:rsidP="00555C0E">
            <w:pPr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Technology Support Services</w:t>
            </w:r>
          </w:p>
        </w:tc>
        <w:tc>
          <w:tcPr>
            <w:tcW w:w="117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20BA7D2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vAlign w:val="bottom"/>
          </w:tcPr>
          <w:p w14:paraId="0431E8AD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vAlign w:val="bottom"/>
          </w:tcPr>
          <w:p w14:paraId="09B7EFF8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6,457,500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  <w:vAlign w:val="bottom"/>
          </w:tcPr>
          <w:p w14:paraId="707DBCA1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bottom"/>
          </w:tcPr>
          <w:p w14:paraId="22BA6DE4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  <w:vAlign w:val="bottom"/>
          </w:tcPr>
          <w:p w14:paraId="651691FA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  <w:vAlign w:val="bottom"/>
          </w:tcPr>
          <w:p w14:paraId="2DEB0EF8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  <w:vAlign w:val="bottom"/>
          </w:tcPr>
          <w:p w14:paraId="2DAA1032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  <w:vAlign w:val="bottom"/>
          </w:tcPr>
          <w:p w14:paraId="703C084E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66" w:type="dxa"/>
            <w:tcBorders>
              <w:bottom w:val="single" w:sz="4" w:space="0" w:color="000000"/>
            </w:tcBorders>
            <w:vAlign w:val="bottom"/>
          </w:tcPr>
          <w:p w14:paraId="4A1796BD" w14:textId="77777777" w:rsidR="00B7275F" w:rsidRPr="00D52374" w:rsidRDefault="00B7275F" w:rsidP="00555C0E">
            <w:pPr>
              <w:jc w:val="center"/>
              <w:rPr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950" w:type="dxa"/>
            <w:tcBorders>
              <w:bottom w:val="single" w:sz="4" w:space="0" w:color="000000"/>
            </w:tcBorders>
            <w:vAlign w:val="bottom"/>
          </w:tcPr>
          <w:p w14:paraId="05FEBAFD" w14:textId="77777777" w:rsidR="00B7275F" w:rsidRPr="00D52374" w:rsidRDefault="00B7275F" w:rsidP="00555C0E">
            <w:pPr>
              <w:jc w:val="center"/>
              <w:rPr>
                <w:color w:val="000000"/>
                <w:sz w:val="18"/>
                <w:szCs w:val="18"/>
              </w:rPr>
            </w:pPr>
            <w:r w:rsidRPr="00D52374">
              <w:rPr>
                <w:color w:val="000000"/>
                <w:sz w:val="18"/>
                <w:szCs w:val="18"/>
              </w:rPr>
              <w:t>6,457,500 (0.14%)</w:t>
            </w:r>
          </w:p>
        </w:tc>
      </w:tr>
      <w:tr w:rsidR="00B7275F" w:rsidRPr="00D52374" w14:paraId="4DB2BF8E" w14:textId="77777777" w:rsidTr="00555C0E">
        <w:trPr>
          <w:trHeight w:val="264"/>
        </w:trPr>
        <w:tc>
          <w:tcPr>
            <w:tcW w:w="1638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8ABEB53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66F7CB5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            474,183,580 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3E101661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71,643,981 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</w:tcPr>
          <w:p w14:paraId="0A374CED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 79,809,020 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68ED0BB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782,528,512 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</w:tcBorders>
          </w:tcPr>
          <w:p w14:paraId="2FEA44FD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 1,005,376,859 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49657A72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881,400,648 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55174DC4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281,373,076 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7A0F36AF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214,835,785 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34B1D9A7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 302,477,652 </w:t>
            </w:r>
          </w:p>
        </w:tc>
        <w:tc>
          <w:tcPr>
            <w:tcW w:w="1266" w:type="dxa"/>
            <w:tcBorders>
              <w:top w:val="single" w:sz="4" w:space="0" w:color="000000"/>
              <w:bottom w:val="single" w:sz="4" w:space="0" w:color="000000"/>
            </w:tcBorders>
          </w:tcPr>
          <w:p w14:paraId="25F79BBC" w14:textId="77777777" w:rsidR="00B7275F" w:rsidRPr="00D52374" w:rsidRDefault="00B7275F" w:rsidP="00555C0E">
            <w:pPr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 xml:space="preserve">        603,069,715 </w:t>
            </w: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271E3A63" w14:textId="77777777" w:rsidR="00B7275F" w:rsidRPr="00D52374" w:rsidRDefault="00B7275F" w:rsidP="00555C0E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D52374">
              <w:rPr>
                <w:b/>
                <w:color w:val="000000"/>
                <w:sz w:val="18"/>
                <w:szCs w:val="18"/>
              </w:rPr>
              <w:t>4,696,698,828</w:t>
            </w:r>
          </w:p>
        </w:tc>
      </w:tr>
    </w:tbl>
    <w:p w14:paraId="5D6B9163" w14:textId="4890C53D" w:rsidR="00B7275F" w:rsidRDefault="00B7275F" w:rsidP="00B7275F">
      <w:pPr>
        <w:spacing w:before="240" w:after="240" w:line="360" w:lineRule="auto"/>
        <w:sectPr w:rsidR="00B7275F" w:rsidSect="00B7275F">
          <w:headerReference w:type="default" r:id="rId4"/>
          <w:pgSz w:w="15840" w:h="12240" w:orient="landscape"/>
          <w:pgMar w:top="1440" w:right="1440" w:bottom="1440" w:left="1440" w:header="720" w:footer="720" w:gutter="0"/>
          <w:pgNumType w:start="1"/>
          <w:cols w:space="720"/>
        </w:sectPr>
      </w:pPr>
      <w:r>
        <w:t>(</w:t>
      </w:r>
      <w:r>
        <w:rPr>
          <w:sz w:val="20"/>
          <w:szCs w:val="20"/>
        </w:rPr>
        <w:t>Official exchange rate (NGN per USD, period average) as published by the World Bank World Development Indicators</w:t>
      </w:r>
      <w:sdt>
        <w:sdtPr>
          <w:rPr>
            <w:color w:val="000000"/>
            <w:sz w:val="20"/>
            <w:szCs w:val="20"/>
            <w:vertAlign w:val="superscript"/>
          </w:rPr>
          <w:tag w:val="MENDELEY_CITATION_v3_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"/>
          <w:id w:val="1128196398"/>
          <w:placeholder>
            <w:docPart w:val="83ACC96D9B824A28ABF5A1615226E244"/>
          </w:placeholder>
        </w:sdtPr>
        <w:sdtContent>
          <w:r w:rsidRPr="00A62FCE">
            <w:rPr>
              <w:color w:val="000000"/>
              <w:sz w:val="20"/>
              <w:szCs w:val="20"/>
              <w:vertAlign w:val="superscript"/>
            </w:rPr>
            <w:t>22</w:t>
          </w:r>
        </w:sdtContent>
      </w:sdt>
      <w:r>
        <w:rPr>
          <w:sz w:val="20"/>
          <w:szCs w:val="20"/>
        </w:rPr>
        <w:t xml:space="preserve"> are 157.3 (2013), 158.6 (2014), 192.4 (2015), 253.5 (2016), 305.8 (2017), 306.1 (2018), 306.9 (2019), 358.8 (2020), 401.2 (2021) and 426.0 (2022).</w:t>
      </w:r>
    </w:p>
    <w:p w14:paraId="2EC5F775" w14:textId="4BFB83EA" w:rsidR="00755780" w:rsidRPr="00B7275F" w:rsidRDefault="00755780" w:rsidP="00B7275F"/>
    <w:sectPr w:rsidR="00755780" w:rsidRPr="00B72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564E6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75F"/>
    <w:rsid w:val="00011C58"/>
    <w:rsid w:val="0006021D"/>
    <w:rsid w:val="00331A6B"/>
    <w:rsid w:val="003C691A"/>
    <w:rsid w:val="00755780"/>
    <w:rsid w:val="00857596"/>
    <w:rsid w:val="00B7275F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6B7E8"/>
  <w15:chartTrackingRefBased/>
  <w15:docId w15:val="{0A423932-87C2-47F6-9337-65CBF416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75F"/>
    <w:pPr>
      <w:spacing w:after="0" w:line="276" w:lineRule="auto"/>
    </w:pPr>
    <w:rPr>
      <w:rFonts w:ascii="Times New Roman" w:eastAsia="Arial" w:hAnsi="Times New Roman" w:cs="Arial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27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27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27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27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27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275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275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275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275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27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27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27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27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27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27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27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27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27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2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2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275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2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27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27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275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27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27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27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27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3ACC96D9B824A28ABF5A1615226E2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F3745-ADD6-4368-BD8E-E2D8F8D15A34}"/>
      </w:docPartPr>
      <w:docPartBody>
        <w:p w:rsidR="00000000" w:rsidRDefault="000D6336" w:rsidP="000D6336">
          <w:pPr>
            <w:pStyle w:val="83ACC96D9B824A28ABF5A1615226E244"/>
          </w:pPr>
          <w:r w:rsidRPr="0045271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36"/>
    <w:rsid w:val="000D6336"/>
    <w:rsid w:val="003C691A"/>
    <w:rsid w:val="009F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6336"/>
    <w:rPr>
      <w:color w:val="808080"/>
    </w:rPr>
  </w:style>
  <w:style w:type="paragraph" w:customStyle="1" w:styleId="83ACC96D9B824A28ABF5A1615226E244">
    <w:name w:val="83ACC96D9B824A28ABF5A1615226E244"/>
    <w:rsid w:val="000D633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242</Words>
  <Characters>1382</Characters>
  <Application>Microsoft Office Word</Application>
  <DocSecurity>0</DocSecurity>
  <Lines>11</Lines>
  <Paragraphs>3</Paragraphs>
  <ScaleCrop>false</ScaleCrop>
  <Company>Springer Nature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2025-07-18T10:50:00Z</dcterms:created>
  <dcterms:modified xsi:type="dcterms:W3CDTF">2025-07-18T10:51:00Z</dcterms:modified>
</cp:coreProperties>
</file>