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C656D" w14:textId="77777777" w:rsidR="007C3365" w:rsidRDefault="007C3365" w:rsidP="007C3365">
      <w:pPr>
        <w:spacing w:after="240" w:line="240" w:lineRule="auto"/>
        <w:rPr>
          <w:color w:val="000000"/>
          <w:lang w:val="fr-FR"/>
        </w:rPr>
      </w:pPr>
    </w:p>
    <w:p w14:paraId="694BC7C8" w14:textId="77777777" w:rsidR="007C3365" w:rsidRDefault="007C3365" w:rsidP="007C3365">
      <w:pPr>
        <w:spacing w:after="240" w:line="240" w:lineRule="auto"/>
      </w:pPr>
      <w:r>
        <w:rPr>
          <w:b/>
          <w:color w:val="000000"/>
        </w:rPr>
        <w:t>APPENDIX 1:</w:t>
      </w:r>
      <w:r>
        <w:rPr>
          <w:color w:val="000000"/>
        </w:rPr>
        <w:t xml:space="preserve"> Projects executed under the different budget heads in the fisheries and aquaculture sectors from 2013 to 2022.</w:t>
      </w:r>
    </w:p>
    <w:tbl>
      <w:tblPr>
        <w:tblW w:w="9344" w:type="dxa"/>
        <w:tblLayout w:type="fixed"/>
        <w:tblLook w:val="0400" w:firstRow="0" w:lastRow="0" w:firstColumn="0" w:lastColumn="0" w:noHBand="0" w:noVBand="1"/>
      </w:tblPr>
      <w:tblGrid>
        <w:gridCol w:w="3346"/>
        <w:gridCol w:w="3535"/>
        <w:gridCol w:w="2463"/>
      </w:tblGrid>
      <w:tr w:rsidR="007C3365" w14:paraId="5FDED1CF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3C44E9" w14:textId="77777777" w:rsidR="007C3365" w:rsidRDefault="007C3365" w:rsidP="00555C0E">
            <w:pPr>
              <w:spacing w:line="240" w:lineRule="auto"/>
              <w:ind w:left="120"/>
            </w:pPr>
            <w:r>
              <w:rPr>
                <w:b/>
                <w:color w:val="000000"/>
                <w:sz w:val="20"/>
                <w:szCs w:val="20"/>
              </w:rPr>
              <w:t>Row Labels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2C5EC8" w14:textId="77777777" w:rsidR="007C3365" w:rsidRDefault="007C3365" w:rsidP="00555C0E">
            <w:pPr>
              <w:spacing w:line="240" w:lineRule="auto"/>
              <w:ind w:left="120"/>
            </w:pPr>
            <w:r>
              <w:rPr>
                <w:b/>
                <w:color w:val="000000"/>
                <w:sz w:val="20"/>
                <w:szCs w:val="20"/>
              </w:rPr>
              <w:t>The Sum of Utilizations for the Year in Review (</w:t>
            </w:r>
            <w:r>
              <w:rPr>
                <w:b/>
                <w:strike/>
                <w:color w:val="000000"/>
                <w:sz w:val="20"/>
                <w:szCs w:val="20"/>
              </w:rPr>
              <w:t>N</w:t>
            </w:r>
            <w:r>
              <w:rPr>
                <w:b/>
                <w:color w:val="000000"/>
                <w:sz w:val="20"/>
                <w:szCs w:val="20"/>
              </w:rPr>
              <w:t>)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3D0B14" w14:textId="77777777" w:rsidR="007C3365" w:rsidRDefault="007C3365" w:rsidP="00555C0E">
            <w:pPr>
              <w:spacing w:line="240" w:lineRule="auto"/>
              <w:ind w:left="120"/>
            </w:pPr>
            <w:r>
              <w:rPr>
                <w:b/>
                <w:color w:val="000000"/>
                <w:sz w:val="20"/>
                <w:szCs w:val="20"/>
              </w:rPr>
              <w:t>Proportion in Budget Heads (%)</w:t>
            </w:r>
          </w:p>
        </w:tc>
      </w:tr>
      <w:tr w:rsidR="007C3365" w14:paraId="7A4F05BF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23E059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b/>
                <w:color w:val="000000"/>
                <w:sz w:val="20"/>
                <w:szCs w:val="20"/>
              </w:rPr>
              <w:t>Aquaculture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626A42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2,285,539,275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933B1A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100%</w:t>
            </w:r>
          </w:p>
        </w:tc>
      </w:tr>
      <w:tr w:rsidR="007C3365" w14:paraId="0897BE90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49C5E28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Aquaculture Certification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D5026B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21,734,531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CA8D34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0.95%</w:t>
            </w:r>
          </w:p>
        </w:tc>
      </w:tr>
      <w:tr w:rsidR="007C3365" w14:paraId="160897DE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765668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Cage Culture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DDA12F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105,480,940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7D53E7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4.62%</w:t>
            </w:r>
          </w:p>
        </w:tc>
      </w:tr>
      <w:tr w:rsidR="007C3365" w14:paraId="1CB09323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B6D60B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Capacity Building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3E5F41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39,746,900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D912BC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1.74%</w:t>
            </w:r>
          </w:p>
        </w:tc>
      </w:tr>
      <w:tr w:rsidR="007C3365" w14:paraId="7D79B707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095B37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Federal Government Colleges Cottage Fish Farm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FD1AFC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212,021,260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B00EC65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9.28%</w:t>
            </w:r>
          </w:p>
        </w:tc>
      </w:tr>
      <w:tr w:rsidR="007C3365" w14:paraId="76EEAE47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6F8DAA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Fingerlings production centre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9A91FD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12,607,000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7DF91F2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0.55%</w:t>
            </w:r>
          </w:p>
        </w:tc>
      </w:tr>
      <w:tr w:rsidR="007C3365" w14:paraId="2348A0D4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A0D0EE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Fish Farm Cluster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7C0D1B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951,637,732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0FAC0E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41.64%</w:t>
            </w:r>
          </w:p>
        </w:tc>
      </w:tr>
      <w:tr w:rsidR="007C3365" w14:paraId="60F4D523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4EB5B7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Fish Feed Mill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9DF902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274,626,846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669F2A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12.02%</w:t>
            </w:r>
          </w:p>
        </w:tc>
      </w:tr>
      <w:tr w:rsidR="007C3365" w14:paraId="2C5301D4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A1997A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Growth Enhancement Support Scheme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89972A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196,573,000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7908CA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8.60%</w:t>
            </w:r>
          </w:p>
        </w:tc>
      </w:tr>
      <w:tr w:rsidR="007C3365" w14:paraId="366890AB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79F0B2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Infrastructure Rehabilitation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13857F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198,209,500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F5591D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8.67%</w:t>
            </w:r>
          </w:p>
        </w:tc>
      </w:tr>
      <w:tr w:rsidR="007C3365" w14:paraId="6C0AC5D3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82AF82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Input Supply (feed, fingerlings and mobile tanks)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9401B2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272,901,566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11B99E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11.94%</w:t>
            </w:r>
          </w:p>
        </w:tc>
      </w:tr>
      <w:tr w:rsidR="007C3365" w14:paraId="31EFEA62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543147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b/>
                <w:color w:val="000000"/>
                <w:sz w:val="20"/>
                <w:szCs w:val="20"/>
              </w:rPr>
              <w:t>Trade, Storage &amp; Processing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F353EC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913,075,402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E76A8F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100%</w:t>
            </w:r>
          </w:p>
        </w:tc>
      </w:tr>
      <w:tr w:rsidR="007C3365" w14:paraId="376EE89B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FF83F2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Capacity Building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75CCA7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20,916,878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6391887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2%</w:t>
            </w:r>
          </w:p>
        </w:tc>
      </w:tr>
      <w:tr w:rsidR="007C3365" w14:paraId="47EFC7BC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DE5BED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Cold Room Storage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794FDD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109,972,620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F9B70A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12%</w:t>
            </w:r>
          </w:p>
        </w:tc>
      </w:tr>
      <w:tr w:rsidR="007C3365" w14:paraId="166E6FC2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CE4D9D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Fish Market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9846378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156,192,840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E8A77E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17%</w:t>
            </w:r>
          </w:p>
        </w:tc>
      </w:tr>
      <w:tr w:rsidR="007C3365" w14:paraId="5E85E2E4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C216EE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Fish Processing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F67DCE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230,809,901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451D68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25%</w:t>
            </w:r>
          </w:p>
        </w:tc>
      </w:tr>
      <w:tr w:rsidR="007C3365" w14:paraId="7BE8487F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E22F0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Input Supply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36F306C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4,756,500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A173E6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1%</w:t>
            </w:r>
          </w:p>
        </w:tc>
      </w:tr>
      <w:tr w:rsidR="007C3365" w14:paraId="72AFB124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32196A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Smoking Kiln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205B2ED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390,426,664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AE0983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43%</w:t>
            </w:r>
          </w:p>
        </w:tc>
      </w:tr>
      <w:tr w:rsidR="007C3365" w14:paraId="215DDF29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2BA804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b/>
                <w:color w:val="000000"/>
                <w:sz w:val="20"/>
                <w:szCs w:val="20"/>
              </w:rPr>
              <w:t>Artisanal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D977B1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891,965,385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D1C421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100%</w:t>
            </w:r>
          </w:p>
        </w:tc>
      </w:tr>
      <w:tr w:rsidR="007C3365" w14:paraId="2A91A9E5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46F213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Canoe Registration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C19600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58,765,656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A44256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7%</w:t>
            </w:r>
          </w:p>
        </w:tc>
      </w:tr>
      <w:tr w:rsidR="007C3365" w14:paraId="588028E6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2F8910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Capacity Building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AA009C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52,000,000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E61353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6%</w:t>
            </w:r>
          </w:p>
        </w:tc>
      </w:tr>
      <w:tr w:rsidR="007C3365" w14:paraId="1797A437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ADDFEA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lastRenderedPageBreak/>
              <w:t>Growth Enhancement Support Scheme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473DE1C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59,068,775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1CCAAA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7%</w:t>
            </w:r>
          </w:p>
        </w:tc>
      </w:tr>
      <w:tr w:rsidR="007C3365" w14:paraId="431CF200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839E42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Input Supply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5B205E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87,304,901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F5A08C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10%</w:t>
            </w:r>
          </w:p>
        </w:tc>
      </w:tr>
      <w:tr w:rsidR="007C3365" w14:paraId="5AADD08D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7CCD5B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Lake Enhancement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DEF05A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589,517,587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B793CB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66%</w:t>
            </w:r>
          </w:p>
        </w:tc>
      </w:tr>
      <w:tr w:rsidR="007C3365" w14:paraId="63E26046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268A16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Promotion of FAO Code of Conduct (CCRF)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68C582B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45,308,465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1F2BDC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5%</w:t>
            </w:r>
          </w:p>
        </w:tc>
      </w:tr>
      <w:tr w:rsidR="007C3365" w14:paraId="573A9D96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9456F6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b/>
                <w:color w:val="000000"/>
                <w:sz w:val="20"/>
                <w:szCs w:val="20"/>
              </w:rPr>
              <w:t>Industrial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D90D09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291,038,530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D5DADF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100%</w:t>
            </w:r>
          </w:p>
        </w:tc>
      </w:tr>
      <w:tr w:rsidR="007C3365" w14:paraId="77F9BE2F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BC7801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Capacity Building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54A983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18,640,000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F7D6D7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6%</w:t>
            </w:r>
          </w:p>
        </w:tc>
      </w:tr>
      <w:tr w:rsidR="007C3365" w14:paraId="089078B6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02073C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Sea Fisheries Development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DC73DF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30,361,100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55FB25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10%</w:t>
            </w:r>
          </w:p>
        </w:tc>
      </w:tr>
      <w:tr w:rsidR="007C3365" w14:paraId="2FD0BDB1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738F6C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Tuna Fisheries Development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151E9A4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11,604,000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7D1663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4%</w:t>
            </w:r>
          </w:p>
        </w:tc>
      </w:tr>
      <w:tr w:rsidR="007C3365" w14:paraId="0D95500E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09EE16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Vessel Monitoring Station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FFCA6F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169,429,430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05FBAF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58%</w:t>
            </w:r>
          </w:p>
        </w:tc>
      </w:tr>
      <w:tr w:rsidR="007C3365" w14:paraId="70CD9A98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2CD6B8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Jetty Development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361C13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61,004,000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DFC677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21%</w:t>
            </w:r>
          </w:p>
        </w:tc>
      </w:tr>
      <w:tr w:rsidR="007C3365" w14:paraId="612E6F1B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B0B17B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b/>
                <w:color w:val="000000"/>
                <w:sz w:val="20"/>
                <w:szCs w:val="20"/>
              </w:rPr>
              <w:t>Quality Assurance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9583B2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153,435,634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E9E622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100%</w:t>
            </w:r>
          </w:p>
        </w:tc>
      </w:tr>
      <w:tr w:rsidR="007C3365" w14:paraId="7C3EDD91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6946F5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Aquaculture Certification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D41146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47,501,637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4A79654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31%</w:t>
            </w:r>
          </w:p>
        </w:tc>
      </w:tr>
      <w:tr w:rsidR="007C3365" w14:paraId="724BE544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C707B4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Nigeria Fisheries Laboratory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7F39F6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105,933,997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DF8DB3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69%</w:t>
            </w:r>
          </w:p>
        </w:tc>
      </w:tr>
      <w:tr w:rsidR="007C3365" w14:paraId="1C0D63C6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A7485A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b/>
                <w:color w:val="000000"/>
                <w:sz w:val="20"/>
                <w:szCs w:val="20"/>
              </w:rPr>
              <w:t>Data collection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8F9F35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121,787,145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DB670F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100%</w:t>
            </w:r>
          </w:p>
        </w:tc>
      </w:tr>
      <w:tr w:rsidR="007C3365" w14:paraId="136D7E08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8B9602F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Data Management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ABC494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121,787,145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A1274C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100%</w:t>
            </w:r>
          </w:p>
        </w:tc>
      </w:tr>
      <w:tr w:rsidR="007C3365" w14:paraId="09CB7410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88B047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b/>
                <w:color w:val="000000"/>
                <w:sz w:val="20"/>
                <w:szCs w:val="20"/>
              </w:rPr>
              <w:t>Administration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DF768D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33,399,958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D3C222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100%</w:t>
            </w:r>
          </w:p>
        </w:tc>
      </w:tr>
      <w:tr w:rsidR="007C3365" w14:paraId="6687AF72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3037E4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Capacity Building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DDD1ADE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19,490,870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5C85D9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58%</w:t>
            </w:r>
          </w:p>
        </w:tc>
      </w:tr>
      <w:tr w:rsidR="007C3365" w14:paraId="446C27C1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628B8A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Project Verification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903940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4,874,100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F11981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15%</w:t>
            </w:r>
          </w:p>
        </w:tc>
      </w:tr>
      <w:tr w:rsidR="007C3365" w14:paraId="141B3405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3DF24E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Supplies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854FFC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9,034,988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5A527C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27%</w:t>
            </w:r>
          </w:p>
        </w:tc>
      </w:tr>
      <w:tr w:rsidR="007C3365" w14:paraId="257A660A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A7568A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b/>
                <w:color w:val="000000"/>
                <w:sz w:val="20"/>
                <w:szCs w:val="20"/>
              </w:rPr>
              <w:t>Technology Support Services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8AFEB37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6,457,500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FDF52DB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100%</w:t>
            </w:r>
          </w:p>
        </w:tc>
      </w:tr>
      <w:tr w:rsidR="007C3365" w14:paraId="1F7DBA68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A9563D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  <w:sz w:val="20"/>
                <w:szCs w:val="20"/>
              </w:rPr>
              <w:t>Boatyard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5E3C5F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6,457,500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3EFD07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100%</w:t>
            </w:r>
          </w:p>
        </w:tc>
      </w:tr>
      <w:tr w:rsidR="007C3365" w14:paraId="01CF7C64" w14:textId="77777777" w:rsidTr="00555C0E">
        <w:trPr>
          <w:trHeight w:val="285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3564D87C" w14:textId="77777777" w:rsidR="007C3365" w:rsidRDefault="007C3365" w:rsidP="00555C0E">
            <w:pPr>
              <w:spacing w:line="240" w:lineRule="auto"/>
            </w:pPr>
            <w:r>
              <w:rPr>
                <w:b/>
                <w:color w:val="000000"/>
                <w:sz w:val="20"/>
                <w:szCs w:val="20"/>
              </w:rPr>
              <w:t>  Implicit payments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D1E96E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Not Available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F51FBE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color w:val="000000"/>
                <w:sz w:val="20"/>
                <w:szCs w:val="20"/>
              </w:rPr>
              <w:t>Not Available</w:t>
            </w:r>
          </w:p>
        </w:tc>
      </w:tr>
      <w:tr w:rsidR="007C3365" w14:paraId="380E01F6" w14:textId="77777777" w:rsidTr="00555C0E">
        <w:trPr>
          <w:trHeight w:val="300"/>
        </w:trPr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E3BCEE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b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3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D3BD92" w14:textId="77777777" w:rsidR="007C3365" w:rsidRDefault="007C3365" w:rsidP="00555C0E">
            <w:pPr>
              <w:spacing w:before="240" w:line="240" w:lineRule="auto"/>
              <w:ind w:left="120"/>
              <w:jc w:val="right"/>
            </w:pPr>
            <w:r>
              <w:rPr>
                <w:b/>
                <w:color w:val="000000"/>
                <w:sz w:val="20"/>
                <w:szCs w:val="20"/>
              </w:rPr>
              <w:t>4,696,698,828</w:t>
            </w:r>
          </w:p>
        </w:tc>
        <w:tc>
          <w:tcPr>
            <w:tcW w:w="2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0C1C62FC" w14:textId="77777777" w:rsidR="007C3365" w:rsidRDefault="007C3365" w:rsidP="00555C0E">
            <w:pPr>
              <w:spacing w:before="240" w:line="240" w:lineRule="auto"/>
              <w:ind w:left="120"/>
            </w:pPr>
            <w:r>
              <w:rPr>
                <w:color w:val="000000"/>
              </w:rPr>
              <w:t> </w:t>
            </w:r>
          </w:p>
        </w:tc>
      </w:tr>
    </w:tbl>
    <w:p w14:paraId="0C6E1ED9" w14:textId="77777777" w:rsidR="007C3365" w:rsidRDefault="007C3365" w:rsidP="007C3365">
      <w:pPr>
        <w:rPr>
          <w:b/>
        </w:rPr>
      </w:pPr>
    </w:p>
    <w:p w14:paraId="77A2348F" w14:textId="77777777" w:rsidR="007C3365" w:rsidRDefault="007C3365" w:rsidP="007C3365"/>
    <w:p w14:paraId="5493D701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365"/>
    <w:rsid w:val="00011C58"/>
    <w:rsid w:val="0006021D"/>
    <w:rsid w:val="00331A6B"/>
    <w:rsid w:val="003C691A"/>
    <w:rsid w:val="00755780"/>
    <w:rsid w:val="007C3365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3578B"/>
  <w15:chartTrackingRefBased/>
  <w15:docId w15:val="{4D5B4C06-113D-4ADF-96BA-4E8BE8E23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3365"/>
    <w:pPr>
      <w:spacing w:after="0" w:line="276" w:lineRule="auto"/>
    </w:pPr>
    <w:rPr>
      <w:rFonts w:ascii="Times New Roman" w:eastAsia="Arial" w:hAnsi="Times New Roman" w:cs="Arial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336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336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336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336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336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336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336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336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336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33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33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33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33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33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33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33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33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33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33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C33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336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C33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336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C33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336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C33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33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33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33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284</Words>
  <Characters>1622</Characters>
  <Application>Microsoft Office Word</Application>
  <DocSecurity>0</DocSecurity>
  <Lines>13</Lines>
  <Paragraphs>3</Paragraphs>
  <ScaleCrop>false</ScaleCrop>
  <Company>Springer Nature</Company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2025-07-18T10:52:00Z</dcterms:created>
  <dcterms:modified xsi:type="dcterms:W3CDTF">2025-07-18T10:53:00Z</dcterms:modified>
</cp:coreProperties>
</file>