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8595" cy="7452360"/>
            <wp:effectExtent l="0" t="0" r="14605" b="15240"/>
            <wp:docPr id="2" name="图片 2" descr="figure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figure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 xml:space="preserve">Figure S1. The calibration plots of nomograms. A1-A3: calibration plots of nomogram for RCC patients based on GLS2 expression (1-year-OS; 3-year-OS; 5-year-OS); B1-B3: calibration plots of nomogram for ccRCC patients based on E2F family members (1-year-OS; 3-year-OS; 5-year-OS); C1-C3: calibration plots of nomogram for RCC patients based on E2F family members (1-year-OS; 3-year-OS; 5-year-OS). </w:t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drawing>
          <wp:inline distT="0" distB="0" distL="114300" distR="114300">
            <wp:extent cx="5268595" cy="7452360"/>
            <wp:effectExtent l="0" t="0" r="14605" b="15240"/>
            <wp:docPr id="1" name="图片 1" descr="figure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ureS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452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cs="Times New Roman"/>
          <w:b/>
          <w:bCs/>
        </w:rPr>
      </w:pPr>
      <w:r>
        <w:rPr>
          <w:rFonts w:hint="default" w:ascii="Times New Roman" w:hAnsi="Times New Roman" w:cs="Times New Roman"/>
          <w:b/>
          <w:bCs/>
        </w:rPr>
        <w:t>Figure S2.</w:t>
      </w:r>
      <w:r>
        <w:rPr>
          <w:rFonts w:hint="default" w:ascii="Times New Roman" w:hAnsi="Times New Roman" w:cs="Times New Roman"/>
          <w:b/>
          <w:bCs/>
        </w:rPr>
        <w:t xml:space="preserve"> The methylation level of GLS2 promoter and its’ role in 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</w:rPr>
        <w:t xml:space="preserve">ccRCC.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Arial Unicode MS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BF1C52"/>
    <w:rsid w:val="2FFF53EA"/>
    <w:rsid w:val="7FBF1C52"/>
    <w:rsid w:val="D5DB6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tif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Office_1.6.1.2429_F1E327BC-269C-435d-A152-05C5408002CA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2019-11-24T08:47:00Z</dcterms:created>
  <dc:creator>sundantong</dc:creator>
  <cp:lastModifiedBy>sundantong</cp:lastModifiedBy>
  <dcterms:modified xsi:type="dcterms:W3CDTF">2020-05-28T20:52:00Z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2052-1.6.1.2429</vt:lpwstr>
  </property>
</Properties>
</file>