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7D834" w14:textId="77777777" w:rsidR="00E64D3D" w:rsidRPr="002D05E2" w:rsidRDefault="00E64D3D" w:rsidP="00E64D3D">
      <w:pPr>
        <w:pStyle w:val="Heading1"/>
        <w:spacing w:beforeLines="50" w:before="156" w:afterLines="50" w:after="156" w:line="480" w:lineRule="auto"/>
        <w:ind w:left="440" w:firstLine="482"/>
        <w:jc w:val="both"/>
        <w:rPr>
          <w:rFonts w:cs="Times New Roman"/>
          <w:sz w:val="24"/>
          <w:szCs w:val="24"/>
        </w:rPr>
      </w:pPr>
      <w:r w:rsidRPr="002D05E2">
        <w:rPr>
          <w:rFonts w:cs="Times New Roman"/>
          <w:sz w:val="24"/>
          <w:szCs w:val="24"/>
        </w:rPr>
        <w:t>Supplemental material</w:t>
      </w:r>
    </w:p>
    <w:p w14:paraId="1CEE395B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2D05E2">
        <w:rPr>
          <w:rFonts w:ascii="Times New Roman" w:hAnsi="Times New Roman" w:cs="Times New Roman"/>
          <w:sz w:val="24"/>
          <w:szCs w:val="24"/>
        </w:rPr>
        <w:t>Please find the following supplemental material available below.</w:t>
      </w:r>
    </w:p>
    <w:p w14:paraId="7A1B1246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Ref200574897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1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Pr="002D05E2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93273547"/>
      <w:r w:rsidRPr="002D05E2">
        <w:rPr>
          <w:rFonts w:ascii="Times New Roman" w:hAnsi="Times New Roman" w:cs="Times New Roman"/>
          <w:sz w:val="24"/>
          <w:szCs w:val="24"/>
        </w:rPr>
        <w:t>Funnel plots of two-sample Mendelian randomization for MetS, WC, TG, HDL-C , SBP, DBP, and T2DM in relation to CAVS</w:t>
      </w:r>
      <w:bookmarkEnd w:id="1"/>
    </w:p>
    <w:p w14:paraId="7B990CCC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2" w:name="_Ref200574908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2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Start w:id="3" w:name="_Hlk193274013"/>
      <w:bookmarkEnd w:id="2"/>
      <w:r w:rsidRPr="002D05E2">
        <w:rPr>
          <w:rFonts w:ascii="Times New Roman" w:hAnsi="Times New Roman" w:cs="Times New Roman"/>
          <w:sz w:val="24"/>
          <w:szCs w:val="24"/>
        </w:rPr>
        <w:t xml:space="preserve"> Leave-One-Out Sensitivity Analysis of MetS and CAVS</w:t>
      </w:r>
      <w:bookmarkEnd w:id="3"/>
    </w:p>
    <w:p w14:paraId="398CFA9A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Ref200574918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3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4"/>
      <w:r w:rsidRPr="002D05E2">
        <w:rPr>
          <w:rFonts w:ascii="Times New Roman" w:hAnsi="Times New Roman" w:cs="Times New Roman"/>
          <w:sz w:val="24"/>
          <w:szCs w:val="24"/>
        </w:rPr>
        <w:t xml:space="preserve"> Leave-One-Out Sensitivity Analysis of WC and CAVS</w:t>
      </w:r>
    </w:p>
    <w:p w14:paraId="7076AF99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Ref200574928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4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5"/>
      <w:r w:rsidRPr="002D05E2">
        <w:rPr>
          <w:rFonts w:ascii="Times New Roman" w:hAnsi="Times New Roman" w:cs="Times New Roman"/>
          <w:sz w:val="24"/>
          <w:szCs w:val="24"/>
        </w:rPr>
        <w:t xml:space="preserve"> Leave-One-Out Sensitivity Analysis of TG and CAVS</w:t>
      </w:r>
    </w:p>
    <w:p w14:paraId="143B6FA1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Ref200574954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5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6"/>
      <w:r w:rsidRPr="002D05E2">
        <w:rPr>
          <w:rFonts w:ascii="Times New Roman" w:hAnsi="Times New Roman" w:cs="Times New Roman"/>
          <w:sz w:val="24"/>
          <w:szCs w:val="24"/>
        </w:rPr>
        <w:t xml:space="preserve"> Leave-One-Out Sensitivity Analysis of HDL-C and CAVS</w:t>
      </w:r>
    </w:p>
    <w:p w14:paraId="47362E75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Ref200574942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6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7"/>
      <w:r w:rsidRPr="002D05E2">
        <w:rPr>
          <w:rFonts w:ascii="Times New Roman" w:hAnsi="Times New Roman" w:cs="Times New Roman"/>
          <w:sz w:val="24"/>
          <w:szCs w:val="24"/>
        </w:rPr>
        <w:t xml:space="preserve"> Leave-One-Out Sensitivity Analysis of SBP and CAVS</w:t>
      </w:r>
    </w:p>
    <w:p w14:paraId="04A11679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Ref200574949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7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8"/>
      <w:r w:rsidRPr="002D05E2">
        <w:rPr>
          <w:rFonts w:ascii="Times New Roman" w:hAnsi="Times New Roman" w:cs="Times New Roman"/>
          <w:sz w:val="24"/>
          <w:szCs w:val="24"/>
        </w:rPr>
        <w:t xml:space="preserve"> Leave-One-Out Sensitivity Analysis of DBP and CAVS</w:t>
      </w:r>
    </w:p>
    <w:p w14:paraId="32E7DCE0" w14:textId="77777777" w:rsidR="00E64D3D" w:rsidRPr="002D05E2" w:rsidRDefault="00E64D3D" w:rsidP="00E64D3D">
      <w:pPr>
        <w:pStyle w:val="Caption"/>
        <w:spacing w:beforeLines="50" w:before="156" w:afterLines="50" w:after="156"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Ref200574982"/>
      <w:r w:rsidRPr="002D05E2">
        <w:rPr>
          <w:rFonts w:ascii="Times New Roman" w:hAnsi="Times New Roman" w:cs="Times New Roman"/>
          <w:sz w:val="24"/>
          <w:szCs w:val="24"/>
        </w:rPr>
        <w:t xml:space="preserve">Figure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Figure_S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8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9"/>
      <w:r w:rsidRPr="002D05E2">
        <w:rPr>
          <w:rFonts w:ascii="Times New Roman" w:hAnsi="Times New Roman" w:cs="Times New Roman"/>
          <w:sz w:val="24"/>
          <w:szCs w:val="24"/>
        </w:rPr>
        <w:t xml:space="preserve"> Leave-One-Out Sensitivity Analysis of T2DM and CAVS</w:t>
      </w:r>
    </w:p>
    <w:p w14:paraId="04114AB4" w14:textId="77777777" w:rsidR="00E64D3D" w:rsidRPr="002D05E2" w:rsidRDefault="00E64D3D" w:rsidP="00E64D3D">
      <w:pPr>
        <w:pStyle w:val="Caption"/>
        <w:spacing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Ref200669951"/>
      <w:r w:rsidRPr="002D05E2">
        <w:rPr>
          <w:rFonts w:ascii="Times New Roman" w:hAnsi="Times New Roman" w:cs="Times New Roman"/>
          <w:sz w:val="24"/>
          <w:szCs w:val="24"/>
        </w:rPr>
        <w:t xml:space="preserve">Table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Table_S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1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10"/>
      <w:r w:rsidRPr="002D05E2">
        <w:rPr>
          <w:rFonts w:ascii="Times New Roman" w:hAnsi="Times New Roman" w:cs="Times New Roman"/>
          <w:sz w:val="24"/>
          <w:szCs w:val="24"/>
        </w:rPr>
        <w:t>Sources of GWAS data for circulating metabolites</w:t>
      </w:r>
    </w:p>
    <w:p w14:paraId="266BA040" w14:textId="77777777" w:rsidR="00E64D3D" w:rsidRPr="002D05E2" w:rsidRDefault="00E64D3D" w:rsidP="00E64D3D">
      <w:pPr>
        <w:pStyle w:val="Caption"/>
        <w:spacing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Ref200669974"/>
      <w:r w:rsidRPr="002D05E2">
        <w:rPr>
          <w:rFonts w:ascii="Times New Roman" w:hAnsi="Times New Roman" w:cs="Times New Roman"/>
          <w:sz w:val="24"/>
          <w:szCs w:val="24"/>
        </w:rPr>
        <w:t xml:space="preserve">Table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Table_S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2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11"/>
      <w:r w:rsidRPr="002D05E2">
        <w:rPr>
          <w:rFonts w:ascii="Times New Roman" w:hAnsi="Times New Roman" w:cs="Times New Roman"/>
          <w:sz w:val="24"/>
          <w:szCs w:val="24"/>
        </w:rPr>
        <w:t>Mendelian Randomization Results of Metabolic Syndrome and Its Components in Relation to Circulating Metabolites</w:t>
      </w:r>
    </w:p>
    <w:p w14:paraId="09EF8E52" w14:textId="77777777" w:rsidR="00E64D3D" w:rsidRPr="002D05E2" w:rsidRDefault="00E64D3D" w:rsidP="00E64D3D">
      <w:pPr>
        <w:pStyle w:val="Caption"/>
        <w:spacing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Ref200669980"/>
      <w:r w:rsidRPr="002D05E2">
        <w:rPr>
          <w:rFonts w:ascii="Times New Roman" w:hAnsi="Times New Roman" w:cs="Times New Roman"/>
          <w:sz w:val="24"/>
          <w:szCs w:val="24"/>
        </w:rPr>
        <w:t xml:space="preserve">Table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Table_S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3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12"/>
      <w:r w:rsidRPr="002D05E2">
        <w:rPr>
          <w:rFonts w:ascii="Times New Roman" w:hAnsi="Times New Roman" w:cs="Times New Roman"/>
          <w:sz w:val="24"/>
          <w:szCs w:val="24"/>
        </w:rPr>
        <w:t xml:space="preserve"> Results of Mendelian Randomization Sensitivity Analysis for Metabolic Syndrome and Its Components in Association with Circulating Metabolites</w:t>
      </w:r>
    </w:p>
    <w:p w14:paraId="463395D0" w14:textId="77777777" w:rsidR="00E64D3D" w:rsidRPr="002D05E2" w:rsidRDefault="00E64D3D" w:rsidP="00E64D3D">
      <w:pPr>
        <w:pStyle w:val="Caption"/>
        <w:spacing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Ref200669992"/>
      <w:r w:rsidRPr="002D05E2">
        <w:rPr>
          <w:rFonts w:ascii="Times New Roman" w:hAnsi="Times New Roman" w:cs="Times New Roman"/>
          <w:sz w:val="24"/>
          <w:szCs w:val="24"/>
        </w:rPr>
        <w:t xml:space="preserve">Table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Table_S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4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13"/>
      <w:r w:rsidRPr="002D05E2">
        <w:rPr>
          <w:rFonts w:ascii="Times New Roman" w:hAnsi="Times New Roman" w:cs="Times New Roman"/>
          <w:sz w:val="24"/>
          <w:szCs w:val="24"/>
        </w:rPr>
        <w:t xml:space="preserve"> Results of the Mendelian Randomization Sensitivity Analysis for </w:t>
      </w:r>
      <w:r w:rsidRPr="002D05E2">
        <w:rPr>
          <w:rFonts w:ascii="Times New Roman" w:hAnsi="Times New Roman" w:cs="Times New Roman"/>
          <w:sz w:val="24"/>
          <w:szCs w:val="24"/>
        </w:rPr>
        <w:lastRenderedPageBreak/>
        <w:t>Circulating Metabolites and Calcific Aortic Valve Stenosis</w:t>
      </w:r>
    </w:p>
    <w:p w14:paraId="440724FA" w14:textId="77777777" w:rsidR="00E64D3D" w:rsidRPr="002D05E2" w:rsidRDefault="00E64D3D" w:rsidP="00E64D3D">
      <w:pPr>
        <w:pStyle w:val="Caption"/>
        <w:spacing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Ref200670002"/>
      <w:r w:rsidRPr="002D05E2">
        <w:rPr>
          <w:rFonts w:ascii="Times New Roman" w:hAnsi="Times New Roman" w:cs="Times New Roman"/>
          <w:sz w:val="24"/>
          <w:szCs w:val="24"/>
        </w:rPr>
        <w:t xml:space="preserve">Table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Table_S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5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14"/>
      <w:r w:rsidRPr="002D05E2">
        <w:rPr>
          <w:rFonts w:ascii="Times New Roman" w:hAnsi="Times New Roman" w:cs="Times New Roman"/>
          <w:sz w:val="24"/>
          <w:szCs w:val="24"/>
        </w:rPr>
        <w:t xml:space="preserve"> Integrated Two-Step Mendelian Randomization Analysis of Metabolic Syndrome, Its Components, and Mediating Metabolites on Calcific aortic valve stenosis</w:t>
      </w:r>
    </w:p>
    <w:p w14:paraId="6122718C" w14:textId="77777777" w:rsidR="00E64D3D" w:rsidRPr="002D05E2" w:rsidRDefault="00E64D3D" w:rsidP="00E64D3D">
      <w:pPr>
        <w:pStyle w:val="Caption"/>
        <w:spacing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Ref200887196"/>
      <w:r w:rsidRPr="002D05E2">
        <w:rPr>
          <w:rFonts w:ascii="Times New Roman" w:hAnsi="Times New Roman" w:cs="Times New Roman"/>
          <w:sz w:val="24"/>
          <w:szCs w:val="24"/>
        </w:rPr>
        <w:t xml:space="preserve">Table S </w:t>
      </w:r>
      <w:r w:rsidRPr="002D05E2">
        <w:rPr>
          <w:rFonts w:ascii="Times New Roman" w:hAnsi="Times New Roman" w:cs="Times New Roman"/>
          <w:sz w:val="24"/>
          <w:szCs w:val="24"/>
        </w:rPr>
        <w:fldChar w:fldCharType="begin"/>
      </w:r>
      <w:r w:rsidRPr="002D05E2">
        <w:rPr>
          <w:rFonts w:ascii="Times New Roman" w:hAnsi="Times New Roman" w:cs="Times New Roman"/>
          <w:sz w:val="24"/>
          <w:szCs w:val="24"/>
        </w:rPr>
        <w:instrText xml:space="preserve"> SEQ Table_S \* ARABIC </w:instrText>
      </w:r>
      <w:r w:rsidRPr="002D05E2">
        <w:rPr>
          <w:rFonts w:ascii="Times New Roman" w:hAnsi="Times New Roman" w:cs="Times New Roman"/>
          <w:sz w:val="24"/>
          <w:szCs w:val="24"/>
        </w:rPr>
        <w:fldChar w:fldCharType="separate"/>
      </w:r>
      <w:r w:rsidRPr="002D05E2">
        <w:rPr>
          <w:rFonts w:ascii="Times New Roman" w:hAnsi="Times New Roman" w:cs="Times New Roman"/>
          <w:noProof/>
          <w:sz w:val="24"/>
          <w:szCs w:val="24"/>
        </w:rPr>
        <w:t>6</w:t>
      </w:r>
      <w:r w:rsidRPr="002D05E2">
        <w:rPr>
          <w:rFonts w:ascii="Times New Roman" w:hAnsi="Times New Roman" w:cs="Times New Roman"/>
          <w:sz w:val="24"/>
          <w:szCs w:val="24"/>
        </w:rPr>
        <w:fldChar w:fldCharType="end"/>
      </w:r>
      <w:bookmarkEnd w:id="15"/>
      <w:r w:rsidRPr="002D05E2">
        <w:rPr>
          <w:rFonts w:ascii="Times New Roman" w:eastAsiaTheme="minorEastAsia" w:hAnsi="Times New Roman" w:cs="Times New Roman"/>
          <w:color w:val="2A2F45"/>
          <w:sz w:val="24"/>
          <w:szCs w:val="24"/>
          <w:shd w:val="clear" w:color="auto" w:fill="FFFFFF"/>
        </w:rPr>
        <w:t xml:space="preserve"> </w:t>
      </w:r>
      <w:r w:rsidRPr="002D05E2">
        <w:rPr>
          <w:rFonts w:ascii="Times New Roman" w:hAnsi="Times New Roman" w:cs="Times New Roman"/>
          <w:sz w:val="24"/>
          <w:szCs w:val="24"/>
        </w:rPr>
        <w:t>Twenty-two circulating metabolites mediate all three pathways</w:t>
      </w:r>
    </w:p>
    <w:p w14:paraId="016AE2D4" w14:textId="77777777" w:rsidR="00E64D3D" w:rsidRPr="002D05E2" w:rsidRDefault="00E64D3D" w:rsidP="00E64D3D">
      <w:pPr>
        <w:pStyle w:val="Caption"/>
        <w:spacing w:line="480" w:lineRule="auto"/>
        <w:ind w:leftChars="200" w:left="440"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</w:p>
    <w:p w14:paraId="352DE50A" w14:textId="77777777" w:rsidR="00865217" w:rsidRDefault="00865217"/>
    <w:sectPr w:rsidR="00865217" w:rsidSect="00E64D3D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3231671"/>
      <w:docPartObj>
        <w:docPartGallery w:val="Page Numbers (Bottom of Page)"/>
        <w:docPartUnique/>
      </w:docPartObj>
    </w:sdtPr>
    <w:sdtContent>
      <w:p w14:paraId="7C8C7FC2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0E1DC7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D3D"/>
    <w:rsid w:val="002E281E"/>
    <w:rsid w:val="003201BB"/>
    <w:rsid w:val="006F4131"/>
    <w:rsid w:val="00865217"/>
    <w:rsid w:val="00E6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7D2A8"/>
  <w15:chartTrackingRefBased/>
  <w15:docId w15:val="{0F0A83A9-27E9-49ED-96DF-5DB29DD6C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D3D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4D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64D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D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D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D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D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D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D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D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D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D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D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D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D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D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D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D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D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D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4D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D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4D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D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4D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D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4D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D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D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D3D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64D3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64D3D"/>
    <w:rPr>
      <w:rFonts w:eastAsiaTheme="minorEastAsia"/>
      <w:sz w:val="18"/>
      <w:szCs w:val="18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E64D3D"/>
    <w:rPr>
      <w:rFonts w:asciiTheme="majorHAnsi" w:eastAsia="SimHei" w:hAnsiTheme="majorHAnsi" w:cstheme="majorBidi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E64D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1465</Characters>
  <Application>Microsoft Office Word</Application>
  <DocSecurity>0</DocSecurity>
  <Lines>12</Lines>
  <Paragraphs>3</Paragraphs>
  <ScaleCrop>false</ScaleCrop>
  <Company>Springer Nature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2025-08-22T10:20:00Z</dcterms:created>
  <dcterms:modified xsi:type="dcterms:W3CDTF">2025-08-22T10:20:00Z</dcterms:modified>
</cp:coreProperties>
</file>