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png" ContentType="image/png"/>
  <Override PartName="/word/media/image5.png" ContentType="image/png"/>
  <Override PartName="/word/media/image6.png" ContentType="image/png"/>
  <Override PartName="/word/media/image7.png" ContentType="image/png"/>
  <Override PartName="/word/media/image8.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480"/>
        <w:jc w:val="center"/>
        <w:rPr>
          <w:rFonts w:ascii="Times New Roman" w:hAnsi="Times New Roman" w:eastAsia="Times New Roman" w:cs="Times New Roman"/>
          <w:b/>
          <w:sz w:val="24"/>
          <w:szCs w:val="24"/>
          <w:highlight w:val="white"/>
        </w:rPr>
      </w:pPr>
      <w:r>
        <w:rPr>
          <w:rFonts w:eastAsia="Times New Roman" w:cs="Times New Roman" w:ascii="Times New Roman" w:hAnsi="Times New Roman"/>
          <w:b/>
          <w:sz w:val="24"/>
          <w:szCs w:val="24"/>
          <w:highlight w:val="white"/>
        </w:rPr>
        <w:t>Long-term anthropogenic impacts result in widespread changes of plant species composition in Southern Atlantic Forest: evidences from systematic survey</w:t>
      </w:r>
    </w:p>
    <w:p>
      <w:pPr>
        <w:pStyle w:val="normal1"/>
        <w:spacing w:lineRule="auto" w:line="480"/>
        <w:jc w:val="center"/>
        <w:rPr>
          <w:rFonts w:ascii="Times New Roman" w:hAnsi="Times New Roman" w:eastAsia="Times New Roman" w:cs="Times New Roman"/>
          <w:b/>
          <w:sz w:val="24"/>
          <w:szCs w:val="24"/>
          <w:highlight w:val="white"/>
        </w:rPr>
      </w:pPr>
      <w:r>
        <w:rPr>
          <w:rFonts w:eastAsia="Times New Roman" w:cs="Times New Roman" w:ascii="Times New Roman" w:hAnsi="Times New Roman"/>
          <w:b/>
          <w:sz w:val="24"/>
          <w:szCs w:val="24"/>
          <w:highlight w:val="white"/>
        </w:rPr>
      </w:r>
    </w:p>
    <w:p>
      <w:pPr>
        <w:pStyle w:val="normal1"/>
        <w:spacing w:lineRule="auto" w:line="360" w:before="240" w:after="0"/>
        <w:jc w:val="center"/>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t>Fernanda Ribeiro da Silva¹*, André L. Giles¹, André Gasper²</w:t>
      </w:r>
      <w:r>
        <w:rPr>
          <w:rFonts w:eastAsia="Times New Roman" w:cs="Times New Roman" w:ascii="Times New Roman" w:hAnsi="Times New Roman"/>
          <w:sz w:val="24"/>
          <w:szCs w:val="24"/>
          <w:highlight w:val="white"/>
          <w:vertAlign w:val="superscript"/>
        </w:rPr>
        <w:t>,</w:t>
      </w:r>
      <w:r>
        <w:rPr>
          <w:rFonts w:eastAsia="Times New Roman" w:cs="Times New Roman" w:ascii="Times New Roman" w:hAnsi="Times New Roman"/>
          <w:sz w:val="24"/>
          <w:szCs w:val="24"/>
          <w:highlight w:val="white"/>
        </w:rPr>
        <w:t>³, Alexander Vibrans²</w:t>
      </w:r>
      <w:r>
        <w:rPr>
          <w:rFonts w:eastAsia="Times New Roman" w:cs="Times New Roman" w:ascii="Times New Roman" w:hAnsi="Times New Roman"/>
          <w:sz w:val="24"/>
          <w:szCs w:val="24"/>
          <w:highlight w:val="white"/>
          <w:vertAlign w:val="superscript"/>
        </w:rPr>
        <w:t>,</w:t>
      </w:r>
      <w:r>
        <w:rPr>
          <w:rFonts w:eastAsia="Times New Roman" w:cs="Times New Roman" w:ascii="Times New Roman" w:hAnsi="Times New Roman"/>
          <w:sz w:val="24"/>
          <w:szCs w:val="24"/>
          <w:highlight w:val="white"/>
        </w:rPr>
        <w:t>³, Marcio Baldissera Cure</w:t>
      </w:r>
      <w:r>
        <w:rPr>
          <w:rFonts w:eastAsia="Times New Roman" w:cs="Times New Roman" w:ascii="Times New Roman" w:hAnsi="Times New Roman"/>
          <w:sz w:val="24"/>
          <w:szCs w:val="24"/>
          <w:highlight w:val="white"/>
          <w:vertAlign w:val="superscript"/>
        </w:rPr>
        <w:t>4</w:t>
      </w:r>
      <w:r>
        <w:rPr>
          <w:rFonts w:eastAsia="Times New Roman" w:cs="Times New Roman" w:ascii="Times New Roman" w:hAnsi="Times New Roman"/>
          <w:sz w:val="24"/>
          <w:szCs w:val="24"/>
          <w:highlight w:val="white"/>
        </w:rPr>
        <w:t>, A. Catarina C. Jakovac¹</w:t>
      </w:r>
    </w:p>
    <w:p>
      <w:pPr>
        <w:pStyle w:val="normal1"/>
        <w:spacing w:lineRule="auto" w:line="240" w:before="240" w:after="0"/>
        <w:jc w:val="center"/>
        <w:rPr>
          <w:rFonts w:ascii="Times New Roman" w:hAnsi="Times New Roman" w:eastAsia="Times New Roman" w:cs="Times New Roman"/>
          <w:highlight w:val="white"/>
        </w:rPr>
      </w:pPr>
      <w:r>
        <w:rPr>
          <w:rFonts w:eastAsia="Times New Roman" w:cs="Times New Roman" w:ascii="Times New Roman" w:hAnsi="Times New Roman"/>
          <w:highlight w:val="white"/>
        </w:rPr>
        <w:t>¹</w:t>
      </w:r>
      <w:r>
        <w:rPr>
          <w:rFonts w:eastAsia="Times New Roman" w:cs="Times New Roman" w:ascii="Times New Roman" w:hAnsi="Times New Roman"/>
          <w:highlight w:val="white"/>
        </w:rPr>
        <w:t>Laboratory of Ecology and Restoration of Forest Ecosystems, ReFlor, University of Santa Catarina (UFSC), Trindade, Florianópolis, SC 88040-900, Brazil.</w:t>
      </w:r>
    </w:p>
    <w:p>
      <w:pPr>
        <w:pStyle w:val="normal1"/>
        <w:spacing w:lineRule="auto" w:line="240" w:before="240" w:after="0"/>
        <w:jc w:val="center"/>
        <w:rPr>
          <w:rFonts w:ascii="Times New Roman" w:hAnsi="Times New Roman" w:eastAsia="Times New Roman" w:cs="Times New Roman"/>
          <w:highlight w:val="white"/>
        </w:rPr>
      </w:pPr>
      <w:r>
        <w:rPr>
          <w:rFonts w:eastAsia="Times New Roman" w:cs="Times New Roman" w:ascii="Times New Roman" w:hAnsi="Times New Roman"/>
          <w:highlight w:val="white"/>
        </w:rPr>
        <w:t>²</w:t>
      </w:r>
      <w:r>
        <w:rPr>
          <w:rFonts w:eastAsia="Times New Roman" w:cs="Times New Roman" w:ascii="Times New Roman" w:hAnsi="Times New Roman"/>
          <w:highlight w:val="white"/>
        </w:rPr>
        <w:t>Departamento de Engenharia Florestal, Universidade Regional de Blumenau, Rua São Paulo, 3250, 89030-000, Blumenau, SC, Brazil</w:t>
      </w:r>
    </w:p>
    <w:p>
      <w:pPr>
        <w:pStyle w:val="normal1"/>
        <w:spacing w:lineRule="auto" w:line="240" w:before="240" w:after="0"/>
        <w:jc w:val="center"/>
        <w:rPr>
          <w:rFonts w:ascii="Times New Roman" w:hAnsi="Times New Roman" w:eastAsia="Times New Roman" w:cs="Times New Roman"/>
          <w:highlight w:val="white"/>
        </w:rPr>
      </w:pPr>
      <w:r>
        <w:rPr>
          <w:rFonts w:eastAsia="Times New Roman" w:cs="Times New Roman" w:ascii="Times New Roman" w:hAnsi="Times New Roman"/>
          <w:highlight w:val="white"/>
        </w:rPr>
        <w:t xml:space="preserve">³ </w:t>
      </w:r>
      <w:r>
        <w:rPr>
          <w:rFonts w:eastAsia="Times New Roman" w:cs="Times New Roman" w:ascii="Times New Roman" w:hAnsi="Times New Roman"/>
          <w:highlight w:val="white"/>
        </w:rPr>
        <w:t>Herbário Dr. Roberto Miguel Klein, Universidade Regional de Blumenau, Rua Antonio da Veiga, 140,89030-903, Blumenau, SC, Brazil</w:t>
      </w:r>
    </w:p>
    <w:p>
      <w:pPr>
        <w:pStyle w:val="normal1"/>
        <w:spacing w:lineRule="auto" w:line="24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r>
    </w:p>
    <w:p>
      <w:pPr>
        <w:pStyle w:val="normal1"/>
        <w:spacing w:lineRule="auto" w:line="240"/>
        <w:jc w:val="center"/>
        <w:rPr>
          <w:rFonts w:ascii="Times New Roman" w:hAnsi="Times New Roman" w:eastAsia="Times New Roman" w:cs="Times New Roman"/>
        </w:rPr>
      </w:pPr>
      <w:r>
        <w:rPr>
          <w:rFonts w:eastAsia="Times New Roman" w:cs="Times New Roman" w:ascii="Times New Roman" w:hAnsi="Times New Roman"/>
          <w:vertAlign w:val="superscript"/>
        </w:rPr>
        <w:t>4</w:t>
      </w:r>
      <w:r>
        <w:rPr>
          <w:rFonts w:eastAsia="Times New Roman" w:cs="Times New Roman" w:ascii="Times New Roman" w:hAnsi="Times New Roman"/>
        </w:rPr>
        <w:t xml:space="preserve"> Secretaria de Educação do Estado de Santa Catarina, UD Escolar Quilombola Vidal Martins. Rodovia João Gualberto Soares, 9543. São João do Rio Vermelho, CEP 88060-000, Florianópolis, SC, Brazil</w:t>
      </w:r>
    </w:p>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240"/>
        <w:jc w:val="center"/>
        <w:rPr>
          <w:rFonts w:ascii="Times New Roman" w:hAnsi="Times New Roman" w:eastAsia="Times New Roman" w:cs="Times New Roman"/>
          <w:highlight w:val="white"/>
        </w:rPr>
      </w:pPr>
      <w:r>
        <w:rPr>
          <w:rFonts w:eastAsia="Times New Roman" w:cs="Times New Roman" w:ascii="Times New Roman" w:hAnsi="Times New Roman"/>
          <w:highlight w:val="white"/>
        </w:rPr>
      </w:r>
    </w:p>
    <w:p>
      <w:pPr>
        <w:pStyle w:val="normal1"/>
        <w:spacing w:lineRule="auto" w:line="240"/>
        <w:jc w:val="center"/>
        <w:rPr>
          <w:rFonts w:ascii="Times New Roman" w:hAnsi="Times New Roman" w:eastAsia="Times New Roman" w:cs="Times New Roman"/>
          <w:highlight w:val="white"/>
        </w:rPr>
      </w:pPr>
      <w:r>
        <w:rPr>
          <w:rFonts w:eastAsia="Times New Roman" w:cs="Times New Roman" w:ascii="Times New Roman" w:hAnsi="Times New Roman"/>
          <w:highlight w:val="white"/>
        </w:rPr>
      </w:r>
    </w:p>
    <w:p>
      <w:pPr>
        <w:pStyle w:val="normal1"/>
        <w:spacing w:lineRule="auto" w:line="240"/>
        <w:jc w:val="center"/>
        <w:rPr>
          <w:rFonts w:ascii="Times New Roman" w:hAnsi="Times New Roman" w:eastAsia="Times New Roman" w:cs="Times New Roman"/>
          <w:highlight w:val="white"/>
        </w:rPr>
      </w:pPr>
      <w:r>
        <w:rPr>
          <w:rFonts w:eastAsia="Times New Roman" w:cs="Times New Roman" w:ascii="Times New Roman" w:hAnsi="Times New Roman"/>
          <w:highlight w:val="white"/>
        </w:rPr>
        <w:t xml:space="preserve">Table 1. Results of Generalized Model </w:t>
      </w:r>
    </w:p>
    <w:p>
      <w:pPr>
        <w:pStyle w:val="normal1"/>
        <w:spacing w:lineRule="auto" w:line="240"/>
        <w:jc w:val="center"/>
        <w:rPr>
          <w:rFonts w:ascii="Times New Roman" w:hAnsi="Times New Roman" w:eastAsia="Times New Roman" w:cs="Times New Roman"/>
          <w:highlight w:val="white"/>
        </w:rPr>
      </w:pPr>
      <w:r>
        <w:rPr/>
        <w:drawing>
          <wp:inline distT="0" distB="0" distL="0" distR="0">
            <wp:extent cx="5731510" cy="4292600"/>
            <wp:effectExtent l="0" t="0" r="0" b="0"/>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2"/>
                    <a:stretch>
                      <a:fillRect/>
                    </a:stretch>
                  </pic:blipFill>
                  <pic:spPr bwMode="auto">
                    <a:xfrm>
                      <a:off x="0" y="0"/>
                      <a:ext cx="5731510" cy="4292600"/>
                    </a:xfrm>
                    <a:prstGeom prst="rect">
                      <a:avLst/>
                    </a:prstGeom>
                    <a:noFill/>
                  </pic:spPr>
                </pic:pic>
              </a:graphicData>
            </a:graphic>
          </wp:inline>
        </w:drawing>
      </w:r>
    </w:p>
    <w:p>
      <w:pPr>
        <w:pStyle w:val="normal1"/>
        <w:spacing w:lineRule="auto" w:line="240"/>
        <w:jc w:val="center"/>
        <w:rPr>
          <w:rFonts w:ascii="Times New Roman" w:hAnsi="Times New Roman" w:eastAsia="Times New Roman" w:cs="Times New Roman"/>
          <w:highlight w:val="white"/>
        </w:rPr>
      </w:pPr>
      <w:r>
        <w:rPr>
          <w:rFonts w:eastAsia="Times New Roman" w:cs="Times New Roman" w:ascii="Times New Roman" w:hAnsi="Times New Roman"/>
          <w:highlight w:val="white"/>
        </w:rPr>
      </w:r>
    </w:p>
    <w:p>
      <w:pPr>
        <w:pStyle w:val="normal1"/>
        <w:spacing w:lineRule="auto" w:line="240"/>
        <w:jc w:val="center"/>
        <w:rPr>
          <w:rFonts w:ascii="Times New Roman" w:hAnsi="Times New Roman" w:eastAsia="Times New Roman" w:cs="Times New Roman"/>
          <w:highlight w:val="white"/>
        </w:rPr>
      </w:pPr>
      <w:r>
        <w:rPr>
          <w:rFonts w:eastAsia="Times New Roman" w:cs="Times New Roman" w:ascii="Times New Roman" w:hAnsi="Times New Roman"/>
          <w:highlight w:val="white"/>
        </w:rPr>
      </w:r>
    </w:p>
    <w:p>
      <w:pPr>
        <w:pStyle w:val="normal1"/>
        <w:spacing w:lineRule="auto" w:line="240"/>
        <w:jc w:val="center"/>
        <w:rPr>
          <w:rFonts w:ascii="Times New Roman" w:hAnsi="Times New Roman" w:eastAsia="Times New Roman" w:cs="Times New Roman"/>
          <w:highlight w:val="white"/>
        </w:rPr>
      </w:pPr>
      <w:r>
        <w:rPr>
          <w:rFonts w:eastAsia="Times New Roman" w:cs="Times New Roman" w:ascii="Times New Roman" w:hAnsi="Times New Roman"/>
          <w:highlight w:val="white"/>
        </w:rPr>
      </w:r>
    </w:p>
    <w:p>
      <w:pPr>
        <w:pStyle w:val="normal1"/>
        <w:spacing w:lineRule="auto" w:line="240"/>
        <w:jc w:val="center"/>
        <w:rPr>
          <w:rFonts w:ascii="Times New Roman" w:hAnsi="Times New Roman" w:eastAsia="Times New Roman" w:cs="Times New Roman"/>
          <w:highlight w:val="white"/>
        </w:rPr>
      </w:pPr>
      <w:r>
        <w:rPr>
          <w:rFonts w:eastAsia="Times New Roman" w:cs="Times New Roman" w:ascii="Times New Roman" w:hAnsi="Times New Roman"/>
          <w:highlight w:val="white"/>
        </w:rPr>
      </w:r>
    </w:p>
    <w:p>
      <w:pPr>
        <w:pStyle w:val="normal1"/>
        <w:spacing w:lineRule="auto" w:line="240"/>
        <w:jc w:val="center"/>
        <w:rPr>
          <w:rFonts w:ascii="Times New Roman" w:hAnsi="Times New Roman" w:eastAsia="Times New Roman" w:cs="Times New Roman"/>
          <w:highlight w:val="white"/>
        </w:rPr>
      </w:pPr>
      <w:r>
        <w:rPr>
          <w:rFonts w:eastAsia="Times New Roman" w:cs="Times New Roman" w:ascii="Times New Roman" w:hAnsi="Times New Roman"/>
          <w:highlight w:val="white"/>
        </w:rPr>
      </w:r>
    </w:p>
    <w:p>
      <w:pPr>
        <w:pStyle w:val="normal1"/>
        <w:spacing w:lineRule="auto" w:line="240"/>
        <w:jc w:val="center"/>
        <w:rPr>
          <w:rFonts w:ascii="Times New Roman" w:hAnsi="Times New Roman" w:eastAsia="Times New Roman" w:cs="Times New Roman"/>
          <w:highlight w:val="white"/>
        </w:rPr>
      </w:pPr>
      <w:r>
        <w:rPr>
          <w:rFonts w:eastAsia="Times New Roman" w:cs="Times New Roman" w:ascii="Times New Roman" w:hAnsi="Times New Roman"/>
          <w:highlight w:val="white"/>
        </w:rPr>
      </w:r>
    </w:p>
    <w:p>
      <w:pPr>
        <w:pStyle w:val="normal1"/>
        <w:spacing w:lineRule="auto" w:line="240"/>
        <w:jc w:val="center"/>
        <w:rPr>
          <w:rFonts w:ascii="Times New Roman" w:hAnsi="Times New Roman" w:eastAsia="Times New Roman" w:cs="Times New Roman"/>
          <w:highlight w:val="white"/>
        </w:rPr>
      </w:pPr>
      <w:r>
        <w:rPr>
          <w:rFonts w:eastAsia="Times New Roman" w:cs="Times New Roman" w:ascii="Times New Roman" w:hAnsi="Times New Roman"/>
          <w:highlight w:val="white"/>
        </w:rPr>
      </w:r>
    </w:p>
    <w:p>
      <w:pPr>
        <w:pStyle w:val="normal1"/>
        <w:pBdr/>
        <w:shd w:val="clear" w:fill="FFFFFF"/>
        <w:spacing w:lineRule="auto" w:line="480" w:before="300" w:after="0"/>
        <w:jc w:val="both"/>
        <w:rPr>
          <w:rFonts w:ascii="Times New Roman" w:hAnsi="Times New Roman" w:eastAsia="Times New Roman" w:cs="Times New Roman"/>
          <w:sz w:val="24"/>
          <w:szCs w:val="24"/>
          <w:highlight w:val="white"/>
        </w:rPr>
      </w:pPr>
      <w:r>
        <w:rPr/>
        <w:drawing>
          <wp:inline distT="0" distB="0" distL="0" distR="0">
            <wp:extent cx="5731510" cy="3822700"/>
            <wp:effectExtent l="0" t="0" r="0" b="0"/>
            <wp:docPr id="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
                    <pic:cNvPicPr>
                      <a:picLocks noChangeAspect="1" noChangeArrowheads="1"/>
                    </pic:cNvPicPr>
                  </pic:nvPicPr>
                  <pic:blipFill>
                    <a:blip r:embed="rId3"/>
                    <a:stretch>
                      <a:fillRect/>
                    </a:stretch>
                  </pic:blipFill>
                  <pic:spPr bwMode="auto">
                    <a:xfrm>
                      <a:off x="0" y="0"/>
                      <a:ext cx="5731510" cy="3822700"/>
                    </a:xfrm>
                    <a:prstGeom prst="rect">
                      <a:avLst/>
                    </a:prstGeom>
                    <a:noFill/>
                  </pic:spPr>
                </pic:pic>
              </a:graphicData>
            </a:graphic>
          </wp:inline>
        </w:drawing>
      </w:r>
    </w:p>
    <w:p>
      <w:pPr>
        <w:pStyle w:val="normal1"/>
        <w:pBdr/>
        <w:shd w:val="clear" w:fill="FFFFFF"/>
        <w:spacing w:lineRule="auto" w:line="480" w:before="300" w:after="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t>Figure S1- Beta-diversity components for the three forest formations, based on species presence. βSor (overall dissimilarity in species composition), βSim (species turnover between sites), βNes (nestedness, when assemblages are subsets of species from richer sites). Colors indicate successional stages (orange = advanced, blue = intermediate, green = intermediate + advanced) in the three forest formations (EVF = Evergreen Forest, AF = Araucaria Forest, SF = Seasonal Forest). Note that the y</w:t>
        <w:noBreakHyphen/>
        <w:t>axis scale for βNes differs from the others.</w:t>
      </w:r>
    </w:p>
    <w:p>
      <w:pPr>
        <w:pStyle w:val="normal1"/>
        <w:pBdr/>
        <w:shd w:val="clear" w:fill="FFFFFF"/>
        <w:spacing w:lineRule="auto" w:line="480" w:before="300" w:after="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pBdr/>
        <w:shd w:val="clear" w:fill="FFFFFF"/>
        <w:spacing w:lineRule="auto" w:line="480" w:before="300" w:after="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pBdr/>
        <w:shd w:val="clear" w:fill="FFFFFF"/>
        <w:spacing w:lineRule="auto" w:line="480" w:before="300" w:after="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pBdr/>
        <w:shd w:val="clear" w:fill="FFFFFF"/>
        <w:spacing w:lineRule="auto" w:line="480"/>
        <w:rPr>
          <w:rFonts w:ascii="Times New Roman" w:hAnsi="Times New Roman" w:eastAsia="Times New Roman" w:cs="Times New Roman"/>
          <w:sz w:val="24"/>
          <w:szCs w:val="24"/>
          <w:highlight w:val="white"/>
        </w:rPr>
      </w:pPr>
      <w:r>
        <w:rPr/>
        <w:drawing>
          <wp:inline distT="0" distB="0" distL="0" distR="0">
            <wp:extent cx="5731510" cy="2552700"/>
            <wp:effectExtent l="0" t="0" r="0" b="0"/>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
                    <pic:cNvPicPr>
                      <a:picLocks noChangeAspect="1" noChangeArrowheads="1"/>
                    </pic:cNvPicPr>
                  </pic:nvPicPr>
                  <pic:blipFill>
                    <a:blip r:embed="rId4"/>
                    <a:stretch>
                      <a:fillRect/>
                    </a:stretch>
                  </pic:blipFill>
                  <pic:spPr bwMode="auto">
                    <a:xfrm>
                      <a:off x="0" y="0"/>
                      <a:ext cx="5731510" cy="2552700"/>
                    </a:xfrm>
                    <a:prstGeom prst="rect">
                      <a:avLst/>
                    </a:prstGeom>
                    <a:noFill/>
                  </pic:spPr>
                </pic:pic>
              </a:graphicData>
            </a:graphic>
          </wp:inline>
        </w:drawing>
      </w:r>
    </w:p>
    <w:p>
      <w:pPr>
        <w:pStyle w:val="normal1"/>
        <w:pBdr/>
        <w:shd w:val="clear" w:fill="FFFFFF"/>
        <w:spacing w:lineRule="auto" w:line="480"/>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t xml:space="preserve">Figure S2. NMDS Ordination of Successional Transitions and Subformations in the South Atlantic Forest. </w:t>
      </w:r>
    </w:p>
    <w:p>
      <w:pPr>
        <w:pStyle w:val="normal1"/>
        <w:pBdr/>
        <w:shd w:val="clear" w:fill="FFFFFF"/>
        <w:spacing w:lineRule="auto" w:line="480" w:before="300" w:after="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pBdr/>
        <w:shd w:val="clear" w:fill="FFFFFF"/>
        <w:spacing w:lineRule="auto" w:line="480" w:before="300" w:after="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pBdr/>
        <w:shd w:val="clear" w:fill="FFFFFF"/>
        <w:spacing w:lineRule="auto" w:line="480" w:before="300" w:after="0"/>
        <w:jc w:val="both"/>
        <w:rPr>
          <w:rFonts w:ascii="Times New Roman" w:hAnsi="Times New Roman" w:eastAsia="Times New Roman" w:cs="Times New Roman"/>
          <w:sz w:val="24"/>
          <w:szCs w:val="24"/>
          <w:highlight w:val="white"/>
        </w:rPr>
      </w:pPr>
      <w:r>
        <w:rPr/>
        <w:drawing>
          <wp:inline distT="0" distB="0" distL="0" distR="0">
            <wp:extent cx="5731510" cy="4584700"/>
            <wp:effectExtent l="0" t="0" r="0" b="0"/>
            <wp:docPr id="4" name="image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g" descr=""/>
                    <pic:cNvPicPr>
                      <a:picLocks noChangeAspect="1" noChangeArrowheads="1"/>
                    </pic:cNvPicPr>
                  </pic:nvPicPr>
                  <pic:blipFill>
                    <a:blip r:embed="rId5"/>
                    <a:stretch>
                      <a:fillRect/>
                    </a:stretch>
                  </pic:blipFill>
                  <pic:spPr bwMode="auto">
                    <a:xfrm>
                      <a:off x="0" y="0"/>
                      <a:ext cx="5731510" cy="4584700"/>
                    </a:xfrm>
                    <a:prstGeom prst="rect">
                      <a:avLst/>
                    </a:prstGeom>
                    <a:noFill/>
                  </pic:spPr>
                </pic:pic>
              </a:graphicData>
            </a:graphic>
          </wp:inline>
        </w:drawing>
      </w:r>
    </w:p>
    <w:p>
      <w:pPr>
        <w:pStyle w:val="normal1"/>
        <w:pBdr/>
        <w:shd w:val="clear" w:fill="FFFFFF"/>
        <w:spacing w:lineRule="auto" w:line="480"/>
        <w:ind w:hanging="0" w:left="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t xml:space="preserve">Figure S3. Map of species richness (Hill0) in sampling units.  Points represent sampling units. Colors represent variation on species richness among sampling units. </w:t>
      </w:r>
    </w:p>
    <w:p>
      <w:pPr>
        <w:pStyle w:val="normal1"/>
        <w:pBdr/>
        <w:shd w:val="clear" w:fill="FFFFFF"/>
        <w:spacing w:lineRule="auto" w:line="480"/>
        <w:rPr>
          <w:rFonts w:ascii="Times New Roman" w:hAnsi="Times New Roman" w:eastAsia="Times New Roman" w:cs="Times New Roman"/>
          <w:sz w:val="24"/>
          <w:szCs w:val="24"/>
          <w:highlight w:val="white"/>
        </w:rPr>
      </w:pPr>
      <w:r>
        <w:rPr/>
        <w:drawing>
          <wp:inline distT="0" distB="0" distL="0" distR="0">
            <wp:extent cx="5731510" cy="4584700"/>
            <wp:effectExtent l="0" t="0" r="0" b="0"/>
            <wp:docPr id="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descr=""/>
                    <pic:cNvPicPr>
                      <a:picLocks noChangeAspect="1" noChangeArrowheads="1"/>
                    </pic:cNvPicPr>
                  </pic:nvPicPr>
                  <pic:blipFill>
                    <a:blip r:embed="rId6"/>
                    <a:stretch>
                      <a:fillRect/>
                    </a:stretch>
                  </pic:blipFill>
                  <pic:spPr bwMode="auto">
                    <a:xfrm>
                      <a:off x="0" y="0"/>
                      <a:ext cx="5731510" cy="4584700"/>
                    </a:xfrm>
                    <a:prstGeom prst="rect">
                      <a:avLst/>
                    </a:prstGeom>
                    <a:noFill/>
                  </pic:spPr>
                </pic:pic>
              </a:graphicData>
            </a:graphic>
          </wp:inline>
        </w:drawing>
      </w:r>
    </w:p>
    <w:p>
      <w:pPr>
        <w:pStyle w:val="normal1"/>
        <w:pBdr/>
        <w:shd w:val="clear" w:fill="FFFFFF"/>
        <w:spacing w:lineRule="auto" w:line="480"/>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t>Figure S4. Precipitation seasonality (bio15) in sampling units. Points represent sampling units. Colors represent variation on precipitation seasonality among sampling units. The more red, the more precipitation seasonality.</w:t>
      </w:r>
    </w:p>
    <w:p>
      <w:pPr>
        <w:pStyle w:val="normal1"/>
        <w:pBdr/>
        <w:shd w:val="clear" w:fill="FFFFFF"/>
        <w:spacing w:lineRule="auto" w:line="480"/>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pBdr/>
        <w:shd w:val="clear" w:fill="FFFFFF"/>
        <w:spacing w:lineRule="auto" w:line="480"/>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pBdr/>
        <w:shd w:val="clear" w:fill="FFFFFF"/>
        <w:spacing w:lineRule="auto" w:line="480"/>
        <w:ind w:hanging="0"/>
        <w:jc w:val="both"/>
        <w:rPr>
          <w:rFonts w:ascii="Times New Roman" w:hAnsi="Times New Roman" w:eastAsia="Times New Roman" w:cs="Times New Roman"/>
          <w:sz w:val="24"/>
          <w:szCs w:val="24"/>
          <w:highlight w:val="white"/>
        </w:rPr>
      </w:pPr>
      <w:r>
        <w:rPr/>
        <w:drawing>
          <wp:inline distT="0" distB="0" distL="0" distR="0">
            <wp:extent cx="5731510" cy="4584700"/>
            <wp:effectExtent l="0" t="0" r="0" b="0"/>
            <wp:docPr id="6"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descr=""/>
                    <pic:cNvPicPr>
                      <a:picLocks noChangeAspect="1" noChangeArrowheads="1"/>
                    </pic:cNvPicPr>
                  </pic:nvPicPr>
                  <pic:blipFill>
                    <a:blip r:embed="rId7"/>
                    <a:stretch>
                      <a:fillRect/>
                    </a:stretch>
                  </pic:blipFill>
                  <pic:spPr bwMode="auto">
                    <a:xfrm>
                      <a:off x="0" y="0"/>
                      <a:ext cx="5731510" cy="4584700"/>
                    </a:xfrm>
                    <a:prstGeom prst="rect">
                      <a:avLst/>
                    </a:prstGeom>
                    <a:noFill/>
                  </pic:spPr>
                </pic:pic>
              </a:graphicData>
            </a:graphic>
          </wp:inline>
        </w:drawing>
      </w:r>
    </w:p>
    <w:p>
      <w:pPr>
        <w:pStyle w:val="normal1"/>
        <w:pBdr/>
        <w:shd w:val="clear" w:fill="FFFFFF"/>
        <w:spacing w:lineRule="auto" w:line="480"/>
        <w:ind w:hanging="0" w:left="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t>Figure S5. Fire frequency in a 5000m² buffer radius landscape. Points represent sampling units. Colors represent variation on fire frequency among sampling units. As red, more fire frequency.</w:t>
      </w:r>
    </w:p>
    <w:p>
      <w:pPr>
        <w:pStyle w:val="normal1"/>
        <w:pBdr/>
        <w:shd w:val="clear" w:fill="FFFFFF"/>
        <w:spacing w:lineRule="auto" w:line="480"/>
        <w:ind w:hanging="0" w:left="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pBdr/>
        <w:shd w:val="clear" w:fill="FFFFFF"/>
        <w:spacing w:lineRule="auto" w:line="480"/>
        <w:ind w:hanging="0" w:left="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pBdr/>
        <w:shd w:val="clear" w:fill="FFFFFF"/>
        <w:spacing w:lineRule="auto" w:line="480"/>
        <w:ind w:firstLine="142"/>
        <w:jc w:val="both"/>
        <w:rPr>
          <w:rFonts w:ascii="Times New Roman" w:hAnsi="Times New Roman" w:eastAsia="Times New Roman" w:cs="Times New Roman"/>
          <w:sz w:val="24"/>
          <w:szCs w:val="24"/>
          <w:highlight w:val="white"/>
        </w:rPr>
      </w:pPr>
      <w:r>
        <w:rPr/>
        <w:drawing>
          <wp:inline distT="0" distB="0" distL="0" distR="0">
            <wp:extent cx="5731510" cy="4584700"/>
            <wp:effectExtent l="0" t="0" r="0" b="0"/>
            <wp:docPr id="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descr=""/>
                    <pic:cNvPicPr>
                      <a:picLocks noChangeAspect="1" noChangeArrowheads="1"/>
                    </pic:cNvPicPr>
                  </pic:nvPicPr>
                  <pic:blipFill>
                    <a:blip r:embed="rId8"/>
                    <a:stretch>
                      <a:fillRect/>
                    </a:stretch>
                  </pic:blipFill>
                  <pic:spPr bwMode="auto">
                    <a:xfrm>
                      <a:off x="0" y="0"/>
                      <a:ext cx="5731510" cy="4584700"/>
                    </a:xfrm>
                    <a:prstGeom prst="rect">
                      <a:avLst/>
                    </a:prstGeom>
                    <a:noFill/>
                  </pic:spPr>
                </pic:pic>
              </a:graphicData>
            </a:graphic>
          </wp:inline>
        </w:drawing>
      </w:r>
    </w:p>
    <w:p>
      <w:pPr>
        <w:pStyle w:val="normal1"/>
        <w:pBdr/>
        <w:shd w:val="clear" w:fill="FFFFFF"/>
        <w:spacing w:lineRule="auto" w:line="480"/>
        <w:ind w:hanging="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t xml:space="preserve">Figure S6. Map of presence of cattle-grazing in the sampling units. Points represent each sampling unit. Red represents plots with grazing and blue without grazing. </w:t>
      </w:r>
    </w:p>
    <w:p>
      <w:pPr>
        <w:pStyle w:val="normal1"/>
        <w:pBdr/>
        <w:shd w:val="clear" w:fill="FFFFFF"/>
        <w:spacing w:lineRule="auto" w:line="480"/>
        <w:ind w:firstLine="72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pBdr/>
        <w:shd w:val="clear" w:fill="FFFFFF"/>
        <w:spacing w:lineRule="auto" w:line="480"/>
        <w:ind w:hanging="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pBdr/>
        <w:shd w:val="clear" w:fill="FFFFFF"/>
        <w:spacing w:lineRule="auto" w:line="480"/>
        <w:ind w:firstLine="720"/>
        <w:jc w:val="both"/>
        <w:rPr>
          <w:rFonts w:ascii="Times New Roman" w:hAnsi="Times New Roman" w:eastAsia="Times New Roman" w:cs="Times New Roman"/>
          <w:b/>
          <w:sz w:val="24"/>
          <w:szCs w:val="24"/>
          <w:highlight w:val="white"/>
        </w:rPr>
      </w:pPr>
      <w:r>
        <w:rPr/>
        <w:drawing>
          <wp:inline distT="0" distB="0" distL="0" distR="0">
            <wp:extent cx="5731510" cy="4013200"/>
            <wp:effectExtent l="0" t="0" r="0" b="0"/>
            <wp:docPr id="8"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descr=""/>
                    <pic:cNvPicPr>
                      <a:picLocks noChangeAspect="1" noChangeArrowheads="1"/>
                    </pic:cNvPicPr>
                  </pic:nvPicPr>
                  <pic:blipFill>
                    <a:blip r:embed="rId9"/>
                    <a:stretch>
                      <a:fillRect/>
                    </a:stretch>
                  </pic:blipFill>
                  <pic:spPr bwMode="auto">
                    <a:xfrm>
                      <a:off x="0" y="0"/>
                      <a:ext cx="5731510" cy="4013200"/>
                    </a:xfrm>
                    <a:prstGeom prst="rect">
                      <a:avLst/>
                    </a:prstGeom>
                    <a:noFill/>
                  </pic:spPr>
                </pic:pic>
              </a:graphicData>
            </a:graphic>
          </wp:inline>
        </w:drawing>
      </w:r>
    </w:p>
    <w:p>
      <w:pPr>
        <w:pStyle w:val="normal1"/>
        <w:pBdr/>
        <w:shd w:val="clear" w:fill="FFFFFF"/>
        <w:spacing w:lineRule="auto" w:line="480"/>
        <w:ind w:firstLine="720"/>
        <w:jc w:val="both"/>
        <w:rPr>
          <w:rFonts w:ascii="Times New Roman" w:hAnsi="Times New Roman" w:eastAsia="Times New Roman" w:cs="Times New Roman"/>
          <w:b/>
          <w:sz w:val="24"/>
          <w:szCs w:val="24"/>
          <w:highlight w:val="white"/>
        </w:rPr>
      </w:pPr>
      <w:r>
        <w:rPr>
          <w:rFonts w:eastAsia="Times New Roman" w:cs="Times New Roman" w:ascii="Times New Roman" w:hAnsi="Times New Roman"/>
          <w:b/>
          <w:sz w:val="24"/>
          <w:szCs w:val="24"/>
          <w:highlight w:val="white"/>
        </w:rPr>
      </w:r>
    </w:p>
    <w:p>
      <w:pPr>
        <w:pStyle w:val="normal1"/>
        <w:pBdr/>
        <w:shd w:val="clear" w:fill="FFFFFF"/>
        <w:spacing w:lineRule="auto" w:line="480"/>
        <w:ind w:firstLine="720"/>
        <w:jc w:val="both"/>
        <w:rPr>
          <w:rFonts w:ascii="Times New Roman" w:hAnsi="Times New Roman" w:eastAsia="Times New Roman" w:cs="Times New Roman"/>
          <w:b/>
          <w:sz w:val="24"/>
          <w:szCs w:val="24"/>
          <w:highlight w:val="white"/>
        </w:rPr>
      </w:pPr>
      <w:r>
        <w:rPr>
          <w:rFonts w:eastAsia="Times New Roman" w:cs="Times New Roman" w:ascii="Times New Roman" w:hAnsi="Times New Roman"/>
          <w:b/>
          <w:sz w:val="24"/>
          <w:szCs w:val="24"/>
          <w:highlight w:val="white"/>
        </w:rPr>
      </w:r>
    </w:p>
    <w:p>
      <w:pPr>
        <w:pStyle w:val="normal1"/>
        <w:pBdr/>
        <w:shd w:val="clear" w:fill="FFFFFF"/>
        <w:spacing w:lineRule="auto" w:line="480"/>
        <w:ind w:firstLine="720"/>
        <w:jc w:val="both"/>
        <w:rPr>
          <w:rFonts w:ascii="Times New Roman" w:hAnsi="Times New Roman" w:eastAsia="Times New Roman" w:cs="Times New Roman"/>
          <w:b/>
          <w:sz w:val="24"/>
          <w:szCs w:val="24"/>
          <w:highlight w:val="white"/>
        </w:rPr>
      </w:pPr>
      <w:r>
        <w:rPr>
          <w:rFonts w:eastAsia="Times New Roman" w:cs="Times New Roman" w:ascii="Times New Roman" w:hAnsi="Times New Roman"/>
          <w:b/>
          <w:sz w:val="24"/>
          <w:szCs w:val="24"/>
          <w:highlight w:val="white"/>
        </w:rPr>
      </w:r>
    </w:p>
    <w:p>
      <w:pPr>
        <w:pStyle w:val="normal1"/>
        <w:pBdr/>
        <w:shd w:val="clear" w:fill="FFFFFF"/>
        <w:spacing w:lineRule="auto" w:line="48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t>Figure S7. Relative importance of predictors from GDM (Generalized dissimilarity model) for three forest formations (Evergreen forest, Araucaria Forest and Seasonal Forest) in advanced and intermediate successional stages.  Asterisks represent significant predictors (p&lt;0.01).</w:t>
      </w:r>
    </w:p>
    <w:p>
      <w:pPr>
        <w:pStyle w:val="normal1"/>
        <w:pBdr/>
        <w:shd w:val="clear" w:fill="FFFFFF"/>
        <w:spacing w:lineRule="auto" w:line="48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pBdr/>
        <w:shd w:val="clear" w:fill="FFFFFF"/>
        <w:spacing w:lineRule="auto" w:line="48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pBdr/>
        <w:shd w:val="clear" w:fill="FFFFFF"/>
        <w:spacing w:lineRule="auto" w:line="48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pBdr/>
        <w:shd w:val="clear" w:fill="FFFFFF"/>
        <w:spacing w:lineRule="auto" w:line="48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pBdr/>
        <w:shd w:val="clear" w:fill="FFFFFF"/>
        <w:spacing w:lineRule="auto" w:line="48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pBdr/>
        <w:shd w:val="clear" w:fill="FFFFFF"/>
        <w:spacing w:lineRule="auto" w:line="480"/>
        <w:ind w:firstLine="72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pBdr/>
        <w:shd w:val="clear" w:fill="FFFFFF"/>
        <w:spacing w:lineRule="auto" w:line="48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sectPr>
      <w:type w:val="nextPage"/>
      <w:pgSz w:w="11906" w:h="16838"/>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1" w:default="1">
    <w:name w:val="normal1"/>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LibreOffice/24.8.7.2$Windows_X86_64 LibreOffice_project/e07d0a63a46349d29051da79b1fde8160bab2a89</Application>
  <AppVersion>15.0000</AppVersion>
  <Pages>3</Pages>
  <Words>370</Words>
  <Characters>2240</Characters>
  <CharactersWithSpaces>2586</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cp:coreProperties>
</file>