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2B68" w14:textId="77777777" w:rsidR="005A616A" w:rsidRPr="005A616A" w:rsidRDefault="005A616A" w:rsidP="005A616A">
      <w:pPr>
        <w:rPr>
          <w:b/>
          <w:bCs/>
          <w:lang w:val="en-US"/>
        </w:rPr>
      </w:pPr>
      <w:r w:rsidRPr="005A616A">
        <w:rPr>
          <w:b/>
          <w:bCs/>
          <w:lang w:val="en-US"/>
        </w:rPr>
        <w:t>Supplementary Figures:</w:t>
      </w:r>
    </w:p>
    <w:p w14:paraId="15C40688" w14:textId="77777777" w:rsidR="005A616A" w:rsidRPr="005A616A" w:rsidRDefault="005A616A" w:rsidP="005A616A">
      <w:pPr>
        <w:rPr>
          <w:lang w:val="en-US"/>
        </w:rPr>
      </w:pPr>
      <w:r w:rsidRPr="005A616A">
        <w:rPr>
          <w:b/>
          <w:bCs/>
          <w:lang w:val="en-US"/>
        </w:rPr>
        <w:t>Figure 1.</w:t>
      </w:r>
      <w:r w:rsidRPr="005A616A">
        <w:rPr>
          <w:lang w:val="en-US"/>
        </w:rPr>
        <w:t xml:space="preserve"> </w:t>
      </w:r>
    </w:p>
    <w:p w14:paraId="1C3B4967" w14:textId="77777777" w:rsidR="005A616A" w:rsidRPr="005A616A" w:rsidRDefault="005A616A" w:rsidP="005A616A">
      <w:pPr>
        <w:rPr>
          <w:lang w:val="en-US"/>
        </w:rPr>
      </w:pPr>
      <w:r w:rsidRPr="005A616A">
        <w:rPr>
          <w:lang w:val="en-US"/>
        </w:rPr>
        <w:t>Densities of CD4+ T cells, CD8+ T cells and CD11b+ cells in tumors on day 17. Cell density was measured by dividing the total number of cells in each tumor by its weight. Statistical analysis with one-way ANOVA or Welch’s t test. The sample size for each group was </w:t>
      </w:r>
      <w:r w:rsidRPr="005A616A">
        <w:rPr>
          <w:i/>
          <w:iCs/>
          <w:lang w:val="en-US"/>
        </w:rPr>
        <w:t>n</w:t>
      </w:r>
      <w:r w:rsidRPr="005A616A">
        <w:rPr>
          <w:rFonts w:ascii="Arial" w:hAnsi="Arial" w:cs="Arial"/>
          <w:lang w:val="en-US"/>
        </w:rPr>
        <w:t> </w:t>
      </w:r>
      <w:r w:rsidRPr="005A616A">
        <w:rPr>
          <w:lang w:val="en-US"/>
        </w:rPr>
        <w:t>=</w:t>
      </w:r>
      <w:r w:rsidRPr="005A616A">
        <w:rPr>
          <w:rFonts w:ascii="Arial" w:hAnsi="Arial" w:cs="Arial"/>
          <w:lang w:val="en-US"/>
        </w:rPr>
        <w:t> </w:t>
      </w:r>
      <w:r w:rsidRPr="005A616A">
        <w:rPr>
          <w:lang w:val="en-US"/>
        </w:rPr>
        <w:t>4.</w:t>
      </w:r>
    </w:p>
    <w:p w14:paraId="297BBE86" w14:textId="77777777" w:rsidR="005A616A" w:rsidRPr="005A616A" w:rsidRDefault="005A616A" w:rsidP="005A616A">
      <w:pPr>
        <w:rPr>
          <w:lang w:val="en-GB"/>
        </w:rPr>
      </w:pPr>
      <w:r w:rsidRPr="005A616A">
        <w:rPr>
          <w:b/>
          <w:bCs/>
          <w:lang w:val="en-US"/>
        </w:rPr>
        <w:t>Figure 2:</w:t>
      </w:r>
      <w:r w:rsidRPr="005A616A">
        <w:rPr>
          <w:lang w:val="en-US"/>
        </w:rPr>
        <w:t xml:space="preserve"> </w:t>
      </w:r>
      <w:r w:rsidRPr="005A616A">
        <w:rPr>
          <w:lang w:val="en-GB"/>
        </w:rPr>
        <w:t xml:space="preserve">Heatmap of log₂-transformed intensity values for significantly regulated metabolites across treatment groups. Each row represents a metabolite, and each column corresponds to an individual sample from the Control, IT, IV, and SC treatment groups. </w:t>
      </w:r>
      <w:proofErr w:type="spellStart"/>
      <w:r w:rsidRPr="005A616A">
        <w:rPr>
          <w:lang w:val="en-GB"/>
        </w:rPr>
        <w:t>Color</w:t>
      </w:r>
      <w:proofErr w:type="spellEnd"/>
      <w:r w:rsidRPr="005A616A">
        <w:rPr>
          <w:lang w:val="en-GB"/>
        </w:rPr>
        <w:t xml:space="preserve"> intensity reflects relative metabolite abundance, with red indicating upregulation and blue indicating downregulation. The heatmap illustrates overall metabolic profiles and highlights modest divergence between treatment groups, with IT-treated samples showing more distinct patterns.</w:t>
      </w:r>
    </w:p>
    <w:p w14:paraId="0B48E6CF" w14:textId="77777777" w:rsidR="005A616A" w:rsidRPr="005A616A" w:rsidRDefault="005A616A" w:rsidP="005A616A">
      <w:pPr>
        <w:rPr>
          <w:b/>
          <w:bCs/>
          <w:lang w:val="en-GB"/>
        </w:rPr>
      </w:pPr>
      <w:r w:rsidRPr="005A616A">
        <w:rPr>
          <w:b/>
          <w:bCs/>
          <w:lang w:val="en-GB"/>
        </w:rPr>
        <w:t xml:space="preserve">Figure 3, 4 and 5: </w:t>
      </w:r>
      <w:r w:rsidRPr="005A616A">
        <w:rPr>
          <w:lang w:val="en-GB"/>
        </w:rPr>
        <w:t xml:space="preserve">LC-MS-Based Quantification of Metabolites in 4T1 </w:t>
      </w:r>
      <w:proofErr w:type="spellStart"/>
      <w:r w:rsidRPr="005A616A">
        <w:rPr>
          <w:lang w:val="en-GB"/>
        </w:rPr>
        <w:t>Tumor</w:t>
      </w:r>
      <w:proofErr w:type="spellEnd"/>
      <w:r w:rsidRPr="005A616A">
        <w:rPr>
          <w:lang w:val="en-GB"/>
        </w:rPr>
        <w:t xml:space="preserve"> Tissues Using HILIC-Orbitrap Analysis: </w:t>
      </w:r>
      <w:r w:rsidRPr="005A616A">
        <w:rPr>
          <w:lang w:val="en-US"/>
        </w:rPr>
        <w:t xml:space="preserve">LC-MS-based quantification of metabolites in breast tumor tissues. Metabolites were extracted from frozen samples and analyzed using HILIC chromatography coupled to Orbitrap MS. Data were analyzed using one-way ANOVA. </w:t>
      </w:r>
    </w:p>
    <w:p w14:paraId="571E8075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6A"/>
    <w:rsid w:val="001B16B6"/>
    <w:rsid w:val="005A616A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8C481"/>
  <w15:chartTrackingRefBased/>
  <w15:docId w15:val="{D02F0B86-82A3-4C2F-81D3-33001A28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1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2025-08-14T06:27:00Z</dcterms:created>
  <dcterms:modified xsi:type="dcterms:W3CDTF">2025-08-14T06:27:00Z</dcterms:modified>
</cp:coreProperties>
</file>