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C48BE17" w14:textId="0746E08D" w:rsidR="00D86489" w:rsidRDefault="00B22FD0">
      <w:pPr>
        <w:spacing w:line="360" w:lineRule="auto"/>
        <w:jc w:val="center"/>
        <w:rPr>
          <w:rFonts w:ascii="Times New Roman" w:hAnsi="Times New Roman"/>
          <w:b/>
          <w:sz w:val="32"/>
          <w:szCs w:val="32"/>
        </w:rPr>
      </w:pPr>
      <w:r>
        <w:rPr>
          <w:rFonts w:ascii="Times New Roman" w:hAnsi="Times New Roman"/>
          <w:b/>
          <w:sz w:val="32"/>
          <w:szCs w:val="32"/>
        </w:rPr>
        <w:t xml:space="preserve">Pulmonary B </w:t>
      </w:r>
      <w:r w:rsidR="00890D6C">
        <w:rPr>
          <w:rFonts w:ascii="Times New Roman" w:hAnsi="Times New Roman"/>
          <w:b/>
          <w:sz w:val="32"/>
          <w:szCs w:val="32"/>
        </w:rPr>
        <w:t>lymphocytes</w:t>
      </w:r>
      <w:r>
        <w:rPr>
          <w:rFonts w:ascii="Times New Roman" w:hAnsi="Times New Roman"/>
          <w:b/>
          <w:sz w:val="32"/>
          <w:szCs w:val="32"/>
        </w:rPr>
        <w:t xml:space="preserve"> ameliorate Alzheimer's disease-like neuropathology </w:t>
      </w:r>
    </w:p>
    <w:p w14:paraId="79138C55" w14:textId="7C87C9A7" w:rsidR="00136C7A" w:rsidRDefault="00136C7A">
      <w:pPr>
        <w:spacing w:line="360" w:lineRule="auto"/>
        <w:jc w:val="center"/>
        <w:rPr>
          <w:rFonts w:ascii="Times New Roman" w:hAnsi="Times New Roman"/>
        </w:rPr>
      </w:pPr>
    </w:p>
    <w:p w14:paraId="00AAF56F" w14:textId="55414A04" w:rsidR="00136C7A" w:rsidRPr="00C91141" w:rsidRDefault="00136C7A" w:rsidP="00136C7A">
      <w:pPr>
        <w:spacing w:line="360" w:lineRule="auto"/>
        <w:rPr>
          <w:rFonts w:ascii="Times New Roman" w:hAnsi="Times New Roman"/>
        </w:rPr>
      </w:pPr>
      <w:r>
        <w:rPr>
          <w:rFonts w:ascii="Times New Roman" w:hAnsi="Times New Roman"/>
          <w:b/>
        </w:rPr>
        <w:t>Supplementary f</w:t>
      </w:r>
      <w:r w:rsidRPr="00C91141">
        <w:rPr>
          <w:rFonts w:ascii="Times New Roman" w:hAnsi="Times New Roman"/>
          <w:b/>
        </w:rPr>
        <w:t xml:space="preserve">igures and </w:t>
      </w:r>
      <w:r>
        <w:rPr>
          <w:rFonts w:ascii="Times New Roman" w:hAnsi="Times New Roman"/>
          <w:b/>
        </w:rPr>
        <w:t>supplementary</w:t>
      </w:r>
      <w:r w:rsidRPr="00C91141">
        <w:rPr>
          <w:rFonts w:ascii="Times New Roman" w:hAnsi="Times New Roman"/>
          <w:b/>
        </w:rPr>
        <w:t xml:space="preserve"> </w:t>
      </w:r>
      <w:r>
        <w:rPr>
          <w:rFonts w:ascii="Times New Roman" w:hAnsi="Times New Roman"/>
          <w:b/>
        </w:rPr>
        <w:t>f</w:t>
      </w:r>
      <w:r w:rsidRPr="00C91141">
        <w:rPr>
          <w:rFonts w:ascii="Times New Roman" w:hAnsi="Times New Roman"/>
          <w:b/>
        </w:rPr>
        <w:t>igure Legends</w:t>
      </w:r>
    </w:p>
    <w:p w14:paraId="48D26393" w14:textId="7DFB94E2" w:rsidR="00B63806" w:rsidRDefault="00A7728A">
      <w:pPr>
        <w:spacing w:line="360" w:lineRule="auto"/>
        <w:jc w:val="center"/>
        <w:rPr>
          <w:rFonts w:ascii="Times New Roman" w:hAnsi="Times New Roman"/>
        </w:rPr>
      </w:pPr>
      <w:r>
        <w:rPr>
          <w:rFonts w:ascii="Times New Roman" w:hAnsi="Times New Roman"/>
          <w:noProof/>
          <w:sz w:val="18"/>
          <w:szCs w:val="18"/>
        </w:rPr>
        <w:pict w14:anchorId="40C0EF47">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15pt;height:258.1pt">
            <v:imagedata r:id="rId11" o:title="SI-Figure_1_20210516"/>
          </v:shape>
        </w:pict>
      </w:r>
    </w:p>
    <w:p w14:paraId="07F95FB7" w14:textId="77777777" w:rsidR="00447CCB" w:rsidRDefault="00136C7A" w:rsidP="00447CCB">
      <w:pPr>
        <w:spacing w:beforeLines="50" w:before="156"/>
        <w:rPr>
          <w:rFonts w:ascii="Times New Roman" w:hAnsi="Times New Roman"/>
          <w:color w:val="000000"/>
          <w:kern w:val="0"/>
          <w:sz w:val="16"/>
          <w:szCs w:val="16"/>
        </w:rPr>
      </w:pPr>
      <w:r w:rsidRPr="00136C7A">
        <w:rPr>
          <w:rFonts w:ascii="Times New Roman" w:hAnsi="Times New Roman"/>
          <w:b/>
          <w:sz w:val="16"/>
          <w:szCs w:val="16"/>
        </w:rPr>
        <w:t>Supplementary</w:t>
      </w:r>
      <w:r w:rsidR="00917AE6" w:rsidRPr="00917AE6">
        <w:rPr>
          <w:rFonts w:ascii="Times New Roman" w:hAnsi="Times New Roman"/>
          <w:b/>
          <w:sz w:val="16"/>
          <w:szCs w:val="16"/>
        </w:rPr>
        <w:t xml:space="preserve"> Fig. </w:t>
      </w:r>
      <w:r w:rsidR="00B22FD0">
        <w:rPr>
          <w:rFonts w:ascii="Times New Roman" w:hAnsi="Times New Roman"/>
          <w:b/>
          <w:color w:val="000000"/>
          <w:kern w:val="0"/>
          <w:sz w:val="16"/>
          <w:szCs w:val="16"/>
        </w:rPr>
        <w:t xml:space="preserve">1. </w:t>
      </w:r>
      <w:r w:rsidR="00B22FD0">
        <w:rPr>
          <w:rFonts w:ascii="Times New Roman" w:hAnsi="Times New Roman"/>
          <w:b/>
          <w:color w:val="000000"/>
          <w:sz w:val="16"/>
          <w:szCs w:val="16"/>
        </w:rPr>
        <w:t>B lymphocytes deletion result</w:t>
      </w:r>
      <w:r w:rsidR="001F7A30">
        <w:rPr>
          <w:rFonts w:ascii="Times New Roman" w:hAnsi="Times New Roman"/>
          <w:b/>
          <w:color w:val="000000"/>
          <w:sz w:val="16"/>
          <w:szCs w:val="16"/>
        </w:rPr>
        <w:t>ed</w:t>
      </w:r>
      <w:r w:rsidR="00B22FD0">
        <w:rPr>
          <w:rFonts w:ascii="Times New Roman" w:hAnsi="Times New Roman"/>
          <w:b/>
          <w:color w:val="000000"/>
          <w:sz w:val="16"/>
          <w:szCs w:val="16"/>
        </w:rPr>
        <w:t xml:space="preserve"> in </w:t>
      </w:r>
      <w:r w:rsidR="002C3224">
        <w:rPr>
          <w:rFonts w:ascii="Times New Roman" w:hAnsi="Times New Roman"/>
          <w:b/>
          <w:color w:val="000000"/>
          <w:sz w:val="16"/>
          <w:szCs w:val="16"/>
        </w:rPr>
        <w:t xml:space="preserve">synapse impairment </w:t>
      </w:r>
      <w:r w:rsidR="00B22FD0">
        <w:rPr>
          <w:rFonts w:ascii="Times New Roman" w:hAnsi="Times New Roman"/>
          <w:b/>
          <w:color w:val="000000"/>
          <w:sz w:val="16"/>
          <w:szCs w:val="16"/>
        </w:rPr>
        <w:t xml:space="preserve">of 5xFAD mice at 3 months old. </w:t>
      </w:r>
      <w:r w:rsidR="00B22FD0">
        <w:rPr>
          <w:rFonts w:ascii="Times New Roman" w:hAnsi="Times New Roman"/>
          <w:color w:val="000000"/>
          <w:kern w:val="0"/>
          <w:sz w:val="16"/>
          <w:szCs w:val="16"/>
        </w:rPr>
        <w:t>(</w:t>
      </w:r>
      <w:r w:rsidR="00B22FD0">
        <w:rPr>
          <w:rFonts w:ascii="Times New Roman" w:hAnsi="Times New Roman"/>
          <w:b/>
          <w:color w:val="000000"/>
          <w:kern w:val="0"/>
          <w:sz w:val="16"/>
          <w:szCs w:val="16"/>
        </w:rPr>
        <w:t>A</w:t>
      </w:r>
      <w:r w:rsidR="00B22FD0">
        <w:rPr>
          <w:rFonts w:ascii="Times New Roman" w:hAnsi="Times New Roman"/>
          <w:color w:val="000000"/>
          <w:kern w:val="0"/>
          <w:sz w:val="16"/>
          <w:szCs w:val="16"/>
        </w:rPr>
        <w:t>)</w:t>
      </w:r>
      <w:r w:rsidR="00B22FD0">
        <w:rPr>
          <w:rFonts w:ascii="Times New Roman" w:hAnsi="Times New Roman"/>
          <w:color w:val="333333"/>
          <w:sz w:val="27"/>
          <w:szCs w:val="27"/>
          <w:shd w:val="clear" w:color="auto" w:fill="FFFFFF"/>
        </w:rPr>
        <w:t xml:space="preserve"> </w:t>
      </w:r>
      <w:r w:rsidR="00B63806">
        <w:rPr>
          <w:rFonts w:ascii="Times New Roman" w:hAnsi="Times New Roman"/>
          <w:color w:val="000000"/>
          <w:kern w:val="0"/>
          <w:sz w:val="16"/>
          <w:szCs w:val="16"/>
        </w:rPr>
        <w:t>Gating strategy used for determine CD19</w:t>
      </w:r>
      <w:r w:rsidR="00B63806" w:rsidRPr="00B63806">
        <w:rPr>
          <w:rFonts w:ascii="Times New Roman" w:hAnsi="Times New Roman"/>
          <w:color w:val="000000"/>
          <w:kern w:val="0"/>
          <w:sz w:val="16"/>
          <w:szCs w:val="16"/>
          <w:vertAlign w:val="superscript"/>
        </w:rPr>
        <w:t>+</w:t>
      </w:r>
      <w:r w:rsidR="00B63806">
        <w:rPr>
          <w:rFonts w:ascii="Times New Roman" w:hAnsi="Times New Roman"/>
          <w:color w:val="000000"/>
          <w:kern w:val="0"/>
          <w:sz w:val="16"/>
          <w:szCs w:val="16"/>
        </w:rPr>
        <w:t xml:space="preserve"> and CD3</w:t>
      </w:r>
      <w:r w:rsidR="00B63806" w:rsidRPr="00B63806">
        <w:rPr>
          <w:rFonts w:ascii="Times New Roman" w:hAnsi="Times New Roman"/>
          <w:color w:val="000000"/>
          <w:kern w:val="0"/>
          <w:sz w:val="16"/>
          <w:szCs w:val="16"/>
          <w:vertAlign w:val="superscript"/>
        </w:rPr>
        <w:t>+</w:t>
      </w:r>
      <w:r w:rsidR="00B63806">
        <w:rPr>
          <w:rFonts w:ascii="Times New Roman" w:hAnsi="Times New Roman"/>
          <w:color w:val="000000"/>
          <w:kern w:val="0"/>
          <w:sz w:val="16"/>
          <w:szCs w:val="16"/>
        </w:rPr>
        <w:t xml:space="preserve"> cells. (</w:t>
      </w:r>
      <w:r w:rsidR="00B63806">
        <w:rPr>
          <w:rFonts w:ascii="Times New Roman" w:hAnsi="Times New Roman"/>
          <w:b/>
          <w:color w:val="000000"/>
          <w:kern w:val="0"/>
          <w:sz w:val="16"/>
          <w:szCs w:val="16"/>
        </w:rPr>
        <w:t>B</w:t>
      </w:r>
      <w:r w:rsidR="00B63806">
        <w:rPr>
          <w:rFonts w:ascii="Times New Roman" w:hAnsi="Times New Roman"/>
          <w:color w:val="000000"/>
          <w:kern w:val="0"/>
          <w:sz w:val="16"/>
          <w:szCs w:val="16"/>
        </w:rPr>
        <w:t>) R</w:t>
      </w:r>
      <w:r w:rsidR="00B22FD0">
        <w:rPr>
          <w:rFonts w:ascii="Times New Roman" w:hAnsi="Times New Roman"/>
          <w:color w:val="000000"/>
          <w:kern w:val="0"/>
          <w:sz w:val="16"/>
          <w:szCs w:val="16"/>
        </w:rPr>
        <w:t>epresentative bands and quantification of SYP, SYN and PSD95 in the frontal cortex</w:t>
      </w:r>
      <w:r w:rsidR="00B22FD0">
        <w:rPr>
          <w:rFonts w:ascii="Times New Roman" w:hAnsi="Times New Roman"/>
          <w:sz w:val="16"/>
          <w:szCs w:val="16"/>
        </w:rPr>
        <w:t>.</w:t>
      </w:r>
      <w:r w:rsidR="00B22FD0">
        <w:rPr>
          <w:rFonts w:ascii="Times New Roman" w:hAnsi="Times New Roman"/>
          <w:kern w:val="0"/>
          <w:sz w:val="16"/>
          <w:szCs w:val="16"/>
        </w:rPr>
        <w:t xml:space="preserve"> n = 5-6 per group. </w:t>
      </w:r>
      <w:r w:rsidR="00B63806">
        <w:rPr>
          <w:rFonts w:ascii="Times New Roman" w:hAnsi="Times New Roman"/>
          <w:color w:val="000000"/>
          <w:kern w:val="0"/>
          <w:sz w:val="16"/>
          <w:szCs w:val="16"/>
        </w:rPr>
        <w:t>(</w:t>
      </w:r>
      <w:r w:rsidR="00B63806">
        <w:rPr>
          <w:rFonts w:ascii="Times New Roman" w:hAnsi="Times New Roman"/>
          <w:b/>
          <w:color w:val="000000"/>
          <w:kern w:val="0"/>
          <w:sz w:val="16"/>
          <w:szCs w:val="16"/>
        </w:rPr>
        <w:t>C</w:t>
      </w:r>
      <w:r w:rsidR="00B63806">
        <w:rPr>
          <w:rFonts w:ascii="Times New Roman" w:hAnsi="Times New Roman"/>
          <w:color w:val="000000"/>
          <w:kern w:val="0"/>
          <w:sz w:val="16"/>
          <w:szCs w:val="16"/>
        </w:rPr>
        <w:t xml:space="preserve">) </w:t>
      </w:r>
      <w:r w:rsidR="00B63806">
        <w:rPr>
          <w:rFonts w:ascii="Times New Roman" w:hAnsi="Times New Roman"/>
          <w:color w:val="000000"/>
          <w:sz w:val="16"/>
          <w:szCs w:val="16"/>
        </w:rPr>
        <w:t xml:space="preserve">Percentage of T lymphocytes in the lungs and spleen of 3-, 5- and 8-month-old 5xFAD mice. n = 6 per group. </w:t>
      </w:r>
      <w:r w:rsidR="00B63806">
        <w:rPr>
          <w:rFonts w:ascii="Times New Roman" w:hAnsi="Times New Roman"/>
          <w:color w:val="000000"/>
          <w:kern w:val="0"/>
          <w:sz w:val="16"/>
          <w:szCs w:val="16"/>
        </w:rPr>
        <w:t>(</w:t>
      </w:r>
      <w:r w:rsidR="00B63806">
        <w:rPr>
          <w:rFonts w:ascii="Times New Roman" w:hAnsi="Times New Roman"/>
          <w:b/>
          <w:color w:val="000000"/>
          <w:kern w:val="0"/>
          <w:sz w:val="16"/>
          <w:szCs w:val="16"/>
        </w:rPr>
        <w:t>D</w:t>
      </w:r>
      <w:r w:rsidR="00B63806">
        <w:rPr>
          <w:rFonts w:ascii="Times New Roman" w:hAnsi="Times New Roman"/>
          <w:color w:val="000000"/>
          <w:kern w:val="0"/>
          <w:sz w:val="16"/>
          <w:szCs w:val="16"/>
        </w:rPr>
        <w:t>)</w:t>
      </w:r>
      <w:r w:rsidR="00B63806">
        <w:rPr>
          <w:rFonts w:ascii="Times New Roman" w:hAnsi="Times New Roman"/>
          <w:color w:val="000000"/>
          <w:sz w:val="16"/>
          <w:szCs w:val="16"/>
        </w:rPr>
        <w:t xml:space="preserve"> </w:t>
      </w:r>
      <w:r w:rsidR="00B63806">
        <w:rPr>
          <w:rFonts w:ascii="Times New Roman" w:hAnsi="Times New Roman"/>
          <w:color w:val="000000"/>
          <w:kern w:val="0"/>
          <w:sz w:val="16"/>
          <w:szCs w:val="16"/>
        </w:rPr>
        <w:t xml:space="preserve">Correlation analysis of T </w:t>
      </w:r>
      <w:r w:rsidR="00B63806">
        <w:rPr>
          <w:rFonts w:ascii="Times New Roman" w:hAnsi="Times New Roman"/>
          <w:color w:val="000000"/>
          <w:sz w:val="16"/>
          <w:szCs w:val="16"/>
        </w:rPr>
        <w:t>lymphocytes</w:t>
      </w:r>
      <w:r w:rsidR="00B63806">
        <w:rPr>
          <w:rFonts w:ascii="Times New Roman" w:hAnsi="Times New Roman"/>
          <w:color w:val="000000"/>
          <w:kern w:val="0"/>
          <w:sz w:val="16"/>
          <w:szCs w:val="16"/>
        </w:rPr>
        <w:t xml:space="preserve"> between the lungs and brain, and </w:t>
      </w:r>
      <w:r w:rsidR="00B63806">
        <w:rPr>
          <w:rFonts w:ascii="Times New Roman" w:hAnsi="Times New Roman"/>
          <w:color w:val="000000"/>
          <w:sz w:val="16"/>
          <w:szCs w:val="16"/>
        </w:rPr>
        <w:t xml:space="preserve">meninges, respectively, and </w:t>
      </w:r>
      <w:r w:rsidR="00B63806">
        <w:rPr>
          <w:rFonts w:ascii="Times New Roman" w:hAnsi="Times New Roman"/>
          <w:color w:val="000000"/>
          <w:kern w:val="0"/>
          <w:sz w:val="16"/>
          <w:szCs w:val="16"/>
        </w:rPr>
        <w:t xml:space="preserve">between the spleens and brain, and </w:t>
      </w:r>
      <w:r w:rsidR="00B63806">
        <w:rPr>
          <w:rFonts w:ascii="Times New Roman" w:hAnsi="Times New Roman"/>
          <w:color w:val="000000"/>
          <w:sz w:val="16"/>
          <w:szCs w:val="16"/>
        </w:rPr>
        <w:t>meninges, respectively.</w:t>
      </w:r>
      <w:r w:rsidR="00B63806">
        <w:rPr>
          <w:rFonts w:ascii="Times New Roman" w:hAnsi="Times New Roman"/>
          <w:color w:val="000000"/>
          <w:kern w:val="0"/>
          <w:sz w:val="16"/>
          <w:szCs w:val="16"/>
        </w:rPr>
        <w:t xml:space="preserve"> </w:t>
      </w:r>
      <w:r w:rsidR="00B22FD0">
        <w:rPr>
          <w:rFonts w:ascii="Times New Roman" w:hAnsi="Times New Roman"/>
          <w:sz w:val="16"/>
          <w:szCs w:val="16"/>
        </w:rPr>
        <w:t>*</w:t>
      </w:r>
      <w:r w:rsidR="00B22FD0">
        <w:rPr>
          <w:rFonts w:ascii="Times New Roman" w:hAnsi="Times New Roman"/>
          <w:i/>
          <w:sz w:val="16"/>
          <w:szCs w:val="16"/>
        </w:rPr>
        <w:t>P</w:t>
      </w:r>
      <w:r w:rsidR="00B22FD0">
        <w:rPr>
          <w:rFonts w:ascii="Times New Roman" w:hAnsi="Times New Roman"/>
          <w:sz w:val="16"/>
          <w:szCs w:val="16"/>
        </w:rPr>
        <w:t xml:space="preserve"> &lt; 0.05, **</w:t>
      </w:r>
      <w:r w:rsidR="00B22FD0">
        <w:rPr>
          <w:rFonts w:ascii="Times New Roman" w:hAnsi="Times New Roman"/>
          <w:i/>
          <w:sz w:val="16"/>
          <w:szCs w:val="16"/>
        </w:rPr>
        <w:t>P</w:t>
      </w:r>
      <w:r w:rsidR="00B22FD0">
        <w:rPr>
          <w:rFonts w:ascii="Times New Roman" w:hAnsi="Times New Roman"/>
          <w:sz w:val="16"/>
          <w:szCs w:val="16"/>
        </w:rPr>
        <w:t xml:space="preserve"> &lt; 0.01, ***</w:t>
      </w:r>
      <w:r w:rsidR="00B22FD0">
        <w:rPr>
          <w:rFonts w:ascii="Times New Roman" w:hAnsi="Times New Roman"/>
          <w:i/>
          <w:sz w:val="16"/>
          <w:szCs w:val="16"/>
        </w:rPr>
        <w:t>P</w:t>
      </w:r>
      <w:r w:rsidR="00B22FD0">
        <w:rPr>
          <w:rFonts w:ascii="Times New Roman" w:hAnsi="Times New Roman"/>
          <w:sz w:val="16"/>
          <w:szCs w:val="16"/>
        </w:rPr>
        <w:t xml:space="preserve"> &lt; 0.001, ****</w:t>
      </w:r>
      <w:r w:rsidR="00B22FD0">
        <w:rPr>
          <w:rFonts w:ascii="Times New Roman" w:hAnsi="Times New Roman"/>
          <w:i/>
          <w:sz w:val="16"/>
          <w:szCs w:val="16"/>
        </w:rPr>
        <w:t>P</w:t>
      </w:r>
      <w:r w:rsidR="00B22FD0">
        <w:rPr>
          <w:rFonts w:ascii="Times New Roman" w:hAnsi="Times New Roman"/>
          <w:sz w:val="16"/>
          <w:szCs w:val="16"/>
        </w:rPr>
        <w:t xml:space="preserve"> &lt; 0.0001. </w:t>
      </w:r>
      <w:r w:rsidR="00B22FD0">
        <w:rPr>
          <w:rFonts w:ascii="Times New Roman" w:hAnsi="Times New Roman"/>
          <w:color w:val="000000"/>
          <w:kern w:val="0"/>
          <w:sz w:val="16"/>
          <w:szCs w:val="16"/>
        </w:rPr>
        <w:t xml:space="preserve">Data in </w:t>
      </w:r>
      <w:r w:rsidR="00B63806">
        <w:rPr>
          <w:rFonts w:ascii="Times New Roman" w:hAnsi="Times New Roman"/>
          <w:b/>
          <w:color w:val="000000"/>
          <w:kern w:val="0"/>
          <w:sz w:val="16"/>
          <w:szCs w:val="16"/>
        </w:rPr>
        <w:t>B</w:t>
      </w:r>
      <w:r w:rsidR="00B22FD0">
        <w:rPr>
          <w:rFonts w:ascii="Times New Roman" w:hAnsi="Times New Roman"/>
          <w:color w:val="000000"/>
          <w:kern w:val="0"/>
          <w:sz w:val="16"/>
          <w:szCs w:val="16"/>
        </w:rPr>
        <w:t xml:space="preserve"> </w:t>
      </w:r>
      <w:r w:rsidR="00474D5B">
        <w:rPr>
          <w:rFonts w:ascii="Times New Roman" w:hAnsi="Times New Roman"/>
          <w:kern w:val="0"/>
          <w:sz w:val="16"/>
          <w:szCs w:val="16"/>
        </w:rPr>
        <w:t>a</w:t>
      </w:r>
      <w:r w:rsidR="00474D5B">
        <w:rPr>
          <w:rFonts w:ascii="Times New Roman" w:hAnsi="Times New Roman"/>
          <w:color w:val="000000"/>
          <w:kern w:val="0"/>
          <w:sz w:val="16"/>
          <w:szCs w:val="16"/>
        </w:rPr>
        <w:t xml:space="preserve">re analyzed </w:t>
      </w:r>
      <w:r w:rsidR="00B63806">
        <w:rPr>
          <w:rFonts w:ascii="Times New Roman" w:hAnsi="Times New Roman"/>
          <w:color w:val="000000"/>
          <w:kern w:val="0"/>
          <w:sz w:val="16"/>
          <w:szCs w:val="16"/>
        </w:rPr>
        <w:t>by</w:t>
      </w:r>
      <w:r w:rsidR="00B22FD0">
        <w:rPr>
          <w:rFonts w:ascii="Times New Roman" w:hAnsi="Times New Roman"/>
          <w:kern w:val="0"/>
          <w:sz w:val="16"/>
          <w:szCs w:val="16"/>
        </w:rPr>
        <w:t xml:space="preserve"> </w:t>
      </w:r>
      <w:r w:rsidR="009F5A8C">
        <w:rPr>
          <w:rFonts w:ascii="Times New Roman" w:hAnsi="Times New Roman"/>
          <w:kern w:val="0"/>
          <w:sz w:val="16"/>
          <w:szCs w:val="16"/>
        </w:rPr>
        <w:t xml:space="preserve">the Two-way </w:t>
      </w:r>
      <w:r w:rsidR="00B22FD0">
        <w:rPr>
          <w:rFonts w:ascii="Times New Roman" w:hAnsi="Times New Roman"/>
          <w:color w:val="000000"/>
          <w:kern w:val="0"/>
          <w:sz w:val="16"/>
          <w:szCs w:val="16"/>
        </w:rPr>
        <w:t xml:space="preserve">ANOVA with </w:t>
      </w:r>
      <w:r w:rsidR="00687A63">
        <w:rPr>
          <w:rFonts w:ascii="Times New Roman" w:hAnsi="Times New Roman"/>
          <w:color w:val="000000"/>
          <w:kern w:val="0"/>
          <w:sz w:val="16"/>
          <w:szCs w:val="16"/>
        </w:rPr>
        <w:t>Bonferroni’s</w:t>
      </w:r>
      <w:r w:rsidR="00B22FD0">
        <w:rPr>
          <w:rFonts w:ascii="Times New Roman" w:hAnsi="Times New Roman"/>
          <w:color w:val="000000"/>
          <w:kern w:val="0"/>
          <w:sz w:val="16"/>
          <w:szCs w:val="16"/>
        </w:rPr>
        <w:t xml:space="preserve"> post hoc test</w:t>
      </w:r>
      <w:r w:rsidR="00B22FD0">
        <w:rPr>
          <w:rFonts w:ascii="Times New Roman" w:hAnsi="Times New Roman"/>
          <w:kern w:val="0"/>
          <w:sz w:val="16"/>
          <w:szCs w:val="16"/>
        </w:rPr>
        <w:t>.</w:t>
      </w:r>
      <w:r w:rsidR="00474D5B">
        <w:rPr>
          <w:rFonts w:ascii="Times New Roman" w:hAnsi="Times New Roman"/>
          <w:kern w:val="0"/>
          <w:sz w:val="16"/>
          <w:szCs w:val="16"/>
        </w:rPr>
        <w:t xml:space="preserve"> Data in </w:t>
      </w:r>
      <w:r w:rsidR="009F5A8C">
        <w:rPr>
          <w:rFonts w:ascii="Times New Roman" w:hAnsi="Times New Roman"/>
          <w:b/>
          <w:kern w:val="0"/>
          <w:sz w:val="16"/>
          <w:szCs w:val="16"/>
        </w:rPr>
        <w:t>C</w:t>
      </w:r>
      <w:r w:rsidR="009F5A8C">
        <w:rPr>
          <w:rFonts w:ascii="Times New Roman" w:hAnsi="Times New Roman"/>
          <w:kern w:val="0"/>
          <w:sz w:val="16"/>
          <w:szCs w:val="16"/>
        </w:rPr>
        <w:t xml:space="preserve"> </w:t>
      </w:r>
      <w:r w:rsidR="00474D5B">
        <w:rPr>
          <w:rFonts w:ascii="Times New Roman" w:hAnsi="Times New Roman"/>
          <w:kern w:val="0"/>
          <w:sz w:val="16"/>
          <w:szCs w:val="16"/>
        </w:rPr>
        <w:t>a</w:t>
      </w:r>
      <w:r w:rsidR="00474D5B">
        <w:rPr>
          <w:rFonts w:ascii="Times New Roman" w:hAnsi="Times New Roman"/>
          <w:color w:val="000000"/>
          <w:kern w:val="0"/>
          <w:sz w:val="16"/>
          <w:szCs w:val="16"/>
        </w:rPr>
        <w:t xml:space="preserve">re analyzed by repeated-measures ANOVA with Bonferroni’s post hoc test, correlation analysis in </w:t>
      </w:r>
      <w:r w:rsidR="009F5A8C">
        <w:rPr>
          <w:rFonts w:ascii="Times New Roman" w:hAnsi="Times New Roman"/>
          <w:b/>
          <w:color w:val="000000"/>
          <w:kern w:val="0"/>
          <w:sz w:val="16"/>
          <w:szCs w:val="16"/>
        </w:rPr>
        <w:t>D</w:t>
      </w:r>
      <w:r w:rsidR="009F5A8C">
        <w:rPr>
          <w:rFonts w:ascii="Times New Roman" w:hAnsi="Times New Roman"/>
          <w:color w:val="000000"/>
          <w:kern w:val="0"/>
          <w:sz w:val="16"/>
          <w:szCs w:val="16"/>
        </w:rPr>
        <w:t xml:space="preserve"> </w:t>
      </w:r>
      <w:r w:rsidR="00474D5B">
        <w:rPr>
          <w:rFonts w:ascii="Times New Roman" w:hAnsi="Times New Roman"/>
          <w:color w:val="000000"/>
          <w:kern w:val="0"/>
          <w:sz w:val="16"/>
          <w:szCs w:val="16"/>
        </w:rPr>
        <w:t>by</w:t>
      </w:r>
      <w:r w:rsidR="00474D5B">
        <w:rPr>
          <w:rFonts w:ascii="Times New Roman" w:hAnsi="Times New Roman"/>
          <w:color w:val="FF0000"/>
          <w:kern w:val="0"/>
          <w:sz w:val="16"/>
          <w:szCs w:val="16"/>
        </w:rPr>
        <w:t xml:space="preserve"> </w:t>
      </w:r>
      <w:r w:rsidR="00474D5B">
        <w:rPr>
          <w:rFonts w:ascii="Times New Roman" w:hAnsi="Times New Roman"/>
          <w:color w:val="000000"/>
          <w:kern w:val="0"/>
          <w:sz w:val="16"/>
          <w:szCs w:val="16"/>
        </w:rPr>
        <w:t>Pearson Correlation Coefficient</w:t>
      </w:r>
      <w:r w:rsidR="00447CCB">
        <w:rPr>
          <w:rFonts w:ascii="Times New Roman" w:hAnsi="Times New Roman"/>
          <w:color w:val="000000"/>
          <w:kern w:val="0"/>
          <w:sz w:val="16"/>
          <w:szCs w:val="16"/>
        </w:rPr>
        <w:t xml:space="preserve">. </w:t>
      </w:r>
    </w:p>
    <w:p w14:paraId="219397F4" w14:textId="04D99B3E" w:rsidR="00474D5B" w:rsidRDefault="00A7728A" w:rsidP="00447CCB">
      <w:pPr>
        <w:spacing w:beforeLines="50" w:before="156"/>
        <w:rPr>
          <w:rFonts w:ascii="Times New Roman" w:hAnsi="Times New Roman"/>
        </w:rPr>
      </w:pPr>
      <w:r>
        <w:rPr>
          <w:rFonts w:ascii="Times New Roman" w:hAnsi="Times New Roman"/>
          <w:noProof/>
        </w:rPr>
        <w:lastRenderedPageBreak/>
        <w:pict w14:anchorId="44A85008">
          <v:shape id="_x0000_i1026" type="#_x0000_t75" style="width:391.25pt;height:418.4pt">
            <v:imagedata r:id="rId12" o:title="SI-Figure_2_20210516"/>
          </v:shape>
        </w:pict>
      </w:r>
    </w:p>
    <w:p w14:paraId="6DF78D7F" w14:textId="77777777" w:rsidR="00447CCB" w:rsidRDefault="00136C7A" w:rsidP="00447CCB">
      <w:pPr>
        <w:rPr>
          <w:rFonts w:ascii="Times New Roman" w:hAnsi="Times New Roman"/>
          <w:kern w:val="0"/>
          <w:sz w:val="16"/>
          <w:szCs w:val="16"/>
        </w:rPr>
      </w:pPr>
      <w:r w:rsidRPr="00136C7A">
        <w:rPr>
          <w:rFonts w:ascii="Times New Roman" w:hAnsi="Times New Roman"/>
          <w:b/>
          <w:sz w:val="16"/>
          <w:szCs w:val="16"/>
        </w:rPr>
        <w:t>Supplementary</w:t>
      </w:r>
      <w:r w:rsidR="00917AE6" w:rsidRPr="00917AE6">
        <w:rPr>
          <w:rFonts w:ascii="Times New Roman" w:hAnsi="Times New Roman"/>
          <w:b/>
          <w:sz w:val="16"/>
          <w:szCs w:val="16"/>
        </w:rPr>
        <w:t xml:space="preserve"> Fig. </w:t>
      </w:r>
      <w:r w:rsidR="00474D5B">
        <w:rPr>
          <w:rFonts w:ascii="Times New Roman" w:hAnsi="Times New Roman"/>
          <w:b/>
          <w:color w:val="000000"/>
          <w:kern w:val="0"/>
          <w:sz w:val="16"/>
          <w:szCs w:val="16"/>
        </w:rPr>
        <w:t>2</w:t>
      </w:r>
      <w:r w:rsidR="00474D5B" w:rsidRPr="00F35CE3">
        <w:rPr>
          <w:rFonts w:ascii="Times New Roman" w:hAnsi="Times New Roman"/>
          <w:b/>
          <w:color w:val="000000"/>
          <w:kern w:val="0"/>
          <w:sz w:val="16"/>
          <w:szCs w:val="16"/>
        </w:rPr>
        <w:t>.</w:t>
      </w:r>
      <w:r w:rsidR="00474D5B" w:rsidRPr="00D805F4">
        <w:rPr>
          <w:rFonts w:ascii="Times New Roman" w:hAnsi="Times New Roman"/>
          <w:b/>
          <w:color w:val="000000"/>
          <w:kern w:val="0"/>
          <w:sz w:val="16"/>
          <w:szCs w:val="16"/>
        </w:rPr>
        <w:t xml:space="preserve"> IL-35 was upregulated in 3-month-old 5xFAD mice.</w:t>
      </w:r>
      <w:r w:rsidR="00474D5B">
        <w:rPr>
          <w:rFonts w:ascii="Times New Roman" w:hAnsi="Times New Roman"/>
          <w:color w:val="000000"/>
          <w:kern w:val="0"/>
          <w:sz w:val="16"/>
          <w:szCs w:val="16"/>
        </w:rPr>
        <w:t xml:space="preserve"> (</w:t>
      </w:r>
      <w:r w:rsidR="00474D5B">
        <w:rPr>
          <w:rFonts w:ascii="Times New Roman" w:hAnsi="Times New Roman"/>
          <w:b/>
          <w:color w:val="000000"/>
          <w:kern w:val="0"/>
          <w:sz w:val="16"/>
          <w:szCs w:val="16"/>
        </w:rPr>
        <w:t>A</w:t>
      </w:r>
      <w:r w:rsidR="00474D5B">
        <w:rPr>
          <w:rFonts w:ascii="Times New Roman" w:hAnsi="Times New Roman"/>
          <w:color w:val="000000"/>
          <w:kern w:val="0"/>
          <w:sz w:val="16"/>
          <w:szCs w:val="16"/>
        </w:rPr>
        <w:t>)</w:t>
      </w:r>
      <w:r w:rsidR="00474D5B">
        <w:rPr>
          <w:rFonts w:ascii="Times New Roman" w:hAnsi="Times New Roman"/>
          <w:color w:val="000000"/>
          <w:sz w:val="16"/>
          <w:szCs w:val="16"/>
        </w:rPr>
        <w:t xml:space="preserve"> Heat map of different up- and down-regulated genes in the pulmonary B cells of 3-month-old WT and 5xFAD mice. The color scale is the r-log-transformed values across samples. n = 3 per group. </w:t>
      </w:r>
      <w:r w:rsidR="00474D5B">
        <w:rPr>
          <w:rFonts w:ascii="Times New Roman" w:hAnsi="Times New Roman"/>
          <w:kern w:val="0"/>
          <w:sz w:val="16"/>
          <w:szCs w:val="16"/>
        </w:rPr>
        <w:t>(</w:t>
      </w:r>
      <w:r w:rsidR="00474D5B">
        <w:rPr>
          <w:rFonts w:ascii="Times New Roman" w:hAnsi="Times New Roman"/>
          <w:b/>
          <w:kern w:val="0"/>
          <w:sz w:val="16"/>
          <w:szCs w:val="16"/>
        </w:rPr>
        <w:t>B</w:t>
      </w:r>
      <w:r w:rsidR="00474D5B">
        <w:rPr>
          <w:rFonts w:ascii="Times New Roman" w:hAnsi="Times New Roman"/>
          <w:kern w:val="0"/>
          <w:sz w:val="16"/>
          <w:szCs w:val="16"/>
        </w:rPr>
        <w:t>) Heat map showing relative expression level of genes encoding B cells-related</w:t>
      </w:r>
      <w:r w:rsidR="00474D5B">
        <w:rPr>
          <w:rFonts w:ascii="Times New Roman" w:hAnsi="Times New Roman"/>
          <w:sz w:val="16"/>
          <w:szCs w:val="16"/>
        </w:rPr>
        <w:t xml:space="preserve"> cytokines. </w:t>
      </w:r>
      <w:r w:rsidR="00474D5B">
        <w:rPr>
          <w:rFonts w:ascii="Times New Roman" w:hAnsi="Times New Roman"/>
          <w:kern w:val="0"/>
          <w:sz w:val="16"/>
          <w:szCs w:val="16"/>
        </w:rPr>
        <w:t>Color scale bar values represent standardized log-transformed values across samples. n = 3 per group.</w:t>
      </w:r>
      <w:r w:rsidR="00474D5B" w:rsidRPr="00F36F7B">
        <w:rPr>
          <w:rFonts w:ascii="Times New Roman" w:hAnsi="Times New Roman"/>
          <w:color w:val="000000"/>
          <w:kern w:val="0"/>
          <w:sz w:val="16"/>
          <w:szCs w:val="16"/>
        </w:rPr>
        <w:t xml:space="preserve"> </w:t>
      </w:r>
      <w:r w:rsidR="00474D5B">
        <w:rPr>
          <w:rFonts w:ascii="Times New Roman" w:hAnsi="Times New Roman"/>
          <w:color w:val="000000"/>
          <w:kern w:val="0"/>
          <w:sz w:val="16"/>
          <w:szCs w:val="16"/>
        </w:rPr>
        <w:t>(</w:t>
      </w:r>
      <w:r w:rsidR="00474D5B">
        <w:rPr>
          <w:rFonts w:ascii="Times New Roman" w:hAnsi="Times New Roman"/>
          <w:b/>
          <w:color w:val="000000"/>
          <w:kern w:val="0"/>
          <w:sz w:val="16"/>
          <w:szCs w:val="16"/>
        </w:rPr>
        <w:t>C</w:t>
      </w:r>
      <w:r w:rsidR="00474D5B">
        <w:rPr>
          <w:rFonts w:ascii="Times New Roman" w:hAnsi="Times New Roman"/>
          <w:color w:val="000000"/>
          <w:kern w:val="0"/>
          <w:sz w:val="16"/>
          <w:szCs w:val="16"/>
        </w:rPr>
        <w:t>)</w:t>
      </w:r>
      <w:r w:rsidR="00474D5B">
        <w:rPr>
          <w:rFonts w:ascii="Times New Roman" w:hAnsi="Times New Roman"/>
          <w:kern w:val="0"/>
          <w:sz w:val="16"/>
          <w:szCs w:val="16"/>
        </w:rPr>
        <w:t xml:space="preserve"> QRT-P</w:t>
      </w:r>
      <w:r w:rsidR="00474D5B">
        <w:rPr>
          <w:rFonts w:ascii="Times New Roman" w:hAnsi="Times New Roman"/>
          <w:color w:val="000000"/>
          <w:kern w:val="0"/>
          <w:sz w:val="16"/>
          <w:szCs w:val="16"/>
        </w:rPr>
        <w:t xml:space="preserve">CR for </w:t>
      </w:r>
      <w:r w:rsidR="00474D5B">
        <w:rPr>
          <w:rFonts w:ascii="Times New Roman" w:hAnsi="Times New Roman"/>
          <w:i/>
          <w:kern w:val="0"/>
          <w:sz w:val="16"/>
          <w:szCs w:val="16"/>
        </w:rPr>
        <w:t xml:space="preserve">IL-10, TGF-β, IL-6 </w:t>
      </w:r>
      <w:r w:rsidR="00474D5B">
        <w:rPr>
          <w:rFonts w:ascii="Times New Roman" w:hAnsi="Times New Roman"/>
          <w:kern w:val="0"/>
          <w:sz w:val="16"/>
          <w:szCs w:val="16"/>
        </w:rPr>
        <w:t xml:space="preserve">and </w:t>
      </w:r>
      <w:r w:rsidR="00474D5B">
        <w:rPr>
          <w:rFonts w:ascii="Times New Roman" w:hAnsi="Times New Roman"/>
          <w:i/>
          <w:kern w:val="0"/>
          <w:sz w:val="16"/>
          <w:szCs w:val="16"/>
        </w:rPr>
        <w:t xml:space="preserve">TNF-α </w:t>
      </w:r>
      <w:r w:rsidR="00474D5B">
        <w:rPr>
          <w:rFonts w:ascii="Times New Roman" w:hAnsi="Times New Roman"/>
          <w:kern w:val="0"/>
          <w:sz w:val="16"/>
          <w:szCs w:val="16"/>
        </w:rPr>
        <w:t xml:space="preserve">of B cells in the lungs. </w:t>
      </w:r>
      <w:r w:rsidR="00474D5B">
        <w:rPr>
          <w:rFonts w:ascii="Times New Roman" w:hAnsi="Times New Roman"/>
          <w:color w:val="000000"/>
          <w:sz w:val="16"/>
          <w:szCs w:val="16"/>
        </w:rPr>
        <w:t xml:space="preserve">n = 4 per group. </w:t>
      </w:r>
      <w:r w:rsidR="00474D5B">
        <w:rPr>
          <w:rFonts w:ascii="Times New Roman" w:hAnsi="Times New Roman"/>
          <w:color w:val="000000"/>
          <w:kern w:val="0"/>
          <w:sz w:val="16"/>
          <w:szCs w:val="16"/>
        </w:rPr>
        <w:t>(</w:t>
      </w:r>
      <w:r w:rsidR="00474D5B">
        <w:rPr>
          <w:rFonts w:ascii="Times New Roman" w:hAnsi="Times New Roman"/>
          <w:b/>
          <w:color w:val="000000"/>
          <w:kern w:val="0"/>
          <w:sz w:val="16"/>
          <w:szCs w:val="16"/>
        </w:rPr>
        <w:t>D</w:t>
      </w:r>
      <w:r w:rsidR="00474D5B">
        <w:rPr>
          <w:rFonts w:ascii="Times New Roman" w:hAnsi="Times New Roman"/>
          <w:color w:val="000000"/>
          <w:kern w:val="0"/>
          <w:sz w:val="16"/>
          <w:szCs w:val="16"/>
        </w:rPr>
        <w:t>)</w:t>
      </w:r>
      <w:r w:rsidR="00474D5B">
        <w:rPr>
          <w:rFonts w:ascii="Times New Roman" w:hAnsi="Times New Roman"/>
          <w:kern w:val="0"/>
          <w:sz w:val="16"/>
          <w:szCs w:val="16"/>
        </w:rPr>
        <w:t xml:space="preserve"> Western blot and quantification for IL-12a and Ebi3 in the lungs of 3-month-old mice. (</w:t>
      </w:r>
      <w:r w:rsidR="00474D5B">
        <w:rPr>
          <w:rFonts w:ascii="Times New Roman" w:hAnsi="Times New Roman"/>
          <w:b/>
          <w:kern w:val="0"/>
          <w:sz w:val="16"/>
          <w:szCs w:val="16"/>
        </w:rPr>
        <w:t>F</w:t>
      </w:r>
      <w:r w:rsidR="00474D5B">
        <w:rPr>
          <w:rFonts w:ascii="Times New Roman" w:hAnsi="Times New Roman"/>
          <w:kern w:val="0"/>
          <w:sz w:val="16"/>
          <w:szCs w:val="16"/>
        </w:rPr>
        <w:t>) Western blot and quantification for</w:t>
      </w:r>
      <w:r w:rsidR="00474D5B">
        <w:rPr>
          <w:rFonts w:ascii="Times New Roman" w:hAnsi="Times New Roman"/>
          <w:color w:val="000000"/>
          <w:kern w:val="0"/>
          <w:sz w:val="16"/>
          <w:szCs w:val="16"/>
        </w:rPr>
        <w:t xml:space="preserve"> IL-12a and Ebi3 in the cortex of 3-month-old mice.</w:t>
      </w:r>
      <w:r w:rsidR="00474D5B" w:rsidRPr="00EB3739">
        <w:rPr>
          <w:rFonts w:ascii="Times New Roman" w:hAnsi="Times New Roman"/>
          <w:color w:val="000000"/>
          <w:kern w:val="0"/>
          <w:sz w:val="16"/>
          <w:szCs w:val="16"/>
        </w:rPr>
        <w:t xml:space="preserve"> </w:t>
      </w:r>
      <w:r w:rsidR="00474D5B">
        <w:rPr>
          <w:rFonts w:ascii="Times New Roman" w:hAnsi="Times New Roman"/>
          <w:color w:val="000000"/>
          <w:kern w:val="0"/>
          <w:sz w:val="16"/>
          <w:szCs w:val="16"/>
        </w:rPr>
        <w:t>(</w:t>
      </w:r>
      <w:r w:rsidR="00474D5B">
        <w:rPr>
          <w:rFonts w:ascii="Times New Roman" w:hAnsi="Times New Roman"/>
          <w:b/>
          <w:color w:val="000000"/>
          <w:kern w:val="0"/>
          <w:sz w:val="16"/>
          <w:szCs w:val="16"/>
        </w:rPr>
        <w:t>F</w:t>
      </w:r>
      <w:r w:rsidR="00474D5B">
        <w:rPr>
          <w:rFonts w:ascii="Times New Roman" w:hAnsi="Times New Roman"/>
          <w:color w:val="000000"/>
          <w:kern w:val="0"/>
          <w:sz w:val="16"/>
          <w:szCs w:val="16"/>
        </w:rPr>
        <w:t>)</w:t>
      </w:r>
      <w:r w:rsidR="00474D5B">
        <w:rPr>
          <w:rFonts w:ascii="Times New Roman" w:hAnsi="Times New Roman"/>
          <w:b/>
          <w:color w:val="000000"/>
          <w:sz w:val="16"/>
          <w:szCs w:val="16"/>
        </w:rPr>
        <w:t xml:space="preserve"> </w:t>
      </w:r>
      <w:r w:rsidR="00474D5B">
        <w:rPr>
          <w:rFonts w:ascii="Times New Roman" w:hAnsi="Times New Roman"/>
          <w:kern w:val="0"/>
          <w:sz w:val="16"/>
          <w:szCs w:val="16"/>
        </w:rPr>
        <w:t xml:space="preserve">ELISA for IL-35 in the </w:t>
      </w:r>
      <w:r w:rsidR="00474D5B">
        <w:rPr>
          <w:rFonts w:ascii="Times New Roman" w:hAnsi="Times New Roman"/>
          <w:color w:val="000000"/>
          <w:kern w:val="0"/>
          <w:sz w:val="16"/>
          <w:szCs w:val="16"/>
        </w:rPr>
        <w:t xml:space="preserve">frontal cortex </w:t>
      </w:r>
      <w:r w:rsidR="00474D5B">
        <w:rPr>
          <w:rFonts w:ascii="Times New Roman" w:hAnsi="Times New Roman"/>
          <w:kern w:val="0"/>
          <w:sz w:val="16"/>
          <w:szCs w:val="16"/>
        </w:rPr>
        <w:t>of</w:t>
      </w:r>
      <w:r w:rsidR="00474D5B">
        <w:rPr>
          <w:rFonts w:ascii="Times New Roman" w:hAnsi="Times New Roman"/>
          <w:color w:val="000000"/>
          <w:kern w:val="0"/>
          <w:sz w:val="16"/>
          <w:szCs w:val="16"/>
        </w:rPr>
        <w:t xml:space="preserve"> WT, 5xFAD, </w:t>
      </w:r>
      <w:r w:rsidR="00474D5B">
        <w:rPr>
          <w:rFonts w:ascii="Times New Roman" w:hAnsi="Times New Roman"/>
          <w:i/>
          <w:color w:val="000000"/>
          <w:kern w:val="0"/>
          <w:sz w:val="16"/>
          <w:szCs w:val="16"/>
        </w:rPr>
        <w:t>μMT</w:t>
      </w:r>
      <w:r w:rsidR="00474D5B">
        <w:rPr>
          <w:rFonts w:ascii="Times New Roman" w:hAnsi="Times New Roman"/>
          <w:i/>
          <w:color w:val="000000"/>
          <w:kern w:val="0"/>
          <w:sz w:val="16"/>
          <w:szCs w:val="16"/>
          <w:vertAlign w:val="superscript"/>
        </w:rPr>
        <w:t>-/-</w:t>
      </w:r>
      <w:r w:rsidR="00474D5B">
        <w:rPr>
          <w:rFonts w:ascii="Times New Roman" w:hAnsi="Times New Roman"/>
          <w:color w:val="000000"/>
          <w:kern w:val="0"/>
          <w:sz w:val="16"/>
          <w:szCs w:val="16"/>
        </w:rPr>
        <w:t xml:space="preserve"> and </w:t>
      </w:r>
      <w:r w:rsidR="00474D5B">
        <w:rPr>
          <w:rFonts w:ascii="Times New Roman" w:hAnsi="Times New Roman"/>
          <w:i/>
          <w:color w:val="000000"/>
          <w:kern w:val="0"/>
          <w:sz w:val="16"/>
          <w:szCs w:val="16"/>
        </w:rPr>
        <w:t>μMT</w:t>
      </w:r>
      <w:r w:rsidR="00474D5B">
        <w:rPr>
          <w:rFonts w:ascii="Times New Roman" w:hAnsi="Times New Roman"/>
          <w:i/>
          <w:color w:val="000000"/>
          <w:kern w:val="0"/>
          <w:sz w:val="16"/>
          <w:szCs w:val="16"/>
          <w:vertAlign w:val="superscript"/>
        </w:rPr>
        <w:t>-/-</w:t>
      </w:r>
      <w:r w:rsidR="00474D5B">
        <w:rPr>
          <w:rFonts w:ascii="Times New Roman" w:hAnsi="Times New Roman"/>
          <w:i/>
          <w:color w:val="000000"/>
          <w:kern w:val="0"/>
          <w:sz w:val="16"/>
          <w:szCs w:val="16"/>
        </w:rPr>
        <w:t>/</w:t>
      </w:r>
      <w:r w:rsidR="00474D5B">
        <w:rPr>
          <w:rFonts w:ascii="Times New Roman" w:hAnsi="Times New Roman"/>
          <w:color w:val="000000"/>
          <w:kern w:val="0"/>
          <w:sz w:val="16"/>
          <w:szCs w:val="16"/>
        </w:rPr>
        <w:t>5xFAD mice</w:t>
      </w:r>
      <w:r w:rsidR="00474D5B">
        <w:rPr>
          <w:rFonts w:ascii="Times New Roman" w:hAnsi="Times New Roman"/>
          <w:kern w:val="0"/>
          <w:sz w:val="16"/>
          <w:szCs w:val="16"/>
        </w:rPr>
        <w:t xml:space="preserve">. n = 4-5 per group. </w:t>
      </w:r>
      <w:r w:rsidR="00474D5B">
        <w:rPr>
          <w:rFonts w:ascii="Times New Roman" w:hAnsi="Times New Roman"/>
          <w:color w:val="000000"/>
          <w:kern w:val="0"/>
          <w:sz w:val="16"/>
          <w:szCs w:val="16"/>
        </w:rPr>
        <w:t xml:space="preserve">Data represents as mean ± s.e.m. </w:t>
      </w:r>
      <w:r w:rsidR="00474D5B">
        <w:rPr>
          <w:rFonts w:ascii="Times New Roman" w:hAnsi="Times New Roman"/>
          <w:sz w:val="16"/>
          <w:szCs w:val="16"/>
        </w:rPr>
        <w:t>*</w:t>
      </w:r>
      <w:r w:rsidR="00474D5B">
        <w:rPr>
          <w:rFonts w:ascii="Times New Roman" w:hAnsi="Times New Roman"/>
          <w:i/>
          <w:sz w:val="16"/>
          <w:szCs w:val="16"/>
        </w:rPr>
        <w:t>P</w:t>
      </w:r>
      <w:r w:rsidR="00474D5B">
        <w:rPr>
          <w:rFonts w:ascii="Times New Roman" w:hAnsi="Times New Roman"/>
          <w:sz w:val="16"/>
          <w:szCs w:val="16"/>
        </w:rPr>
        <w:t xml:space="preserve"> &lt; 0.05, **</w:t>
      </w:r>
      <w:r w:rsidR="00474D5B">
        <w:rPr>
          <w:rFonts w:ascii="Times New Roman" w:hAnsi="Times New Roman"/>
          <w:i/>
          <w:sz w:val="16"/>
          <w:szCs w:val="16"/>
        </w:rPr>
        <w:t>P</w:t>
      </w:r>
      <w:r w:rsidR="00474D5B">
        <w:rPr>
          <w:rFonts w:ascii="Times New Roman" w:hAnsi="Times New Roman"/>
          <w:sz w:val="16"/>
          <w:szCs w:val="16"/>
        </w:rPr>
        <w:t xml:space="preserve"> &lt; 0.01, ***</w:t>
      </w:r>
      <w:r w:rsidR="00474D5B">
        <w:rPr>
          <w:rFonts w:ascii="Times New Roman" w:hAnsi="Times New Roman"/>
          <w:i/>
          <w:sz w:val="16"/>
          <w:szCs w:val="16"/>
        </w:rPr>
        <w:t>P</w:t>
      </w:r>
      <w:r w:rsidR="00474D5B">
        <w:rPr>
          <w:rFonts w:ascii="Times New Roman" w:hAnsi="Times New Roman"/>
          <w:sz w:val="16"/>
          <w:szCs w:val="16"/>
        </w:rPr>
        <w:t xml:space="preserve"> &lt; 0.001, ****</w:t>
      </w:r>
      <w:r w:rsidR="00474D5B">
        <w:rPr>
          <w:rFonts w:ascii="Times New Roman" w:hAnsi="Times New Roman"/>
          <w:i/>
          <w:sz w:val="16"/>
          <w:szCs w:val="16"/>
        </w:rPr>
        <w:t>P</w:t>
      </w:r>
      <w:r w:rsidR="00474D5B">
        <w:rPr>
          <w:rFonts w:ascii="Times New Roman" w:hAnsi="Times New Roman"/>
          <w:sz w:val="16"/>
          <w:szCs w:val="16"/>
        </w:rPr>
        <w:t xml:space="preserve"> &lt; 0.0001.</w:t>
      </w:r>
      <w:r w:rsidR="00474D5B" w:rsidRPr="008B7615">
        <w:rPr>
          <w:rFonts w:ascii="Times New Roman" w:hAnsi="Times New Roman"/>
          <w:color w:val="000000"/>
          <w:kern w:val="0"/>
          <w:sz w:val="16"/>
          <w:szCs w:val="16"/>
        </w:rPr>
        <w:t xml:space="preserve"> </w:t>
      </w:r>
      <w:r w:rsidR="00474D5B">
        <w:rPr>
          <w:rFonts w:ascii="Times New Roman" w:hAnsi="Times New Roman"/>
          <w:color w:val="000000"/>
          <w:kern w:val="0"/>
          <w:sz w:val="16"/>
          <w:szCs w:val="16"/>
        </w:rPr>
        <w:t xml:space="preserve">Data </w:t>
      </w:r>
      <w:r w:rsidR="002C3224">
        <w:rPr>
          <w:rFonts w:ascii="Times New Roman" w:hAnsi="Times New Roman"/>
          <w:color w:val="000000"/>
          <w:kern w:val="0"/>
          <w:sz w:val="16"/>
          <w:szCs w:val="16"/>
        </w:rPr>
        <w:t xml:space="preserve">in </w:t>
      </w:r>
      <w:r w:rsidR="002C3224" w:rsidRPr="002C3224">
        <w:rPr>
          <w:rFonts w:ascii="Times New Roman" w:hAnsi="Times New Roman"/>
          <w:b/>
          <w:color w:val="000000"/>
          <w:kern w:val="0"/>
          <w:sz w:val="16"/>
          <w:szCs w:val="16"/>
        </w:rPr>
        <w:t>C</w:t>
      </w:r>
      <w:r w:rsidR="009F5A8C">
        <w:rPr>
          <w:rFonts w:ascii="Times New Roman" w:hAnsi="Times New Roman"/>
          <w:color w:val="000000"/>
          <w:kern w:val="0"/>
          <w:sz w:val="16"/>
          <w:szCs w:val="16"/>
        </w:rPr>
        <w:t>-</w:t>
      </w:r>
      <w:r w:rsidR="009F5A8C">
        <w:rPr>
          <w:rFonts w:ascii="Times New Roman" w:hAnsi="Times New Roman" w:hint="eastAsia"/>
          <w:b/>
          <w:color w:val="000000"/>
          <w:kern w:val="0"/>
          <w:sz w:val="16"/>
          <w:szCs w:val="16"/>
        </w:rPr>
        <w:t>E</w:t>
      </w:r>
      <w:r w:rsidR="002C3224">
        <w:rPr>
          <w:rFonts w:ascii="Times New Roman" w:hAnsi="Times New Roman"/>
          <w:color w:val="000000"/>
          <w:kern w:val="0"/>
          <w:sz w:val="16"/>
          <w:szCs w:val="16"/>
        </w:rPr>
        <w:t xml:space="preserve"> were </w:t>
      </w:r>
      <w:r w:rsidR="00474D5B">
        <w:rPr>
          <w:rFonts w:ascii="Times New Roman" w:hAnsi="Times New Roman"/>
          <w:color w:val="000000"/>
          <w:kern w:val="0"/>
          <w:sz w:val="16"/>
          <w:szCs w:val="16"/>
        </w:rPr>
        <w:t xml:space="preserve">analyzed by Student’s </w:t>
      </w:r>
      <w:r w:rsidR="00474D5B">
        <w:rPr>
          <w:rFonts w:ascii="Times New Roman" w:hAnsi="Times New Roman"/>
          <w:i/>
          <w:color w:val="000000"/>
          <w:kern w:val="0"/>
          <w:sz w:val="16"/>
          <w:szCs w:val="16"/>
        </w:rPr>
        <w:t>t</w:t>
      </w:r>
      <w:r w:rsidR="00474D5B">
        <w:rPr>
          <w:rFonts w:ascii="Times New Roman" w:hAnsi="Times New Roman"/>
          <w:color w:val="000000"/>
          <w:kern w:val="0"/>
          <w:sz w:val="16"/>
          <w:szCs w:val="16"/>
        </w:rPr>
        <w:t>-test.</w:t>
      </w:r>
      <w:r w:rsidR="002C3224">
        <w:rPr>
          <w:rFonts w:ascii="Times New Roman" w:hAnsi="Times New Roman"/>
          <w:color w:val="000000"/>
          <w:kern w:val="0"/>
          <w:sz w:val="16"/>
          <w:szCs w:val="16"/>
        </w:rPr>
        <w:t xml:space="preserve"> Data in </w:t>
      </w:r>
      <w:r w:rsidR="002C3224">
        <w:rPr>
          <w:rFonts w:ascii="Times New Roman" w:hAnsi="Times New Roman"/>
          <w:b/>
          <w:color w:val="000000"/>
          <w:kern w:val="0"/>
          <w:sz w:val="16"/>
          <w:szCs w:val="16"/>
        </w:rPr>
        <w:t>F</w:t>
      </w:r>
      <w:r w:rsidR="002C3224">
        <w:rPr>
          <w:rFonts w:ascii="Times New Roman" w:hAnsi="Times New Roman"/>
          <w:color w:val="000000"/>
          <w:kern w:val="0"/>
          <w:sz w:val="16"/>
          <w:szCs w:val="16"/>
        </w:rPr>
        <w:t xml:space="preserve"> were analyzed by </w:t>
      </w:r>
      <w:r w:rsidR="009F5A8C">
        <w:rPr>
          <w:rFonts w:ascii="Times New Roman" w:hAnsi="Times New Roman"/>
          <w:color w:val="000000"/>
          <w:kern w:val="0"/>
          <w:sz w:val="16"/>
          <w:szCs w:val="16"/>
        </w:rPr>
        <w:t xml:space="preserve">the Two-way </w:t>
      </w:r>
      <w:r w:rsidR="002C3224">
        <w:rPr>
          <w:rFonts w:ascii="Times New Roman" w:hAnsi="Times New Roman"/>
          <w:color w:val="000000"/>
          <w:kern w:val="0"/>
          <w:sz w:val="16"/>
          <w:szCs w:val="16"/>
        </w:rPr>
        <w:t>ANOVA with Bonferroni’s post hoc test</w:t>
      </w:r>
      <w:r w:rsidR="002C3224">
        <w:rPr>
          <w:rFonts w:ascii="Times New Roman" w:hAnsi="Times New Roman"/>
          <w:kern w:val="0"/>
          <w:sz w:val="16"/>
          <w:szCs w:val="16"/>
        </w:rPr>
        <w:t>.</w:t>
      </w:r>
    </w:p>
    <w:p w14:paraId="04E4D276" w14:textId="77777777" w:rsidR="00447CCB" w:rsidRDefault="00447CCB" w:rsidP="00447CCB">
      <w:pPr>
        <w:rPr>
          <w:rFonts w:ascii="Times New Roman" w:hAnsi="Times New Roman"/>
          <w:kern w:val="0"/>
          <w:sz w:val="16"/>
          <w:szCs w:val="16"/>
        </w:rPr>
      </w:pPr>
    </w:p>
    <w:p w14:paraId="4B5F918F" w14:textId="4CFC44B6" w:rsidR="00474D5B" w:rsidRDefault="00447CCB" w:rsidP="00447CCB">
      <w:pPr>
        <w:rPr>
          <w:rFonts w:ascii="Times New Roman" w:hAnsi="Times New Roman"/>
        </w:rPr>
      </w:pPr>
      <w:r>
        <w:rPr>
          <w:rFonts w:ascii="Times New Roman" w:hAnsi="Times New Roman"/>
          <w:noProof/>
        </w:rPr>
        <w:lastRenderedPageBreak/>
        <w:pict w14:anchorId="08132990">
          <v:shape id="_x0000_i1027" type="#_x0000_t75" style="width:415pt;height:305pt">
            <v:imagedata r:id="rId13" o:title="SI-Figure_3_20210516"/>
          </v:shape>
        </w:pict>
      </w:r>
    </w:p>
    <w:p w14:paraId="1CFC1957" w14:textId="77777777" w:rsidR="00447CCB" w:rsidRDefault="00136C7A" w:rsidP="00447CCB">
      <w:pPr>
        <w:rPr>
          <w:rFonts w:ascii="Times New Roman" w:hAnsi="Times New Roman"/>
          <w:color w:val="000000"/>
          <w:kern w:val="0"/>
          <w:sz w:val="16"/>
          <w:szCs w:val="16"/>
        </w:rPr>
      </w:pPr>
      <w:r w:rsidRPr="00136C7A">
        <w:rPr>
          <w:rFonts w:ascii="Times New Roman" w:hAnsi="Times New Roman"/>
          <w:b/>
          <w:sz w:val="16"/>
          <w:szCs w:val="16"/>
        </w:rPr>
        <w:t>Supplementary</w:t>
      </w:r>
      <w:r w:rsidR="00917AE6" w:rsidRPr="00917AE6">
        <w:rPr>
          <w:rFonts w:ascii="Times New Roman" w:hAnsi="Times New Roman"/>
          <w:b/>
          <w:sz w:val="16"/>
          <w:szCs w:val="16"/>
        </w:rPr>
        <w:t xml:space="preserve"> Fig. </w:t>
      </w:r>
      <w:r w:rsidR="00474D5B">
        <w:rPr>
          <w:rFonts w:ascii="Times New Roman" w:hAnsi="Times New Roman"/>
          <w:b/>
          <w:color w:val="000000"/>
          <w:kern w:val="0"/>
          <w:sz w:val="16"/>
          <w:szCs w:val="16"/>
        </w:rPr>
        <w:t>3.</w:t>
      </w:r>
      <w:r w:rsidR="00474D5B">
        <w:rPr>
          <w:rFonts w:ascii="Times New Roman" w:hAnsi="Times New Roman"/>
          <w:color w:val="000000"/>
          <w:kern w:val="0"/>
          <w:sz w:val="16"/>
          <w:szCs w:val="16"/>
        </w:rPr>
        <w:t xml:space="preserve"> </w:t>
      </w:r>
      <w:r w:rsidR="00474D5B">
        <w:rPr>
          <w:rFonts w:ascii="Times New Roman" w:hAnsi="Times New Roman"/>
          <w:b/>
          <w:color w:val="000000"/>
          <w:sz w:val="16"/>
          <w:szCs w:val="16"/>
        </w:rPr>
        <w:t xml:space="preserve">Synapses and Aβ metabolism related proteins in the frontal cortex of 3-month-old 5xFAD mice after neutralization of IL-35. </w:t>
      </w:r>
      <w:r w:rsidR="00474D5B">
        <w:rPr>
          <w:rFonts w:ascii="Times New Roman" w:hAnsi="Times New Roman"/>
          <w:color w:val="000000"/>
          <w:sz w:val="16"/>
          <w:szCs w:val="16"/>
        </w:rPr>
        <w:t>Representative bands and quantification of western bl</w:t>
      </w:r>
      <w:r w:rsidR="00474D5B">
        <w:rPr>
          <w:rFonts w:ascii="Times New Roman" w:hAnsi="Times New Roman"/>
          <w:sz w:val="16"/>
          <w:szCs w:val="16"/>
        </w:rPr>
        <w:t>ot for interleukin-1β (IL-1β), interleukin-6 (IL-6) and tumor necrosis factor-</w:t>
      </w:r>
      <w:r w:rsidR="00474D5B">
        <w:rPr>
          <w:rFonts w:ascii="Times New Roman" w:hAnsi="Times New Roman"/>
          <w:sz w:val="16"/>
          <w:szCs w:val="16"/>
        </w:rPr>
        <w:sym w:font="Symbol" w:char="F061"/>
      </w:r>
      <w:r w:rsidR="00474D5B">
        <w:rPr>
          <w:rFonts w:ascii="Times New Roman" w:hAnsi="Times New Roman"/>
          <w:sz w:val="16"/>
          <w:szCs w:val="16"/>
        </w:rPr>
        <w:t xml:space="preserve"> (TNF-</w:t>
      </w:r>
      <w:r w:rsidR="00474D5B">
        <w:rPr>
          <w:rFonts w:ascii="Times New Roman" w:hAnsi="Times New Roman"/>
          <w:sz w:val="16"/>
          <w:szCs w:val="16"/>
        </w:rPr>
        <w:sym w:font="Symbol" w:char="F061"/>
      </w:r>
      <w:r w:rsidR="00474D5B">
        <w:rPr>
          <w:rFonts w:ascii="Times New Roman" w:hAnsi="Times New Roman"/>
          <w:sz w:val="16"/>
          <w:szCs w:val="16"/>
        </w:rPr>
        <w:t xml:space="preserve">) </w:t>
      </w:r>
      <w:r w:rsidR="00474D5B">
        <w:rPr>
          <w:rFonts w:ascii="Times New Roman" w:hAnsi="Times New Roman"/>
          <w:kern w:val="0"/>
          <w:sz w:val="16"/>
          <w:szCs w:val="16"/>
        </w:rPr>
        <w:t>(</w:t>
      </w:r>
      <w:r w:rsidR="00474D5B">
        <w:rPr>
          <w:rFonts w:ascii="Times New Roman" w:hAnsi="Times New Roman"/>
          <w:b/>
          <w:kern w:val="0"/>
          <w:sz w:val="16"/>
          <w:szCs w:val="16"/>
        </w:rPr>
        <w:t>A</w:t>
      </w:r>
      <w:r w:rsidR="00474D5B">
        <w:rPr>
          <w:rFonts w:ascii="Times New Roman" w:hAnsi="Times New Roman"/>
          <w:kern w:val="0"/>
          <w:sz w:val="16"/>
          <w:szCs w:val="16"/>
        </w:rPr>
        <w:t>), synaptophysin (SYP), synapsin (SYN) and postsynaptic density 95 (PSD95)</w:t>
      </w:r>
      <w:r w:rsidR="00474D5B">
        <w:rPr>
          <w:rFonts w:ascii="Times New Roman" w:hAnsi="Times New Roman"/>
          <w:sz w:val="16"/>
          <w:szCs w:val="16"/>
        </w:rPr>
        <w:t xml:space="preserve"> </w:t>
      </w:r>
      <w:r w:rsidR="00474D5B">
        <w:rPr>
          <w:rFonts w:ascii="Times New Roman" w:hAnsi="Times New Roman"/>
          <w:kern w:val="0"/>
          <w:sz w:val="16"/>
          <w:szCs w:val="16"/>
        </w:rPr>
        <w:t>(</w:t>
      </w:r>
      <w:r w:rsidR="00474D5B">
        <w:rPr>
          <w:rFonts w:ascii="Times New Roman" w:hAnsi="Times New Roman"/>
          <w:b/>
          <w:kern w:val="0"/>
          <w:sz w:val="16"/>
          <w:szCs w:val="16"/>
        </w:rPr>
        <w:t>B</w:t>
      </w:r>
      <w:r w:rsidR="00474D5B">
        <w:rPr>
          <w:rFonts w:ascii="Times New Roman" w:hAnsi="Times New Roman"/>
          <w:kern w:val="0"/>
          <w:sz w:val="16"/>
          <w:szCs w:val="16"/>
        </w:rPr>
        <w:t>),</w:t>
      </w:r>
      <w:r w:rsidR="00474D5B">
        <w:rPr>
          <w:rFonts w:ascii="Times New Roman" w:hAnsi="Times New Roman"/>
          <w:sz w:val="16"/>
          <w:szCs w:val="16"/>
        </w:rPr>
        <w:t xml:space="preserve"> A disintegrin and metalloproteinase domain-containing protein 10 (ADAM10) and presenilin-1 (PS1), neprilysin (NEP), insulin-degrading enzyme (IDE) and low-density lipoprotein receptor-related protein 1 (LRP1) </w:t>
      </w:r>
      <w:r w:rsidR="00474D5B">
        <w:rPr>
          <w:rFonts w:ascii="Times New Roman" w:hAnsi="Times New Roman"/>
          <w:kern w:val="0"/>
          <w:sz w:val="16"/>
          <w:szCs w:val="16"/>
        </w:rPr>
        <w:t>(</w:t>
      </w:r>
      <w:r w:rsidR="00474D5B">
        <w:rPr>
          <w:rFonts w:ascii="Times New Roman" w:hAnsi="Times New Roman"/>
          <w:b/>
          <w:kern w:val="0"/>
          <w:sz w:val="16"/>
          <w:szCs w:val="16"/>
        </w:rPr>
        <w:t>C</w:t>
      </w:r>
      <w:r w:rsidR="00474D5B">
        <w:rPr>
          <w:rFonts w:ascii="Times New Roman" w:hAnsi="Times New Roman"/>
          <w:kern w:val="0"/>
          <w:sz w:val="16"/>
          <w:szCs w:val="16"/>
        </w:rPr>
        <w:t>)</w:t>
      </w:r>
      <w:r w:rsidR="00474D5B">
        <w:rPr>
          <w:rFonts w:ascii="Times New Roman" w:hAnsi="Times New Roman"/>
          <w:sz w:val="16"/>
          <w:szCs w:val="16"/>
        </w:rPr>
        <w:t xml:space="preserve"> </w:t>
      </w:r>
      <w:r w:rsidR="00474D5B">
        <w:rPr>
          <w:rFonts w:ascii="Times New Roman" w:hAnsi="Times New Roman"/>
          <w:kern w:val="0"/>
          <w:sz w:val="16"/>
          <w:szCs w:val="16"/>
        </w:rPr>
        <w:t>in</w:t>
      </w:r>
      <w:r w:rsidR="00474D5B">
        <w:rPr>
          <w:rFonts w:ascii="Times New Roman" w:hAnsi="Times New Roman"/>
          <w:color w:val="000000"/>
          <w:kern w:val="0"/>
          <w:sz w:val="16"/>
          <w:szCs w:val="16"/>
        </w:rPr>
        <w:t xml:space="preserve"> the frontal cortex of 5xFAD mice after neutralization of IL-35, respectively. </w:t>
      </w:r>
      <w:r w:rsidR="00474D5B">
        <w:rPr>
          <w:rFonts w:ascii="Times New Roman" w:hAnsi="Times New Roman"/>
          <w:color w:val="000000"/>
          <w:sz w:val="16"/>
          <w:szCs w:val="16"/>
        </w:rPr>
        <w:t xml:space="preserve">n = 5 per group. </w:t>
      </w:r>
      <w:r w:rsidR="00474D5B">
        <w:rPr>
          <w:rFonts w:ascii="Times New Roman" w:hAnsi="Times New Roman"/>
          <w:sz w:val="16"/>
          <w:szCs w:val="16"/>
        </w:rPr>
        <w:t>*</w:t>
      </w:r>
      <w:r w:rsidR="00474D5B">
        <w:rPr>
          <w:rFonts w:ascii="Times New Roman" w:hAnsi="Times New Roman"/>
          <w:i/>
          <w:sz w:val="16"/>
          <w:szCs w:val="16"/>
        </w:rPr>
        <w:t>P</w:t>
      </w:r>
      <w:r w:rsidR="00474D5B">
        <w:rPr>
          <w:rFonts w:ascii="Times New Roman" w:hAnsi="Times New Roman"/>
          <w:sz w:val="16"/>
          <w:szCs w:val="16"/>
        </w:rPr>
        <w:t xml:space="preserve"> &lt; 0.05, **</w:t>
      </w:r>
      <w:r w:rsidR="00474D5B">
        <w:rPr>
          <w:rFonts w:ascii="Times New Roman" w:hAnsi="Times New Roman"/>
          <w:i/>
          <w:sz w:val="16"/>
          <w:szCs w:val="16"/>
        </w:rPr>
        <w:t>P</w:t>
      </w:r>
      <w:r w:rsidR="00474D5B">
        <w:rPr>
          <w:rFonts w:ascii="Times New Roman" w:hAnsi="Times New Roman"/>
          <w:sz w:val="16"/>
          <w:szCs w:val="16"/>
        </w:rPr>
        <w:t xml:space="preserve"> &lt; 0.01, ***</w:t>
      </w:r>
      <w:r w:rsidR="00474D5B">
        <w:rPr>
          <w:rFonts w:ascii="Times New Roman" w:hAnsi="Times New Roman"/>
          <w:i/>
          <w:sz w:val="16"/>
          <w:szCs w:val="16"/>
        </w:rPr>
        <w:t>P</w:t>
      </w:r>
      <w:r w:rsidR="00474D5B">
        <w:rPr>
          <w:rFonts w:ascii="Times New Roman" w:hAnsi="Times New Roman"/>
          <w:sz w:val="16"/>
          <w:szCs w:val="16"/>
        </w:rPr>
        <w:t xml:space="preserve"> &lt; 0.001, ****</w:t>
      </w:r>
      <w:r w:rsidR="00474D5B">
        <w:rPr>
          <w:rFonts w:ascii="Times New Roman" w:hAnsi="Times New Roman"/>
          <w:i/>
          <w:sz w:val="16"/>
          <w:szCs w:val="16"/>
        </w:rPr>
        <w:t>P</w:t>
      </w:r>
      <w:r w:rsidR="00474D5B">
        <w:rPr>
          <w:rFonts w:ascii="Times New Roman" w:hAnsi="Times New Roman"/>
          <w:sz w:val="16"/>
          <w:szCs w:val="16"/>
        </w:rPr>
        <w:t xml:space="preserve"> &lt; 0.0001. </w:t>
      </w:r>
      <w:r w:rsidR="00474D5B">
        <w:rPr>
          <w:rFonts w:ascii="Times New Roman" w:hAnsi="Times New Roman"/>
          <w:color w:val="000000"/>
          <w:kern w:val="0"/>
          <w:sz w:val="16"/>
          <w:szCs w:val="16"/>
        </w:rPr>
        <w:t xml:space="preserve">Data analyzed by </w:t>
      </w:r>
      <w:r w:rsidR="001D18C6">
        <w:rPr>
          <w:rFonts w:ascii="Times New Roman" w:hAnsi="Times New Roman"/>
          <w:color w:val="000000"/>
          <w:kern w:val="0"/>
          <w:sz w:val="16"/>
          <w:szCs w:val="16"/>
        </w:rPr>
        <w:t xml:space="preserve">the Two-way </w:t>
      </w:r>
      <w:r w:rsidR="00474D5B">
        <w:rPr>
          <w:rFonts w:ascii="Times New Roman" w:hAnsi="Times New Roman"/>
          <w:color w:val="000000"/>
          <w:kern w:val="0"/>
          <w:sz w:val="16"/>
          <w:szCs w:val="16"/>
        </w:rPr>
        <w:t>ANOVA with Bonferroni’s post hoc test.</w:t>
      </w:r>
    </w:p>
    <w:p w14:paraId="4F0CC815" w14:textId="77777777" w:rsidR="00447CCB" w:rsidRDefault="00447CCB" w:rsidP="00447CCB">
      <w:pPr>
        <w:rPr>
          <w:rFonts w:ascii="Times New Roman" w:hAnsi="Times New Roman"/>
          <w:color w:val="000000"/>
          <w:kern w:val="0"/>
          <w:sz w:val="16"/>
          <w:szCs w:val="16"/>
        </w:rPr>
      </w:pPr>
    </w:p>
    <w:p w14:paraId="72790A3C" w14:textId="0E64E0B2" w:rsidR="00474D5B" w:rsidRDefault="00447CCB" w:rsidP="00447CCB">
      <w:pPr>
        <w:rPr>
          <w:rFonts w:ascii="Times New Roman" w:hAnsi="Times New Roman"/>
        </w:rPr>
      </w:pPr>
      <w:r>
        <w:rPr>
          <w:rFonts w:ascii="Times New Roman" w:hAnsi="Times New Roman"/>
          <w:noProof/>
          <w:sz w:val="18"/>
          <w:szCs w:val="18"/>
        </w:rPr>
        <w:pict w14:anchorId="622E26F1">
          <v:shape id="_x0000_i1028" type="#_x0000_t75" style="width:415pt;height:202.4pt">
            <v:imagedata r:id="rId14" o:title="SI-Figure_4_20210523"/>
          </v:shape>
        </w:pict>
      </w:r>
    </w:p>
    <w:p w14:paraId="0024D535" w14:textId="77777777" w:rsidR="00447CCB" w:rsidRDefault="00136C7A" w:rsidP="00447CCB">
      <w:pPr>
        <w:tabs>
          <w:tab w:val="left" w:pos="6361"/>
        </w:tabs>
        <w:rPr>
          <w:rFonts w:ascii="Times New Roman" w:hAnsi="Times New Roman"/>
          <w:color w:val="000000"/>
          <w:kern w:val="0"/>
          <w:sz w:val="16"/>
          <w:szCs w:val="16"/>
        </w:rPr>
      </w:pPr>
      <w:r w:rsidRPr="00136C7A">
        <w:rPr>
          <w:rFonts w:ascii="Times New Roman" w:hAnsi="Times New Roman"/>
          <w:b/>
          <w:sz w:val="16"/>
          <w:szCs w:val="16"/>
        </w:rPr>
        <w:t>Supplementary</w:t>
      </w:r>
      <w:r w:rsidR="00917AE6" w:rsidRPr="00917AE6">
        <w:rPr>
          <w:rFonts w:ascii="Times New Roman" w:hAnsi="Times New Roman"/>
          <w:b/>
          <w:sz w:val="16"/>
          <w:szCs w:val="16"/>
        </w:rPr>
        <w:t xml:space="preserve"> Fig. </w:t>
      </w:r>
      <w:r w:rsidR="00474D5B">
        <w:rPr>
          <w:rFonts w:ascii="Times New Roman" w:hAnsi="Times New Roman"/>
          <w:b/>
          <w:color w:val="000000"/>
          <w:kern w:val="0"/>
          <w:sz w:val="16"/>
          <w:szCs w:val="16"/>
        </w:rPr>
        <w:t>4.</w:t>
      </w:r>
      <w:r w:rsidR="00474D5B">
        <w:rPr>
          <w:rFonts w:ascii="Times New Roman" w:hAnsi="Times New Roman"/>
          <w:color w:val="000000"/>
          <w:kern w:val="0"/>
          <w:sz w:val="16"/>
          <w:szCs w:val="16"/>
        </w:rPr>
        <w:t xml:space="preserve"> </w:t>
      </w:r>
      <w:r w:rsidR="00474D5B">
        <w:rPr>
          <w:rFonts w:ascii="Times New Roman" w:hAnsi="Times New Roman"/>
          <w:b/>
          <w:color w:val="000000"/>
          <w:sz w:val="16"/>
          <w:szCs w:val="16"/>
        </w:rPr>
        <w:t xml:space="preserve">Expression levels of Aβ production and degradation related proteins in the frontal cortex of 3-month-old 5xFAD mice </w:t>
      </w:r>
      <w:r w:rsidR="00474D5B">
        <w:rPr>
          <w:rFonts w:ascii="Times New Roman" w:hAnsi="Times New Roman"/>
          <w:b/>
          <w:color w:val="000000"/>
          <w:kern w:val="0"/>
          <w:sz w:val="16"/>
          <w:szCs w:val="16"/>
        </w:rPr>
        <w:t xml:space="preserve">and </w:t>
      </w:r>
      <w:r w:rsidR="00474D5B">
        <w:rPr>
          <w:rFonts w:ascii="Times New Roman" w:hAnsi="Times New Roman"/>
          <w:b/>
          <w:i/>
          <w:color w:val="000000"/>
          <w:kern w:val="0"/>
          <w:sz w:val="16"/>
          <w:szCs w:val="16"/>
        </w:rPr>
        <w:t>μMT</w:t>
      </w:r>
      <w:r w:rsidR="00474D5B">
        <w:rPr>
          <w:rFonts w:ascii="Times New Roman" w:hAnsi="Times New Roman"/>
          <w:b/>
          <w:i/>
          <w:color w:val="000000"/>
          <w:kern w:val="0"/>
          <w:sz w:val="16"/>
          <w:szCs w:val="16"/>
          <w:vertAlign w:val="superscript"/>
        </w:rPr>
        <w:t>-/-</w:t>
      </w:r>
      <w:r w:rsidR="00474D5B">
        <w:rPr>
          <w:rFonts w:ascii="Times New Roman" w:hAnsi="Times New Roman"/>
          <w:b/>
          <w:i/>
          <w:color w:val="000000"/>
          <w:kern w:val="0"/>
          <w:sz w:val="16"/>
          <w:szCs w:val="16"/>
        </w:rPr>
        <w:t>/</w:t>
      </w:r>
      <w:r w:rsidR="00474D5B">
        <w:rPr>
          <w:rFonts w:ascii="Times New Roman" w:hAnsi="Times New Roman"/>
          <w:b/>
          <w:color w:val="000000"/>
          <w:kern w:val="0"/>
          <w:sz w:val="16"/>
          <w:szCs w:val="16"/>
        </w:rPr>
        <w:t>5xFAD mice</w:t>
      </w:r>
      <w:r w:rsidR="00474D5B">
        <w:rPr>
          <w:rFonts w:ascii="Times New Roman" w:hAnsi="Times New Roman"/>
          <w:b/>
          <w:color w:val="000000"/>
          <w:sz w:val="16"/>
          <w:szCs w:val="16"/>
        </w:rPr>
        <w:t xml:space="preserve">. </w:t>
      </w:r>
      <w:r w:rsidR="00474D5B">
        <w:rPr>
          <w:rFonts w:ascii="Times New Roman" w:hAnsi="Times New Roman"/>
          <w:color w:val="000000"/>
          <w:sz w:val="16"/>
          <w:szCs w:val="16"/>
        </w:rPr>
        <w:t>Representative bands and quantification of Western blot</w:t>
      </w:r>
      <w:r w:rsidR="00474D5B">
        <w:rPr>
          <w:rFonts w:ascii="Times New Roman" w:hAnsi="Times New Roman"/>
          <w:sz w:val="16"/>
          <w:szCs w:val="16"/>
        </w:rPr>
        <w:t xml:space="preserve"> for A disintegrin and metalloproteinase domain-containing protein 10 (ADAM10), </w:t>
      </w:r>
      <w:r w:rsidR="00474D5B" w:rsidRPr="004B5668">
        <w:rPr>
          <w:rFonts w:ascii="Times New Roman" w:hAnsi="Times New Roman"/>
          <w:sz w:val="16"/>
          <w:szCs w:val="16"/>
        </w:rPr>
        <w:t>β</w:t>
      </w:r>
      <w:r w:rsidR="00474D5B">
        <w:rPr>
          <w:rFonts w:ascii="Times New Roman" w:hAnsi="Times New Roman"/>
          <w:sz w:val="16"/>
          <w:szCs w:val="16"/>
        </w:rPr>
        <w:t xml:space="preserve">-site APP-cleaving enzyme 1 (BACE1), presenilin-1 (PS1), </w:t>
      </w:r>
      <w:r w:rsidR="00474D5B">
        <w:rPr>
          <w:rFonts w:ascii="Times New Roman" w:hAnsi="Times New Roman"/>
          <w:sz w:val="16"/>
          <w:szCs w:val="16"/>
        </w:rPr>
        <w:lastRenderedPageBreak/>
        <w:t>neprilysin (NEP), insulin-degrading enzyme (IDE) and low-density lipoprotein receptor-related protein 1 (LRP1)</w:t>
      </w:r>
      <w:r w:rsidR="001D18C6" w:rsidRPr="001D18C6">
        <w:rPr>
          <w:rFonts w:ascii="Times New Roman" w:hAnsi="Times New Roman"/>
          <w:color w:val="000000"/>
          <w:kern w:val="0"/>
          <w:sz w:val="16"/>
          <w:szCs w:val="16"/>
        </w:rPr>
        <w:t xml:space="preserve"> </w:t>
      </w:r>
      <w:r w:rsidR="001D18C6">
        <w:rPr>
          <w:rFonts w:ascii="Times New Roman" w:hAnsi="Times New Roman"/>
          <w:color w:val="000000"/>
          <w:kern w:val="0"/>
          <w:sz w:val="16"/>
          <w:szCs w:val="16"/>
        </w:rPr>
        <w:t>(</w:t>
      </w:r>
      <w:r w:rsidR="001D18C6" w:rsidRPr="001D18C6">
        <w:rPr>
          <w:rFonts w:ascii="Times New Roman" w:hAnsi="Times New Roman"/>
          <w:b/>
          <w:color w:val="000000"/>
          <w:kern w:val="0"/>
          <w:sz w:val="16"/>
          <w:szCs w:val="16"/>
        </w:rPr>
        <w:t>A</w:t>
      </w:r>
      <w:r w:rsidR="001D18C6">
        <w:rPr>
          <w:rFonts w:ascii="Times New Roman" w:hAnsi="Times New Roman"/>
          <w:color w:val="000000"/>
          <w:kern w:val="0"/>
          <w:sz w:val="16"/>
          <w:szCs w:val="16"/>
        </w:rPr>
        <w:t xml:space="preserve">), and </w:t>
      </w:r>
      <w:r w:rsidR="001D18C6">
        <w:rPr>
          <w:rFonts w:ascii="Times New Roman" w:hAnsi="Times New Roman"/>
          <w:sz w:val="16"/>
          <w:szCs w:val="16"/>
        </w:rPr>
        <w:t xml:space="preserve">Aβ precursor protein (APP), soluble amyloid precursor protein β (sAPPβ), and C-terminal fragment β (CTF-β) </w:t>
      </w:r>
      <w:r w:rsidR="001D18C6">
        <w:rPr>
          <w:rFonts w:ascii="Times New Roman" w:hAnsi="Times New Roman"/>
          <w:kern w:val="0"/>
          <w:sz w:val="16"/>
          <w:szCs w:val="16"/>
        </w:rPr>
        <w:t>(</w:t>
      </w:r>
      <w:r w:rsidR="001D18C6">
        <w:rPr>
          <w:rFonts w:ascii="Times New Roman" w:hAnsi="Times New Roman"/>
          <w:b/>
          <w:kern w:val="0"/>
          <w:sz w:val="16"/>
          <w:szCs w:val="16"/>
        </w:rPr>
        <w:t>B</w:t>
      </w:r>
      <w:r w:rsidR="001D18C6">
        <w:rPr>
          <w:rFonts w:ascii="Times New Roman" w:hAnsi="Times New Roman"/>
          <w:kern w:val="0"/>
          <w:sz w:val="16"/>
          <w:szCs w:val="16"/>
        </w:rPr>
        <w:t>)</w:t>
      </w:r>
      <w:r w:rsidR="00474D5B">
        <w:rPr>
          <w:rFonts w:ascii="Times New Roman" w:hAnsi="Times New Roman"/>
          <w:sz w:val="16"/>
          <w:szCs w:val="16"/>
        </w:rPr>
        <w:t xml:space="preserve"> </w:t>
      </w:r>
      <w:r w:rsidR="00474D5B">
        <w:rPr>
          <w:rFonts w:ascii="Times New Roman" w:hAnsi="Times New Roman"/>
          <w:kern w:val="0"/>
          <w:sz w:val="16"/>
          <w:szCs w:val="16"/>
        </w:rPr>
        <w:t xml:space="preserve">in the frontal cortex of WT, 5xFAD, </w:t>
      </w:r>
      <w:r w:rsidR="00474D5B">
        <w:rPr>
          <w:rFonts w:ascii="Times New Roman" w:hAnsi="Times New Roman"/>
          <w:i/>
          <w:kern w:val="0"/>
          <w:sz w:val="16"/>
          <w:szCs w:val="16"/>
        </w:rPr>
        <w:t>μMT</w:t>
      </w:r>
      <w:r w:rsidR="00474D5B">
        <w:rPr>
          <w:rFonts w:ascii="Times New Roman" w:hAnsi="Times New Roman"/>
          <w:i/>
          <w:kern w:val="0"/>
          <w:sz w:val="16"/>
          <w:szCs w:val="16"/>
          <w:vertAlign w:val="superscript"/>
        </w:rPr>
        <w:t>-/-</w:t>
      </w:r>
      <w:r w:rsidR="00474D5B">
        <w:rPr>
          <w:rFonts w:ascii="Times New Roman" w:hAnsi="Times New Roman"/>
          <w:kern w:val="0"/>
          <w:sz w:val="16"/>
          <w:szCs w:val="16"/>
        </w:rPr>
        <w:t xml:space="preserve"> and </w:t>
      </w:r>
      <w:r w:rsidR="00474D5B">
        <w:rPr>
          <w:rFonts w:ascii="Times New Roman" w:hAnsi="Times New Roman"/>
          <w:i/>
          <w:kern w:val="0"/>
          <w:sz w:val="16"/>
          <w:szCs w:val="16"/>
        </w:rPr>
        <w:t>μMT</w:t>
      </w:r>
      <w:r w:rsidR="00474D5B">
        <w:rPr>
          <w:rFonts w:ascii="Times New Roman" w:hAnsi="Times New Roman"/>
          <w:i/>
          <w:kern w:val="0"/>
          <w:sz w:val="16"/>
          <w:szCs w:val="16"/>
          <w:vertAlign w:val="superscript"/>
        </w:rPr>
        <w:t>-/-</w:t>
      </w:r>
      <w:r w:rsidR="00474D5B">
        <w:rPr>
          <w:rFonts w:ascii="Times New Roman" w:hAnsi="Times New Roman"/>
          <w:i/>
          <w:kern w:val="0"/>
          <w:sz w:val="16"/>
          <w:szCs w:val="16"/>
        </w:rPr>
        <w:t>/</w:t>
      </w:r>
      <w:r w:rsidR="00474D5B">
        <w:rPr>
          <w:rFonts w:ascii="Times New Roman" w:hAnsi="Times New Roman"/>
          <w:kern w:val="0"/>
          <w:sz w:val="16"/>
          <w:szCs w:val="16"/>
        </w:rPr>
        <w:t>5xFAD mice.</w:t>
      </w:r>
      <w:r w:rsidR="00474D5B">
        <w:rPr>
          <w:rFonts w:ascii="Times New Roman" w:hAnsi="Times New Roman"/>
          <w:b/>
          <w:sz w:val="16"/>
          <w:szCs w:val="16"/>
        </w:rPr>
        <w:t xml:space="preserve"> </w:t>
      </w:r>
      <w:r w:rsidR="00474D5B">
        <w:rPr>
          <w:rFonts w:ascii="Times New Roman" w:hAnsi="Times New Roman"/>
          <w:sz w:val="16"/>
          <w:szCs w:val="16"/>
        </w:rPr>
        <w:t>n = 5 per group.</w:t>
      </w:r>
      <w:r w:rsidR="00474D5B">
        <w:rPr>
          <w:rFonts w:ascii="Times New Roman" w:hAnsi="Times New Roman"/>
          <w:color w:val="000000"/>
          <w:kern w:val="0"/>
          <w:sz w:val="16"/>
          <w:szCs w:val="16"/>
        </w:rPr>
        <w:t xml:space="preserve"> </w:t>
      </w:r>
      <w:r w:rsidR="00474D5B">
        <w:rPr>
          <w:rFonts w:ascii="Times New Roman" w:hAnsi="Times New Roman"/>
          <w:sz w:val="16"/>
          <w:szCs w:val="16"/>
        </w:rPr>
        <w:t>*</w:t>
      </w:r>
      <w:r w:rsidR="00474D5B">
        <w:rPr>
          <w:rFonts w:ascii="Times New Roman" w:hAnsi="Times New Roman"/>
          <w:i/>
          <w:sz w:val="16"/>
          <w:szCs w:val="16"/>
        </w:rPr>
        <w:t>P</w:t>
      </w:r>
      <w:r w:rsidR="00474D5B">
        <w:rPr>
          <w:rFonts w:ascii="Times New Roman" w:hAnsi="Times New Roman"/>
          <w:sz w:val="16"/>
          <w:szCs w:val="16"/>
        </w:rPr>
        <w:t xml:space="preserve"> &lt; 0.05, **</w:t>
      </w:r>
      <w:r w:rsidR="00474D5B">
        <w:rPr>
          <w:rFonts w:ascii="Times New Roman" w:hAnsi="Times New Roman"/>
          <w:i/>
          <w:sz w:val="16"/>
          <w:szCs w:val="16"/>
        </w:rPr>
        <w:t>P</w:t>
      </w:r>
      <w:r w:rsidR="00474D5B">
        <w:rPr>
          <w:rFonts w:ascii="Times New Roman" w:hAnsi="Times New Roman"/>
          <w:sz w:val="16"/>
          <w:szCs w:val="16"/>
        </w:rPr>
        <w:t xml:space="preserve"> &lt; 0.01, ***</w:t>
      </w:r>
      <w:r w:rsidR="00474D5B">
        <w:rPr>
          <w:rFonts w:ascii="Times New Roman" w:hAnsi="Times New Roman"/>
          <w:i/>
          <w:sz w:val="16"/>
          <w:szCs w:val="16"/>
        </w:rPr>
        <w:t>P</w:t>
      </w:r>
      <w:r w:rsidR="00474D5B">
        <w:rPr>
          <w:rFonts w:ascii="Times New Roman" w:hAnsi="Times New Roman"/>
          <w:sz w:val="16"/>
          <w:szCs w:val="16"/>
        </w:rPr>
        <w:t xml:space="preserve"> &lt; 0.001, ****</w:t>
      </w:r>
      <w:r w:rsidR="00474D5B">
        <w:rPr>
          <w:rFonts w:ascii="Times New Roman" w:hAnsi="Times New Roman"/>
          <w:i/>
          <w:sz w:val="16"/>
          <w:szCs w:val="16"/>
        </w:rPr>
        <w:t>P</w:t>
      </w:r>
      <w:r w:rsidR="00474D5B">
        <w:rPr>
          <w:rFonts w:ascii="Times New Roman" w:hAnsi="Times New Roman"/>
          <w:sz w:val="16"/>
          <w:szCs w:val="16"/>
        </w:rPr>
        <w:t xml:space="preserve"> &lt; 0.0001. </w:t>
      </w:r>
      <w:r w:rsidR="00474D5B">
        <w:rPr>
          <w:rFonts w:ascii="Times New Roman" w:hAnsi="Times New Roman"/>
          <w:color w:val="000000"/>
          <w:kern w:val="0"/>
          <w:sz w:val="16"/>
          <w:szCs w:val="16"/>
        </w:rPr>
        <w:t xml:space="preserve">Data analyzed by ANOVA with Bonferroni’s post hoc test. </w:t>
      </w:r>
    </w:p>
    <w:p w14:paraId="397A9C23" w14:textId="77777777" w:rsidR="00447CCB" w:rsidRDefault="00447CCB" w:rsidP="00447CCB">
      <w:pPr>
        <w:tabs>
          <w:tab w:val="left" w:pos="6361"/>
        </w:tabs>
        <w:rPr>
          <w:rFonts w:ascii="Times New Roman" w:hAnsi="Times New Roman"/>
          <w:color w:val="000000"/>
          <w:kern w:val="0"/>
          <w:sz w:val="16"/>
          <w:szCs w:val="16"/>
        </w:rPr>
      </w:pPr>
    </w:p>
    <w:p w14:paraId="43E4574C" w14:textId="2013FA6B" w:rsidR="00474D5B" w:rsidRDefault="00447CCB" w:rsidP="00447CCB">
      <w:pPr>
        <w:tabs>
          <w:tab w:val="left" w:pos="6361"/>
        </w:tabs>
        <w:rPr>
          <w:rFonts w:ascii="Times New Roman" w:hAnsi="Times New Roman"/>
          <w:color w:val="000000"/>
          <w:kern w:val="0"/>
          <w:sz w:val="16"/>
          <w:szCs w:val="16"/>
        </w:rPr>
      </w:pPr>
      <w:r>
        <w:rPr>
          <w:rFonts w:ascii="Times New Roman" w:hAnsi="Times New Roman"/>
          <w:noProof/>
          <w:color w:val="000000"/>
          <w:kern w:val="0"/>
          <w:sz w:val="16"/>
          <w:szCs w:val="16"/>
        </w:rPr>
        <w:pict w14:anchorId="1F98DD25">
          <v:shape id="_x0000_i1029" type="#_x0000_t75" style="width:415pt;height:585.5pt">
            <v:imagedata r:id="rId15" o:title="SI-Figure_5_20210516"/>
          </v:shape>
        </w:pict>
      </w:r>
    </w:p>
    <w:p w14:paraId="691F472F" w14:textId="77777777" w:rsidR="00447CCB" w:rsidRDefault="00136C7A" w:rsidP="00447CCB">
      <w:pPr>
        <w:tabs>
          <w:tab w:val="left" w:pos="6361"/>
        </w:tabs>
        <w:rPr>
          <w:rFonts w:ascii="Times New Roman" w:hAnsi="Times New Roman"/>
          <w:color w:val="000000"/>
          <w:kern w:val="0"/>
          <w:sz w:val="16"/>
          <w:szCs w:val="16"/>
        </w:rPr>
      </w:pPr>
      <w:r w:rsidRPr="00136C7A">
        <w:rPr>
          <w:rFonts w:ascii="Times New Roman" w:hAnsi="Times New Roman"/>
          <w:b/>
          <w:sz w:val="16"/>
          <w:szCs w:val="16"/>
        </w:rPr>
        <w:t>Supplementary</w:t>
      </w:r>
      <w:r w:rsidR="00917AE6" w:rsidRPr="00917AE6">
        <w:rPr>
          <w:rFonts w:ascii="Times New Roman" w:hAnsi="Times New Roman"/>
          <w:b/>
          <w:sz w:val="16"/>
          <w:szCs w:val="16"/>
        </w:rPr>
        <w:t xml:space="preserve"> Fig. </w:t>
      </w:r>
      <w:r w:rsidR="00B22FD0">
        <w:rPr>
          <w:rFonts w:ascii="Times New Roman" w:hAnsi="Times New Roman"/>
          <w:b/>
          <w:color w:val="000000"/>
          <w:kern w:val="0"/>
          <w:sz w:val="16"/>
          <w:szCs w:val="16"/>
        </w:rPr>
        <w:t xml:space="preserve">5. </w:t>
      </w:r>
      <w:r w:rsidR="00B22FD0">
        <w:rPr>
          <w:rFonts w:ascii="Times New Roman" w:hAnsi="Times New Roman"/>
          <w:b/>
          <w:color w:val="000000"/>
          <w:sz w:val="16"/>
          <w:szCs w:val="16"/>
        </w:rPr>
        <w:t xml:space="preserve">IL-35 inhibits BACE1 expression by SOCS1 pathway. </w:t>
      </w:r>
      <w:r w:rsidR="00B22FD0">
        <w:rPr>
          <w:rFonts w:ascii="Times New Roman" w:hAnsi="Times New Roman"/>
          <w:color w:val="000000"/>
          <w:kern w:val="0"/>
          <w:sz w:val="16"/>
          <w:szCs w:val="16"/>
        </w:rPr>
        <w:t>(</w:t>
      </w:r>
      <w:r w:rsidR="00B22FD0">
        <w:rPr>
          <w:rFonts w:ascii="Times New Roman" w:hAnsi="Times New Roman"/>
          <w:b/>
          <w:color w:val="000000"/>
          <w:kern w:val="0"/>
          <w:sz w:val="16"/>
          <w:szCs w:val="16"/>
        </w:rPr>
        <w:t>A</w:t>
      </w:r>
      <w:r w:rsidR="00B22FD0">
        <w:rPr>
          <w:rFonts w:ascii="Times New Roman" w:hAnsi="Times New Roman"/>
          <w:color w:val="000000"/>
          <w:kern w:val="0"/>
          <w:sz w:val="16"/>
          <w:szCs w:val="16"/>
        </w:rPr>
        <w:t>)</w:t>
      </w:r>
      <w:r w:rsidR="00B22FD0">
        <w:rPr>
          <w:rFonts w:ascii="Times New Roman" w:hAnsi="Times New Roman"/>
          <w:color w:val="000000"/>
          <w:sz w:val="16"/>
          <w:szCs w:val="16"/>
        </w:rPr>
        <w:t xml:space="preserve"> R</w:t>
      </w:r>
      <w:r w:rsidR="00B22FD0">
        <w:rPr>
          <w:rFonts w:ascii="Times New Roman" w:hAnsi="Times New Roman"/>
          <w:color w:val="000000"/>
          <w:kern w:val="0"/>
          <w:sz w:val="16"/>
          <w:szCs w:val="16"/>
        </w:rPr>
        <w:t xml:space="preserve">epresentative images of </w:t>
      </w:r>
      <w:r w:rsidR="00B22FD0">
        <w:rPr>
          <w:rFonts w:ascii="Times New Roman" w:hAnsi="Times New Roman"/>
          <w:color w:val="000000"/>
          <w:sz w:val="16"/>
          <w:szCs w:val="16"/>
        </w:rPr>
        <w:t xml:space="preserve">IL-12RB2 or </w:t>
      </w:r>
      <w:r w:rsidR="00B22FD0">
        <w:rPr>
          <w:rFonts w:ascii="Times New Roman" w:hAnsi="Times New Roman"/>
          <w:color w:val="000000"/>
          <w:sz w:val="16"/>
          <w:szCs w:val="16"/>
        </w:rPr>
        <w:lastRenderedPageBreak/>
        <w:t>GP130 with NeuN</w:t>
      </w:r>
      <w:r w:rsidR="005C0331">
        <w:rPr>
          <w:rFonts w:ascii="Times New Roman" w:hAnsi="Times New Roman"/>
          <w:color w:val="000000"/>
          <w:sz w:val="16"/>
          <w:szCs w:val="16"/>
        </w:rPr>
        <w:t>,</w:t>
      </w:r>
      <w:r w:rsidR="00B22FD0">
        <w:rPr>
          <w:rFonts w:ascii="Times New Roman" w:hAnsi="Times New Roman"/>
          <w:color w:val="000000"/>
          <w:sz w:val="16"/>
          <w:szCs w:val="16"/>
        </w:rPr>
        <w:t xml:space="preserve"> respectively</w:t>
      </w:r>
      <w:r w:rsidR="005C0331">
        <w:rPr>
          <w:rFonts w:ascii="Times New Roman" w:hAnsi="Times New Roman"/>
          <w:color w:val="000000"/>
          <w:sz w:val="16"/>
          <w:szCs w:val="16"/>
        </w:rPr>
        <w:t>,</w:t>
      </w:r>
      <w:r w:rsidR="00B22FD0">
        <w:rPr>
          <w:rFonts w:ascii="Times New Roman" w:hAnsi="Times New Roman"/>
          <w:color w:val="000000"/>
          <w:sz w:val="16"/>
          <w:szCs w:val="16"/>
        </w:rPr>
        <w:t xml:space="preserve"> </w:t>
      </w:r>
      <w:r w:rsidR="00B22FD0">
        <w:rPr>
          <w:rFonts w:ascii="Times New Roman" w:hAnsi="Times New Roman"/>
          <w:color w:val="000000"/>
          <w:kern w:val="0"/>
          <w:sz w:val="16"/>
          <w:szCs w:val="16"/>
        </w:rPr>
        <w:t xml:space="preserve">and analysis of their co-localization </w:t>
      </w:r>
      <w:r w:rsidR="00B22FD0">
        <w:rPr>
          <w:rFonts w:ascii="Times New Roman" w:hAnsi="Times New Roman"/>
          <w:color w:val="000000"/>
          <w:sz w:val="16"/>
          <w:szCs w:val="16"/>
        </w:rPr>
        <w:t xml:space="preserve">in the </w:t>
      </w:r>
      <w:r w:rsidR="00B22FD0">
        <w:rPr>
          <w:rFonts w:ascii="Times New Roman" w:hAnsi="Times New Roman"/>
          <w:color w:val="000000"/>
          <w:kern w:val="0"/>
          <w:sz w:val="16"/>
          <w:szCs w:val="16"/>
        </w:rPr>
        <w:t xml:space="preserve">frontal cortex </w:t>
      </w:r>
      <w:r w:rsidR="00B22FD0">
        <w:rPr>
          <w:rFonts w:ascii="Times New Roman" w:hAnsi="Times New Roman"/>
          <w:color w:val="000000"/>
          <w:sz w:val="16"/>
          <w:szCs w:val="16"/>
        </w:rPr>
        <w:t>of 3-month-old mice</w:t>
      </w:r>
      <w:r w:rsidR="005C0331">
        <w:rPr>
          <w:rFonts w:ascii="Times New Roman" w:hAnsi="Times New Roman"/>
          <w:color w:val="000000"/>
          <w:sz w:val="16"/>
          <w:szCs w:val="16"/>
        </w:rPr>
        <w:t>.</w:t>
      </w:r>
      <w:r w:rsidR="00B22FD0">
        <w:rPr>
          <w:rFonts w:ascii="Times New Roman" w:hAnsi="Times New Roman"/>
          <w:color w:val="000000"/>
          <w:sz w:val="16"/>
          <w:szCs w:val="16"/>
        </w:rPr>
        <w:t xml:space="preserve"> </w:t>
      </w:r>
      <w:r w:rsidR="00B22FD0">
        <w:rPr>
          <w:rFonts w:ascii="Times New Roman" w:hAnsi="Times New Roman"/>
          <w:sz w:val="16"/>
          <w:szCs w:val="16"/>
        </w:rPr>
        <w:t xml:space="preserve">Scale bar = 30 μm. </w:t>
      </w:r>
      <w:r w:rsidR="00B22FD0">
        <w:rPr>
          <w:rFonts w:ascii="Times New Roman" w:hAnsi="Times New Roman"/>
          <w:color w:val="000000"/>
          <w:kern w:val="0"/>
          <w:sz w:val="16"/>
          <w:szCs w:val="16"/>
        </w:rPr>
        <w:t>(</w:t>
      </w:r>
      <w:r w:rsidR="00B22FD0">
        <w:rPr>
          <w:rFonts w:ascii="Times New Roman" w:hAnsi="Times New Roman"/>
          <w:b/>
          <w:color w:val="000000"/>
          <w:kern w:val="0"/>
          <w:sz w:val="16"/>
          <w:szCs w:val="16"/>
        </w:rPr>
        <w:t>B</w:t>
      </w:r>
      <w:r w:rsidR="00B22FD0">
        <w:rPr>
          <w:rFonts w:ascii="Times New Roman" w:hAnsi="Times New Roman"/>
          <w:color w:val="000000"/>
          <w:kern w:val="0"/>
          <w:sz w:val="16"/>
          <w:szCs w:val="16"/>
        </w:rPr>
        <w:t>)</w:t>
      </w:r>
      <w:r w:rsidR="00B22FD0">
        <w:rPr>
          <w:rFonts w:ascii="Times New Roman" w:hAnsi="Times New Roman"/>
          <w:color w:val="000000"/>
          <w:sz w:val="16"/>
          <w:szCs w:val="16"/>
        </w:rPr>
        <w:t xml:space="preserve"> R</w:t>
      </w:r>
      <w:r w:rsidR="00B22FD0">
        <w:rPr>
          <w:rFonts w:ascii="Times New Roman" w:hAnsi="Times New Roman"/>
          <w:color w:val="000000"/>
          <w:kern w:val="0"/>
          <w:sz w:val="16"/>
          <w:szCs w:val="16"/>
        </w:rPr>
        <w:t xml:space="preserve">epresentative images and quantification of </w:t>
      </w:r>
      <w:r w:rsidR="00B22FD0">
        <w:rPr>
          <w:rFonts w:ascii="Times New Roman" w:hAnsi="Times New Roman"/>
          <w:color w:val="000000"/>
          <w:sz w:val="16"/>
          <w:szCs w:val="16"/>
        </w:rPr>
        <w:t>NeuN and 6E10</w:t>
      </w:r>
      <w:r w:rsidR="00B22FD0">
        <w:rPr>
          <w:rFonts w:ascii="Times New Roman" w:hAnsi="Times New Roman"/>
          <w:color w:val="000000"/>
          <w:kern w:val="0"/>
          <w:sz w:val="16"/>
          <w:szCs w:val="16"/>
        </w:rPr>
        <w:t xml:space="preserve"> </w:t>
      </w:r>
      <w:r w:rsidR="00B22FD0">
        <w:rPr>
          <w:rFonts w:ascii="Times New Roman" w:hAnsi="Times New Roman"/>
          <w:color w:val="000000"/>
          <w:sz w:val="16"/>
          <w:szCs w:val="16"/>
        </w:rPr>
        <w:t xml:space="preserve">in the frontal cortex of 3-month-old mice after IL-35 neutralization. </w:t>
      </w:r>
      <w:r w:rsidR="00820019">
        <w:rPr>
          <w:rFonts w:ascii="Times New Roman" w:hAnsi="Times New Roman" w:hint="eastAsia"/>
          <w:color w:val="000000"/>
          <w:sz w:val="16"/>
          <w:szCs w:val="16"/>
        </w:rPr>
        <w:t>n</w:t>
      </w:r>
      <w:r w:rsidR="00820019">
        <w:rPr>
          <w:rFonts w:ascii="Times New Roman" w:hAnsi="Times New Roman"/>
          <w:color w:val="000000"/>
          <w:sz w:val="16"/>
          <w:szCs w:val="16"/>
        </w:rPr>
        <w:t xml:space="preserve"> </w:t>
      </w:r>
      <w:r w:rsidR="00B22FD0">
        <w:rPr>
          <w:rFonts w:ascii="Times New Roman" w:hAnsi="Times New Roman"/>
          <w:color w:val="000000"/>
          <w:sz w:val="16"/>
          <w:szCs w:val="16"/>
        </w:rPr>
        <w:t xml:space="preserve">= 4-5 per group. </w:t>
      </w:r>
      <w:r w:rsidR="00B22FD0">
        <w:rPr>
          <w:rFonts w:ascii="Times New Roman" w:hAnsi="Times New Roman"/>
          <w:sz w:val="16"/>
          <w:szCs w:val="16"/>
        </w:rPr>
        <w:t xml:space="preserve">Scale bar = 30 μm. </w:t>
      </w:r>
      <w:r w:rsidR="00B22FD0">
        <w:rPr>
          <w:rFonts w:ascii="Times New Roman" w:hAnsi="Times New Roman"/>
          <w:color w:val="000000"/>
          <w:kern w:val="0"/>
          <w:sz w:val="16"/>
          <w:szCs w:val="16"/>
        </w:rPr>
        <w:t>(</w:t>
      </w:r>
      <w:r w:rsidR="00B22FD0">
        <w:rPr>
          <w:rFonts w:ascii="Times New Roman" w:hAnsi="Times New Roman"/>
          <w:b/>
          <w:color w:val="000000"/>
          <w:kern w:val="0"/>
          <w:sz w:val="16"/>
          <w:szCs w:val="16"/>
        </w:rPr>
        <w:t xml:space="preserve">C </w:t>
      </w:r>
      <w:r w:rsidR="00B22FD0">
        <w:rPr>
          <w:rFonts w:ascii="Times New Roman" w:hAnsi="Times New Roman"/>
          <w:color w:val="000000"/>
          <w:kern w:val="0"/>
          <w:sz w:val="16"/>
          <w:szCs w:val="16"/>
        </w:rPr>
        <w:t>and</w:t>
      </w:r>
      <w:r w:rsidR="00B22FD0">
        <w:rPr>
          <w:rFonts w:ascii="Times New Roman" w:hAnsi="Times New Roman"/>
          <w:b/>
          <w:color w:val="000000"/>
          <w:kern w:val="0"/>
          <w:sz w:val="16"/>
          <w:szCs w:val="16"/>
        </w:rPr>
        <w:t xml:space="preserve"> F</w:t>
      </w:r>
      <w:r w:rsidR="00B22FD0">
        <w:rPr>
          <w:rFonts w:ascii="Times New Roman" w:hAnsi="Times New Roman"/>
          <w:color w:val="000000"/>
          <w:kern w:val="0"/>
          <w:sz w:val="16"/>
          <w:szCs w:val="16"/>
        </w:rPr>
        <w:t>)</w:t>
      </w:r>
      <w:r w:rsidR="00B22FD0">
        <w:rPr>
          <w:rFonts w:ascii="Times New Roman" w:hAnsi="Times New Roman"/>
          <w:b/>
          <w:color w:val="000000"/>
          <w:sz w:val="16"/>
          <w:szCs w:val="16"/>
        </w:rPr>
        <w:t xml:space="preserve"> </w:t>
      </w:r>
      <w:r w:rsidR="00B22FD0">
        <w:rPr>
          <w:rFonts w:ascii="Times New Roman" w:hAnsi="Times New Roman"/>
          <w:color w:val="000000"/>
          <w:sz w:val="16"/>
          <w:szCs w:val="16"/>
        </w:rPr>
        <w:t xml:space="preserve">Representative bands and </w:t>
      </w:r>
      <w:r w:rsidR="00B22FD0">
        <w:rPr>
          <w:rFonts w:ascii="Times New Roman" w:hAnsi="Times New Roman"/>
          <w:color w:val="000000"/>
          <w:kern w:val="0"/>
          <w:sz w:val="16"/>
          <w:szCs w:val="16"/>
        </w:rPr>
        <w:t>quantification</w:t>
      </w:r>
      <w:r w:rsidR="00B22FD0">
        <w:rPr>
          <w:rFonts w:ascii="Times New Roman" w:hAnsi="Times New Roman"/>
          <w:color w:val="000000"/>
          <w:sz w:val="16"/>
          <w:szCs w:val="16"/>
        </w:rPr>
        <w:t xml:space="preserve"> of Western blot for ADAM10, BACE1, PS1, SOCS1 and SOCS3 in the mouse primary neuron after IL-35 treatment. </w:t>
      </w:r>
      <w:r w:rsidR="00B22FD0">
        <w:rPr>
          <w:rFonts w:ascii="Times New Roman" w:hAnsi="Times New Roman"/>
          <w:color w:val="000000"/>
          <w:kern w:val="0"/>
          <w:sz w:val="16"/>
          <w:szCs w:val="16"/>
        </w:rPr>
        <w:t>(</w:t>
      </w:r>
      <w:r w:rsidR="00B22FD0">
        <w:rPr>
          <w:rFonts w:ascii="Times New Roman" w:hAnsi="Times New Roman"/>
          <w:b/>
          <w:color w:val="000000"/>
          <w:kern w:val="0"/>
          <w:sz w:val="16"/>
          <w:szCs w:val="16"/>
        </w:rPr>
        <w:t xml:space="preserve">D </w:t>
      </w:r>
      <w:r w:rsidR="00B22FD0">
        <w:rPr>
          <w:rFonts w:ascii="Times New Roman" w:hAnsi="Times New Roman"/>
          <w:color w:val="000000"/>
          <w:kern w:val="0"/>
          <w:sz w:val="16"/>
          <w:szCs w:val="16"/>
        </w:rPr>
        <w:t>and</w:t>
      </w:r>
      <w:r w:rsidR="00B22FD0">
        <w:rPr>
          <w:rFonts w:ascii="Times New Roman" w:hAnsi="Times New Roman"/>
          <w:b/>
          <w:color w:val="000000"/>
          <w:kern w:val="0"/>
          <w:sz w:val="16"/>
          <w:szCs w:val="16"/>
        </w:rPr>
        <w:t xml:space="preserve"> G</w:t>
      </w:r>
      <w:r w:rsidR="00B22FD0">
        <w:rPr>
          <w:rFonts w:ascii="Times New Roman" w:hAnsi="Times New Roman"/>
          <w:color w:val="000000"/>
          <w:kern w:val="0"/>
          <w:sz w:val="16"/>
          <w:szCs w:val="16"/>
        </w:rPr>
        <w:t xml:space="preserve">) </w:t>
      </w:r>
      <w:r w:rsidR="00B22FD0">
        <w:rPr>
          <w:rFonts w:ascii="Times New Roman" w:hAnsi="Times New Roman"/>
          <w:color w:val="000000"/>
          <w:sz w:val="16"/>
          <w:szCs w:val="16"/>
        </w:rPr>
        <w:t xml:space="preserve">Representative bands and </w:t>
      </w:r>
      <w:r w:rsidR="00B22FD0">
        <w:rPr>
          <w:rFonts w:ascii="Times New Roman" w:hAnsi="Times New Roman"/>
          <w:color w:val="000000"/>
          <w:kern w:val="0"/>
          <w:sz w:val="16"/>
          <w:szCs w:val="16"/>
        </w:rPr>
        <w:t>quantification</w:t>
      </w:r>
      <w:r w:rsidR="00B22FD0">
        <w:rPr>
          <w:rFonts w:ascii="Times New Roman" w:hAnsi="Times New Roman"/>
          <w:color w:val="000000"/>
          <w:sz w:val="16"/>
          <w:szCs w:val="16"/>
        </w:rPr>
        <w:t xml:space="preserve"> of </w:t>
      </w:r>
      <w:r w:rsidR="00820019">
        <w:rPr>
          <w:rFonts w:ascii="Times New Roman" w:hAnsi="Times New Roman" w:hint="eastAsia"/>
          <w:color w:val="000000"/>
          <w:sz w:val="16"/>
          <w:szCs w:val="16"/>
        </w:rPr>
        <w:t>w</w:t>
      </w:r>
      <w:r w:rsidR="00820019">
        <w:rPr>
          <w:rFonts w:ascii="Times New Roman" w:hAnsi="Times New Roman"/>
          <w:color w:val="000000"/>
          <w:sz w:val="16"/>
          <w:szCs w:val="16"/>
        </w:rPr>
        <w:t xml:space="preserve">estern </w:t>
      </w:r>
      <w:r w:rsidR="00B22FD0">
        <w:rPr>
          <w:rFonts w:ascii="Times New Roman" w:hAnsi="Times New Roman"/>
          <w:color w:val="000000"/>
          <w:sz w:val="16"/>
          <w:szCs w:val="16"/>
        </w:rPr>
        <w:t>blot for ADAM10, BACE1, PS1, SOCS1 and SOCS3 in the N2a cell line after IL-35 treatment</w:t>
      </w:r>
      <w:r w:rsidR="00B22FD0">
        <w:rPr>
          <w:rFonts w:ascii="Times New Roman" w:hAnsi="Times New Roman"/>
          <w:color w:val="000000"/>
          <w:kern w:val="0"/>
          <w:sz w:val="16"/>
          <w:szCs w:val="16"/>
        </w:rPr>
        <w:t>.</w:t>
      </w:r>
      <w:r w:rsidR="00B22FD0">
        <w:rPr>
          <w:rFonts w:ascii="Times New Roman" w:hAnsi="Times New Roman"/>
          <w:b/>
          <w:color w:val="000000"/>
          <w:sz w:val="16"/>
          <w:szCs w:val="16"/>
        </w:rPr>
        <w:t xml:space="preserve"> </w:t>
      </w:r>
      <w:r w:rsidR="00B22FD0">
        <w:rPr>
          <w:rFonts w:ascii="Times New Roman" w:hAnsi="Times New Roman"/>
          <w:color w:val="000000"/>
          <w:kern w:val="0"/>
          <w:sz w:val="16"/>
          <w:szCs w:val="16"/>
        </w:rPr>
        <w:t>(</w:t>
      </w:r>
      <w:r w:rsidR="00B22FD0">
        <w:rPr>
          <w:rFonts w:ascii="Times New Roman" w:hAnsi="Times New Roman"/>
          <w:b/>
          <w:color w:val="000000"/>
          <w:kern w:val="0"/>
          <w:sz w:val="16"/>
          <w:szCs w:val="16"/>
        </w:rPr>
        <w:t xml:space="preserve">E </w:t>
      </w:r>
      <w:r w:rsidR="00B22FD0">
        <w:rPr>
          <w:rFonts w:ascii="Times New Roman" w:hAnsi="Times New Roman"/>
          <w:color w:val="000000"/>
          <w:kern w:val="0"/>
          <w:sz w:val="16"/>
          <w:szCs w:val="16"/>
        </w:rPr>
        <w:t>and</w:t>
      </w:r>
      <w:r w:rsidR="00B22FD0">
        <w:rPr>
          <w:rFonts w:ascii="Times New Roman" w:hAnsi="Times New Roman"/>
          <w:b/>
          <w:color w:val="000000"/>
          <w:kern w:val="0"/>
          <w:sz w:val="16"/>
          <w:szCs w:val="16"/>
        </w:rPr>
        <w:t xml:space="preserve"> H</w:t>
      </w:r>
      <w:r w:rsidR="00B22FD0">
        <w:rPr>
          <w:rFonts w:ascii="Times New Roman" w:hAnsi="Times New Roman"/>
          <w:color w:val="000000"/>
          <w:kern w:val="0"/>
          <w:sz w:val="16"/>
          <w:szCs w:val="16"/>
        </w:rPr>
        <w:t>)</w:t>
      </w:r>
      <w:r w:rsidR="00B22FD0">
        <w:rPr>
          <w:rFonts w:ascii="Times New Roman" w:hAnsi="Times New Roman"/>
          <w:color w:val="000000"/>
          <w:sz w:val="16"/>
          <w:szCs w:val="16"/>
        </w:rPr>
        <w:t xml:space="preserve"> Representative bands and </w:t>
      </w:r>
      <w:r w:rsidR="00B22FD0">
        <w:rPr>
          <w:rFonts w:ascii="Times New Roman" w:hAnsi="Times New Roman"/>
          <w:color w:val="000000"/>
          <w:kern w:val="0"/>
          <w:sz w:val="16"/>
          <w:szCs w:val="16"/>
        </w:rPr>
        <w:t>quantification</w:t>
      </w:r>
      <w:r w:rsidR="00B22FD0">
        <w:rPr>
          <w:rFonts w:ascii="Times New Roman" w:hAnsi="Times New Roman"/>
          <w:color w:val="000000"/>
          <w:sz w:val="16"/>
          <w:szCs w:val="16"/>
        </w:rPr>
        <w:t xml:space="preserve"> of Western blot for ADAM10, BACE1, PS1, SOCS1 and SOCS3 in the SH-SY5Y cell line after IL-35 treatment</w:t>
      </w:r>
      <w:r w:rsidR="00B22FD0">
        <w:rPr>
          <w:rFonts w:ascii="Times New Roman" w:hAnsi="Times New Roman"/>
          <w:color w:val="000000"/>
          <w:kern w:val="0"/>
          <w:sz w:val="16"/>
          <w:szCs w:val="16"/>
        </w:rPr>
        <w:t>.</w:t>
      </w:r>
      <w:r w:rsidR="00B22FD0">
        <w:rPr>
          <w:rFonts w:ascii="Times New Roman" w:hAnsi="Times New Roman"/>
          <w:b/>
          <w:color w:val="000000"/>
          <w:sz w:val="16"/>
          <w:szCs w:val="16"/>
        </w:rPr>
        <w:t xml:space="preserve"> </w:t>
      </w:r>
      <w:r w:rsidR="00BD2211">
        <w:rPr>
          <w:rFonts w:ascii="Times New Roman" w:hAnsi="Times New Roman"/>
          <w:color w:val="000000"/>
          <w:sz w:val="16"/>
          <w:szCs w:val="16"/>
        </w:rPr>
        <w:t xml:space="preserve">n = </w:t>
      </w:r>
      <w:r w:rsidR="00BD2211">
        <w:rPr>
          <w:rFonts w:ascii="Times New Roman" w:hAnsi="Times New Roman" w:hint="eastAsia"/>
          <w:color w:val="000000"/>
          <w:sz w:val="16"/>
          <w:szCs w:val="16"/>
        </w:rPr>
        <w:t>3</w:t>
      </w:r>
      <w:r w:rsidR="00BD2211">
        <w:rPr>
          <w:rFonts w:ascii="Times New Roman" w:hAnsi="Times New Roman"/>
          <w:color w:val="000000"/>
          <w:sz w:val="16"/>
          <w:szCs w:val="16"/>
        </w:rPr>
        <w:t xml:space="preserve"> per group.</w:t>
      </w:r>
      <w:r w:rsidR="00BD2211">
        <w:rPr>
          <w:rFonts w:ascii="Times New Roman" w:hAnsi="Times New Roman"/>
          <w:color w:val="000000"/>
          <w:kern w:val="0"/>
          <w:sz w:val="16"/>
          <w:szCs w:val="16"/>
        </w:rPr>
        <w:t xml:space="preserve"> </w:t>
      </w:r>
      <w:r w:rsidR="00B22FD0">
        <w:rPr>
          <w:rFonts w:ascii="Times New Roman" w:hAnsi="Times New Roman"/>
          <w:color w:val="000000"/>
          <w:kern w:val="0"/>
          <w:sz w:val="16"/>
          <w:szCs w:val="16"/>
        </w:rPr>
        <w:t>(</w:t>
      </w:r>
      <w:r w:rsidR="00B22FD0">
        <w:rPr>
          <w:rFonts w:ascii="Times New Roman" w:hAnsi="Times New Roman"/>
          <w:b/>
          <w:color w:val="000000"/>
          <w:kern w:val="0"/>
          <w:sz w:val="16"/>
          <w:szCs w:val="16"/>
        </w:rPr>
        <w:t>I</w:t>
      </w:r>
      <w:r w:rsidR="00B22FD0">
        <w:rPr>
          <w:rFonts w:ascii="Times New Roman" w:hAnsi="Times New Roman"/>
          <w:color w:val="000000"/>
          <w:kern w:val="0"/>
          <w:sz w:val="16"/>
          <w:szCs w:val="16"/>
        </w:rPr>
        <w:t>)</w:t>
      </w:r>
      <w:r w:rsidR="00B22FD0">
        <w:rPr>
          <w:rFonts w:ascii="Times New Roman" w:hAnsi="Times New Roman"/>
          <w:color w:val="000000"/>
          <w:sz w:val="16"/>
          <w:szCs w:val="16"/>
        </w:rPr>
        <w:t xml:space="preserve"> Activity of BACE1 en</w:t>
      </w:r>
      <w:r w:rsidR="00B22FD0">
        <w:rPr>
          <w:rFonts w:ascii="Times New Roman" w:hAnsi="Times New Roman"/>
          <w:sz w:val="16"/>
          <w:szCs w:val="16"/>
        </w:rPr>
        <w:t>zyme in primary cortical neurons after IL-35 trea</w:t>
      </w:r>
      <w:r w:rsidR="00B22FD0">
        <w:rPr>
          <w:rFonts w:ascii="Times New Roman" w:hAnsi="Times New Roman"/>
          <w:color w:val="000000"/>
          <w:sz w:val="16"/>
          <w:szCs w:val="16"/>
        </w:rPr>
        <w:t>tment</w:t>
      </w:r>
      <w:r w:rsidR="00B22FD0">
        <w:rPr>
          <w:rFonts w:ascii="Times New Roman" w:hAnsi="Times New Roman"/>
          <w:color w:val="000000"/>
          <w:kern w:val="0"/>
          <w:sz w:val="16"/>
          <w:szCs w:val="16"/>
        </w:rPr>
        <w:t xml:space="preserve">. </w:t>
      </w:r>
      <w:r w:rsidR="00BD2211">
        <w:rPr>
          <w:rFonts w:ascii="Times New Roman" w:hAnsi="Times New Roman"/>
          <w:color w:val="000000"/>
          <w:sz w:val="16"/>
          <w:szCs w:val="16"/>
        </w:rPr>
        <w:t xml:space="preserve">n = </w:t>
      </w:r>
      <w:r w:rsidR="00BD2211">
        <w:rPr>
          <w:rFonts w:ascii="Times New Roman" w:hAnsi="Times New Roman" w:hint="eastAsia"/>
          <w:color w:val="000000"/>
          <w:sz w:val="16"/>
          <w:szCs w:val="16"/>
        </w:rPr>
        <w:t>3</w:t>
      </w:r>
      <w:r w:rsidR="00BD2211">
        <w:rPr>
          <w:rFonts w:ascii="Times New Roman" w:hAnsi="Times New Roman"/>
          <w:color w:val="000000"/>
          <w:sz w:val="16"/>
          <w:szCs w:val="16"/>
        </w:rPr>
        <w:t xml:space="preserve"> per group.</w:t>
      </w:r>
      <w:r w:rsidR="00BD2211">
        <w:rPr>
          <w:rFonts w:ascii="Times New Roman" w:hAnsi="Times New Roman"/>
          <w:color w:val="000000"/>
          <w:kern w:val="0"/>
          <w:sz w:val="16"/>
          <w:szCs w:val="16"/>
        </w:rPr>
        <w:t xml:space="preserve"> </w:t>
      </w:r>
      <w:r w:rsidR="00B22FD0">
        <w:rPr>
          <w:rFonts w:ascii="Times New Roman" w:hAnsi="Times New Roman"/>
          <w:color w:val="000000"/>
          <w:kern w:val="0"/>
          <w:sz w:val="16"/>
          <w:szCs w:val="16"/>
        </w:rPr>
        <w:t>(</w:t>
      </w:r>
      <w:r w:rsidR="00B22FD0">
        <w:rPr>
          <w:rFonts w:ascii="Times New Roman" w:hAnsi="Times New Roman"/>
          <w:b/>
          <w:color w:val="000000"/>
          <w:kern w:val="0"/>
          <w:sz w:val="16"/>
          <w:szCs w:val="16"/>
        </w:rPr>
        <w:t>J</w:t>
      </w:r>
      <w:r w:rsidR="00B22FD0">
        <w:rPr>
          <w:rFonts w:ascii="Times New Roman" w:hAnsi="Times New Roman"/>
          <w:color w:val="000000"/>
          <w:kern w:val="0"/>
          <w:sz w:val="16"/>
          <w:szCs w:val="16"/>
        </w:rPr>
        <w:t xml:space="preserve">) Representative bands of Western blot for STAT1 </w:t>
      </w:r>
      <w:r w:rsidR="00B22FD0">
        <w:rPr>
          <w:rFonts w:ascii="Times New Roman" w:hAnsi="Times New Roman" w:hint="eastAsia"/>
          <w:color w:val="000000"/>
          <w:kern w:val="0"/>
          <w:sz w:val="16"/>
          <w:szCs w:val="16"/>
        </w:rPr>
        <w:t xml:space="preserve">and c-jun </w:t>
      </w:r>
      <w:r w:rsidR="00B22FD0">
        <w:rPr>
          <w:rFonts w:ascii="Times New Roman" w:hAnsi="Times New Roman"/>
          <w:color w:val="000000"/>
          <w:kern w:val="0"/>
          <w:sz w:val="16"/>
          <w:szCs w:val="16"/>
        </w:rPr>
        <w:t>after hBACE1-P403 pulldown</w:t>
      </w:r>
      <w:r w:rsidR="00B22FD0">
        <w:rPr>
          <w:rFonts w:ascii="Times New Roman" w:hAnsi="Times New Roman" w:hint="eastAsia"/>
          <w:color w:val="000000"/>
          <w:kern w:val="0"/>
          <w:sz w:val="16"/>
          <w:szCs w:val="16"/>
        </w:rPr>
        <w:t xml:space="preserve"> in SH-SY5Y cells</w:t>
      </w:r>
      <w:r w:rsidR="00B22FD0">
        <w:rPr>
          <w:rFonts w:ascii="Times New Roman" w:hAnsi="Times New Roman"/>
          <w:color w:val="000000"/>
          <w:kern w:val="0"/>
          <w:sz w:val="16"/>
          <w:szCs w:val="16"/>
        </w:rPr>
        <w:t>. (</w:t>
      </w:r>
      <w:r w:rsidR="00B22FD0">
        <w:rPr>
          <w:rFonts w:ascii="Times New Roman" w:hAnsi="Times New Roman"/>
          <w:b/>
          <w:color w:val="000000"/>
          <w:kern w:val="0"/>
          <w:sz w:val="16"/>
          <w:szCs w:val="16"/>
        </w:rPr>
        <w:t>K</w:t>
      </w:r>
      <w:r w:rsidR="00B22FD0">
        <w:rPr>
          <w:rFonts w:ascii="Times New Roman" w:hAnsi="Times New Roman"/>
          <w:color w:val="000000"/>
          <w:kern w:val="0"/>
          <w:sz w:val="16"/>
          <w:szCs w:val="16"/>
        </w:rPr>
        <w:t xml:space="preserve">) </w:t>
      </w:r>
      <w:r w:rsidR="00B22FD0">
        <w:rPr>
          <w:rFonts w:ascii="Times New Roman" w:hAnsi="Times New Roman"/>
          <w:color w:val="000000"/>
          <w:sz w:val="16"/>
          <w:szCs w:val="16"/>
        </w:rPr>
        <w:t xml:space="preserve">Representative bands and </w:t>
      </w:r>
      <w:r w:rsidR="00B22FD0">
        <w:rPr>
          <w:rFonts w:ascii="Times New Roman" w:hAnsi="Times New Roman"/>
          <w:color w:val="000000"/>
          <w:kern w:val="0"/>
          <w:sz w:val="16"/>
          <w:szCs w:val="16"/>
        </w:rPr>
        <w:t>quantification</w:t>
      </w:r>
      <w:r w:rsidR="00B22FD0">
        <w:rPr>
          <w:rFonts w:ascii="Times New Roman" w:hAnsi="Times New Roman"/>
          <w:color w:val="000000"/>
          <w:sz w:val="16"/>
          <w:szCs w:val="16"/>
        </w:rPr>
        <w:t xml:space="preserve"> of </w:t>
      </w:r>
      <w:r w:rsidR="00B22FD0">
        <w:rPr>
          <w:rFonts w:ascii="Times New Roman" w:hAnsi="Times New Roman" w:hint="eastAsia"/>
          <w:color w:val="000000"/>
          <w:sz w:val="16"/>
          <w:szCs w:val="16"/>
        </w:rPr>
        <w:t>W</w:t>
      </w:r>
      <w:r w:rsidR="00B22FD0">
        <w:rPr>
          <w:rFonts w:ascii="Times New Roman" w:hAnsi="Times New Roman"/>
          <w:color w:val="000000"/>
          <w:sz w:val="16"/>
          <w:szCs w:val="16"/>
        </w:rPr>
        <w:t>estern blot for SOCS1, p-STAT1 and STAT1 in 3-month-old mice after IL-35 neutralization</w:t>
      </w:r>
      <w:r w:rsidR="00B22FD0">
        <w:rPr>
          <w:rFonts w:ascii="Times New Roman" w:hAnsi="Times New Roman"/>
          <w:color w:val="000000"/>
          <w:kern w:val="0"/>
          <w:sz w:val="16"/>
          <w:szCs w:val="16"/>
        </w:rPr>
        <w:t xml:space="preserve">. </w:t>
      </w:r>
      <w:r w:rsidR="00BD2211">
        <w:rPr>
          <w:rFonts w:ascii="Times New Roman" w:hAnsi="Times New Roman"/>
          <w:color w:val="000000"/>
          <w:sz w:val="16"/>
          <w:szCs w:val="16"/>
        </w:rPr>
        <w:t xml:space="preserve">n = </w:t>
      </w:r>
      <w:r w:rsidR="00BD2211">
        <w:rPr>
          <w:rFonts w:ascii="Times New Roman" w:hAnsi="Times New Roman" w:hint="eastAsia"/>
          <w:color w:val="000000"/>
          <w:sz w:val="16"/>
          <w:szCs w:val="16"/>
        </w:rPr>
        <w:t>5</w:t>
      </w:r>
      <w:r w:rsidR="00BD2211">
        <w:rPr>
          <w:rFonts w:ascii="Times New Roman" w:hAnsi="Times New Roman"/>
          <w:color w:val="000000"/>
          <w:sz w:val="16"/>
          <w:szCs w:val="16"/>
        </w:rPr>
        <w:t xml:space="preserve"> per group.</w:t>
      </w:r>
      <w:r w:rsidR="00BD2211">
        <w:rPr>
          <w:rFonts w:ascii="Times New Roman" w:hAnsi="Times New Roman"/>
          <w:color w:val="000000"/>
          <w:kern w:val="0"/>
          <w:sz w:val="16"/>
          <w:szCs w:val="16"/>
        </w:rPr>
        <w:t xml:space="preserve"> </w:t>
      </w:r>
      <w:r w:rsidR="00B22FD0">
        <w:rPr>
          <w:rFonts w:ascii="Times New Roman" w:hAnsi="Times New Roman"/>
          <w:sz w:val="16"/>
          <w:szCs w:val="16"/>
        </w:rPr>
        <w:t>*</w:t>
      </w:r>
      <w:r w:rsidR="00B22FD0">
        <w:rPr>
          <w:rFonts w:ascii="Times New Roman" w:hAnsi="Times New Roman"/>
          <w:i/>
          <w:sz w:val="16"/>
          <w:szCs w:val="16"/>
        </w:rPr>
        <w:t>P</w:t>
      </w:r>
      <w:r w:rsidR="00B22FD0">
        <w:rPr>
          <w:rFonts w:ascii="Times New Roman" w:hAnsi="Times New Roman"/>
          <w:sz w:val="16"/>
          <w:szCs w:val="16"/>
        </w:rPr>
        <w:t xml:space="preserve"> &lt; 0.05, **</w:t>
      </w:r>
      <w:r w:rsidR="00B22FD0">
        <w:rPr>
          <w:rFonts w:ascii="Times New Roman" w:hAnsi="Times New Roman"/>
          <w:i/>
          <w:sz w:val="16"/>
          <w:szCs w:val="16"/>
        </w:rPr>
        <w:t>P</w:t>
      </w:r>
      <w:r w:rsidR="00B22FD0">
        <w:rPr>
          <w:rFonts w:ascii="Times New Roman" w:hAnsi="Times New Roman"/>
          <w:sz w:val="16"/>
          <w:szCs w:val="16"/>
        </w:rPr>
        <w:t xml:space="preserve"> &lt; 0.01, ***</w:t>
      </w:r>
      <w:r w:rsidR="00B22FD0">
        <w:rPr>
          <w:rFonts w:ascii="Times New Roman" w:hAnsi="Times New Roman"/>
          <w:i/>
          <w:sz w:val="16"/>
          <w:szCs w:val="16"/>
        </w:rPr>
        <w:t>P</w:t>
      </w:r>
      <w:r w:rsidR="00B22FD0">
        <w:rPr>
          <w:rFonts w:ascii="Times New Roman" w:hAnsi="Times New Roman"/>
          <w:sz w:val="16"/>
          <w:szCs w:val="16"/>
        </w:rPr>
        <w:t xml:space="preserve"> &lt; 0.001, ****</w:t>
      </w:r>
      <w:r w:rsidR="00B22FD0">
        <w:rPr>
          <w:rFonts w:ascii="Times New Roman" w:hAnsi="Times New Roman"/>
          <w:i/>
          <w:sz w:val="16"/>
          <w:szCs w:val="16"/>
        </w:rPr>
        <w:t>P</w:t>
      </w:r>
      <w:r w:rsidR="00B22FD0">
        <w:rPr>
          <w:rFonts w:ascii="Times New Roman" w:hAnsi="Times New Roman"/>
          <w:sz w:val="16"/>
          <w:szCs w:val="16"/>
        </w:rPr>
        <w:t xml:space="preserve"> &lt; 0.0001. </w:t>
      </w:r>
      <w:r w:rsidR="00B22FD0">
        <w:rPr>
          <w:rFonts w:ascii="Times New Roman" w:hAnsi="Times New Roman"/>
          <w:color w:val="000000"/>
          <w:kern w:val="0"/>
          <w:sz w:val="16"/>
          <w:szCs w:val="16"/>
        </w:rPr>
        <w:t xml:space="preserve">Data in </w:t>
      </w:r>
      <w:r w:rsidR="00B22FD0">
        <w:rPr>
          <w:rFonts w:ascii="Times New Roman" w:hAnsi="Times New Roman"/>
          <w:b/>
          <w:color w:val="000000"/>
          <w:kern w:val="0"/>
          <w:sz w:val="16"/>
          <w:szCs w:val="16"/>
        </w:rPr>
        <w:t xml:space="preserve">B, K </w:t>
      </w:r>
      <w:r w:rsidR="00687A63" w:rsidRPr="00E97A36">
        <w:rPr>
          <w:rFonts w:ascii="Times New Roman" w:hAnsi="Times New Roman"/>
          <w:color w:val="000000"/>
          <w:kern w:val="0"/>
          <w:sz w:val="16"/>
          <w:szCs w:val="16"/>
        </w:rPr>
        <w:t xml:space="preserve">by </w:t>
      </w:r>
      <w:r w:rsidR="001D18C6">
        <w:rPr>
          <w:rFonts w:ascii="Times New Roman" w:hAnsi="Times New Roman"/>
          <w:color w:val="000000"/>
          <w:kern w:val="0"/>
          <w:sz w:val="16"/>
          <w:szCs w:val="16"/>
        </w:rPr>
        <w:t xml:space="preserve">the Two-way </w:t>
      </w:r>
      <w:r w:rsidR="00B22FD0">
        <w:rPr>
          <w:rFonts w:ascii="Times New Roman" w:hAnsi="Times New Roman"/>
          <w:color w:val="000000"/>
          <w:kern w:val="0"/>
          <w:sz w:val="16"/>
          <w:szCs w:val="16"/>
        </w:rPr>
        <w:t xml:space="preserve">ANVOA with </w:t>
      </w:r>
      <w:r w:rsidR="00687A63">
        <w:rPr>
          <w:rFonts w:ascii="Times New Roman" w:hAnsi="Times New Roman"/>
          <w:color w:val="000000"/>
          <w:kern w:val="0"/>
          <w:sz w:val="16"/>
          <w:szCs w:val="16"/>
        </w:rPr>
        <w:t>Bonferroni’s</w:t>
      </w:r>
      <w:r w:rsidR="00B22FD0">
        <w:rPr>
          <w:rFonts w:ascii="Times New Roman" w:hAnsi="Times New Roman"/>
          <w:color w:val="000000"/>
          <w:kern w:val="0"/>
          <w:sz w:val="16"/>
          <w:szCs w:val="16"/>
        </w:rPr>
        <w:t xml:space="preserve"> post hoc test, </w:t>
      </w:r>
      <w:r w:rsidR="005C0331">
        <w:rPr>
          <w:rFonts w:ascii="Times New Roman" w:hAnsi="Times New Roman"/>
          <w:color w:val="000000"/>
          <w:kern w:val="0"/>
          <w:sz w:val="16"/>
          <w:szCs w:val="16"/>
        </w:rPr>
        <w:t xml:space="preserve">and </w:t>
      </w:r>
      <w:r w:rsidR="00B22FD0">
        <w:rPr>
          <w:rFonts w:ascii="Times New Roman" w:hAnsi="Times New Roman"/>
          <w:color w:val="000000"/>
          <w:kern w:val="0"/>
          <w:sz w:val="16"/>
          <w:szCs w:val="16"/>
        </w:rPr>
        <w:t xml:space="preserve">others </w:t>
      </w:r>
      <w:r w:rsidR="00687A63">
        <w:rPr>
          <w:rFonts w:ascii="Times New Roman" w:hAnsi="Times New Roman"/>
          <w:color w:val="000000"/>
          <w:kern w:val="0"/>
          <w:sz w:val="16"/>
          <w:szCs w:val="16"/>
        </w:rPr>
        <w:t>by Student’s</w:t>
      </w:r>
      <w:r w:rsidR="00B22FD0">
        <w:rPr>
          <w:rFonts w:ascii="Times New Roman" w:hAnsi="Times New Roman"/>
          <w:color w:val="000000"/>
          <w:kern w:val="0"/>
          <w:sz w:val="16"/>
          <w:szCs w:val="16"/>
        </w:rPr>
        <w:t xml:space="preserve"> t-test. </w:t>
      </w:r>
    </w:p>
    <w:p w14:paraId="004C8966" w14:textId="77777777" w:rsidR="00447CCB" w:rsidRDefault="00447CCB" w:rsidP="00447CCB">
      <w:pPr>
        <w:tabs>
          <w:tab w:val="left" w:pos="6361"/>
        </w:tabs>
        <w:rPr>
          <w:rFonts w:ascii="Times New Roman" w:hAnsi="Times New Roman"/>
          <w:color w:val="000000"/>
          <w:kern w:val="0"/>
          <w:sz w:val="16"/>
          <w:szCs w:val="16"/>
        </w:rPr>
      </w:pPr>
    </w:p>
    <w:p w14:paraId="1B9855F1" w14:textId="6FFAB707" w:rsidR="00474D5B" w:rsidRDefault="00447CCB" w:rsidP="00447CCB">
      <w:pPr>
        <w:tabs>
          <w:tab w:val="left" w:pos="6361"/>
        </w:tabs>
        <w:rPr>
          <w:rFonts w:ascii="Times New Roman" w:hAnsi="Times New Roman"/>
        </w:rPr>
      </w:pPr>
      <w:r>
        <w:rPr>
          <w:rFonts w:ascii="Times New Roman" w:hAnsi="Times New Roman"/>
          <w:noProof/>
          <w:sz w:val="18"/>
          <w:szCs w:val="18"/>
        </w:rPr>
        <w:pict w14:anchorId="46689601">
          <v:shape id="_x0000_i1030" type="#_x0000_t75" style="width:415pt;height:6in">
            <v:imagedata r:id="rId16" o:title="SI-Figure_6_20210516"/>
          </v:shape>
        </w:pict>
      </w:r>
    </w:p>
    <w:p w14:paraId="0012FC28" w14:textId="77777777" w:rsidR="00447CCB" w:rsidRDefault="00136C7A" w:rsidP="00447CCB">
      <w:pPr>
        <w:tabs>
          <w:tab w:val="left" w:pos="6361"/>
        </w:tabs>
        <w:rPr>
          <w:rFonts w:ascii="Times New Roman" w:hAnsi="Times New Roman"/>
          <w:kern w:val="0"/>
          <w:sz w:val="16"/>
          <w:szCs w:val="16"/>
        </w:rPr>
      </w:pPr>
      <w:r w:rsidRPr="00136C7A">
        <w:rPr>
          <w:rFonts w:ascii="Times New Roman" w:hAnsi="Times New Roman"/>
          <w:b/>
          <w:sz w:val="16"/>
          <w:szCs w:val="16"/>
        </w:rPr>
        <w:t>Supplementary</w:t>
      </w:r>
      <w:r w:rsidR="00917AE6" w:rsidRPr="00917AE6">
        <w:rPr>
          <w:rFonts w:ascii="Times New Roman" w:hAnsi="Times New Roman"/>
          <w:b/>
          <w:sz w:val="16"/>
          <w:szCs w:val="16"/>
        </w:rPr>
        <w:t xml:space="preserve"> Fig. </w:t>
      </w:r>
      <w:r w:rsidR="00C26547">
        <w:rPr>
          <w:rFonts w:ascii="Times New Roman" w:hAnsi="Times New Roman"/>
          <w:b/>
          <w:color w:val="000000"/>
          <w:kern w:val="0"/>
          <w:sz w:val="16"/>
          <w:szCs w:val="16"/>
        </w:rPr>
        <w:t>6</w:t>
      </w:r>
      <w:r w:rsidR="00B22FD0">
        <w:rPr>
          <w:rFonts w:ascii="Times New Roman" w:hAnsi="Times New Roman"/>
          <w:b/>
          <w:color w:val="000000"/>
          <w:kern w:val="0"/>
          <w:sz w:val="16"/>
          <w:szCs w:val="16"/>
        </w:rPr>
        <w:t xml:space="preserve">. </w:t>
      </w:r>
      <w:r w:rsidR="00B22FD0">
        <w:rPr>
          <w:rFonts w:ascii="Times New Roman" w:hAnsi="Times New Roman"/>
          <w:b/>
          <w:color w:val="000000"/>
          <w:sz w:val="16"/>
          <w:szCs w:val="16"/>
        </w:rPr>
        <w:t>Aβ induced up</w:t>
      </w:r>
      <w:r w:rsidR="002F7ADA">
        <w:rPr>
          <w:rFonts w:ascii="Times New Roman" w:hAnsi="Times New Roman"/>
          <w:b/>
          <w:color w:val="000000"/>
          <w:sz w:val="16"/>
          <w:szCs w:val="16"/>
        </w:rPr>
        <w:t>-</w:t>
      </w:r>
      <w:r w:rsidR="00B22FD0">
        <w:rPr>
          <w:rFonts w:ascii="Times New Roman" w:hAnsi="Times New Roman"/>
          <w:b/>
          <w:color w:val="000000"/>
          <w:sz w:val="16"/>
          <w:szCs w:val="16"/>
        </w:rPr>
        <w:t xml:space="preserve">regulation of IL-35 in pulmonary B cells. </w:t>
      </w:r>
      <w:r w:rsidR="00530493">
        <w:rPr>
          <w:rFonts w:ascii="Times New Roman" w:hAnsi="Times New Roman"/>
          <w:color w:val="000000"/>
          <w:kern w:val="0"/>
          <w:sz w:val="16"/>
          <w:szCs w:val="16"/>
        </w:rPr>
        <w:t>(</w:t>
      </w:r>
      <w:r w:rsidR="00530493">
        <w:rPr>
          <w:rFonts w:ascii="Times New Roman" w:hAnsi="Times New Roman" w:hint="eastAsia"/>
          <w:b/>
          <w:color w:val="000000"/>
          <w:kern w:val="0"/>
          <w:sz w:val="16"/>
          <w:szCs w:val="16"/>
        </w:rPr>
        <w:t>A</w:t>
      </w:r>
      <w:r w:rsidR="00530493">
        <w:rPr>
          <w:rFonts w:ascii="Times New Roman" w:hAnsi="Times New Roman"/>
          <w:color w:val="000000"/>
          <w:kern w:val="0"/>
          <w:sz w:val="16"/>
          <w:szCs w:val="16"/>
        </w:rPr>
        <w:t>)</w:t>
      </w:r>
      <w:r w:rsidR="00530493">
        <w:rPr>
          <w:rFonts w:ascii="Times New Roman" w:hAnsi="Times New Roman"/>
          <w:color w:val="000000"/>
          <w:sz w:val="16"/>
          <w:szCs w:val="16"/>
        </w:rPr>
        <w:t xml:space="preserve"> R</w:t>
      </w:r>
      <w:r w:rsidR="00530493">
        <w:rPr>
          <w:rFonts w:ascii="Times New Roman" w:hAnsi="Times New Roman"/>
          <w:color w:val="000000"/>
          <w:kern w:val="0"/>
          <w:sz w:val="16"/>
          <w:szCs w:val="16"/>
        </w:rPr>
        <w:t xml:space="preserve">epresentative images and quantification of </w:t>
      </w:r>
      <w:r w:rsidR="00530493">
        <w:rPr>
          <w:rFonts w:ascii="Times New Roman" w:hAnsi="Times New Roman"/>
          <w:color w:val="000000"/>
          <w:sz w:val="16"/>
          <w:szCs w:val="16"/>
        </w:rPr>
        <w:t>NeuN and 6E10</w:t>
      </w:r>
      <w:r w:rsidR="00530493">
        <w:rPr>
          <w:rFonts w:ascii="Times New Roman" w:hAnsi="Times New Roman"/>
          <w:color w:val="000000"/>
          <w:kern w:val="0"/>
          <w:sz w:val="16"/>
          <w:szCs w:val="16"/>
        </w:rPr>
        <w:t xml:space="preserve"> </w:t>
      </w:r>
      <w:r w:rsidR="00530493">
        <w:rPr>
          <w:rFonts w:ascii="Times New Roman" w:hAnsi="Times New Roman"/>
          <w:color w:val="000000"/>
          <w:sz w:val="16"/>
          <w:szCs w:val="16"/>
        </w:rPr>
        <w:t xml:space="preserve">in the frontal cortex of 3-month-old mice after </w:t>
      </w:r>
      <w:r w:rsidR="00530493">
        <w:rPr>
          <w:rFonts w:ascii="Times New Roman" w:hAnsi="Times New Roman"/>
          <w:sz w:val="16"/>
          <w:szCs w:val="16"/>
        </w:rPr>
        <w:t>dcLN ligation</w:t>
      </w:r>
      <w:r w:rsidR="00530493">
        <w:rPr>
          <w:rFonts w:ascii="Times New Roman" w:hAnsi="Times New Roman"/>
          <w:color w:val="000000"/>
          <w:sz w:val="16"/>
          <w:szCs w:val="16"/>
        </w:rPr>
        <w:t xml:space="preserve">. </w:t>
      </w:r>
      <w:r w:rsidR="00530493">
        <w:rPr>
          <w:rFonts w:ascii="Times New Roman" w:hAnsi="Times New Roman" w:hint="eastAsia"/>
          <w:color w:val="000000"/>
          <w:sz w:val="16"/>
          <w:szCs w:val="16"/>
        </w:rPr>
        <w:t>n</w:t>
      </w:r>
      <w:r w:rsidR="00530493">
        <w:rPr>
          <w:rFonts w:ascii="Times New Roman" w:hAnsi="Times New Roman"/>
          <w:color w:val="000000"/>
          <w:sz w:val="16"/>
          <w:szCs w:val="16"/>
        </w:rPr>
        <w:t xml:space="preserve"> = 5 per group. </w:t>
      </w:r>
      <w:r w:rsidR="00530493">
        <w:rPr>
          <w:rFonts w:ascii="Times New Roman" w:hAnsi="Times New Roman"/>
          <w:sz w:val="16"/>
          <w:szCs w:val="16"/>
        </w:rPr>
        <w:t>Scale bar = 30 μm.</w:t>
      </w:r>
      <w:r w:rsidR="00530493">
        <w:rPr>
          <w:rFonts w:ascii="Times New Roman" w:hAnsi="Times New Roman"/>
          <w:color w:val="000000"/>
          <w:kern w:val="0"/>
          <w:sz w:val="16"/>
          <w:szCs w:val="16"/>
        </w:rPr>
        <w:t xml:space="preserve"> (</w:t>
      </w:r>
      <w:r w:rsidR="00530493">
        <w:rPr>
          <w:rFonts w:ascii="Times New Roman" w:hAnsi="Times New Roman" w:hint="eastAsia"/>
          <w:b/>
          <w:color w:val="000000"/>
          <w:kern w:val="0"/>
          <w:sz w:val="16"/>
          <w:szCs w:val="16"/>
        </w:rPr>
        <w:t>B</w:t>
      </w:r>
      <w:r w:rsidR="00530493">
        <w:rPr>
          <w:rFonts w:ascii="Times New Roman" w:hAnsi="Times New Roman"/>
          <w:color w:val="000000"/>
          <w:kern w:val="0"/>
          <w:sz w:val="16"/>
          <w:szCs w:val="16"/>
        </w:rPr>
        <w:t>)</w:t>
      </w:r>
      <w:r w:rsidR="00530493">
        <w:rPr>
          <w:rFonts w:ascii="Times New Roman" w:hAnsi="Times New Roman"/>
          <w:color w:val="000000"/>
          <w:sz w:val="16"/>
          <w:szCs w:val="16"/>
        </w:rPr>
        <w:t xml:space="preserve"> R</w:t>
      </w:r>
      <w:r w:rsidR="00530493">
        <w:rPr>
          <w:rFonts w:ascii="Times New Roman" w:hAnsi="Times New Roman"/>
          <w:color w:val="000000"/>
          <w:kern w:val="0"/>
          <w:sz w:val="16"/>
          <w:szCs w:val="16"/>
        </w:rPr>
        <w:t xml:space="preserve">epresentative images and quantification of </w:t>
      </w:r>
      <w:r w:rsidR="00530493">
        <w:rPr>
          <w:rFonts w:ascii="Times New Roman" w:hAnsi="Times New Roman" w:hint="eastAsia"/>
          <w:color w:val="000000"/>
          <w:sz w:val="16"/>
          <w:szCs w:val="16"/>
        </w:rPr>
        <w:t>iba1</w:t>
      </w:r>
      <w:r w:rsidR="00530493" w:rsidRPr="00530493">
        <w:rPr>
          <w:rFonts w:ascii="Times New Roman" w:hAnsi="Times New Roman" w:hint="eastAsia"/>
          <w:color w:val="000000"/>
          <w:sz w:val="16"/>
          <w:szCs w:val="16"/>
          <w:vertAlign w:val="superscript"/>
        </w:rPr>
        <w:t>+</w:t>
      </w:r>
      <w:r w:rsidR="00530493">
        <w:rPr>
          <w:rFonts w:ascii="Times New Roman" w:hAnsi="Times New Roman" w:hint="eastAsia"/>
          <w:color w:val="000000"/>
          <w:sz w:val="16"/>
          <w:szCs w:val="16"/>
        </w:rPr>
        <w:t xml:space="preserve"> microglia</w:t>
      </w:r>
      <w:r w:rsidR="00530493">
        <w:rPr>
          <w:rFonts w:ascii="Times New Roman" w:hAnsi="Times New Roman"/>
          <w:color w:val="000000"/>
          <w:kern w:val="0"/>
          <w:sz w:val="16"/>
          <w:szCs w:val="16"/>
        </w:rPr>
        <w:t xml:space="preserve"> </w:t>
      </w:r>
      <w:r w:rsidR="00530493">
        <w:rPr>
          <w:rFonts w:ascii="Times New Roman" w:hAnsi="Times New Roman"/>
          <w:color w:val="000000"/>
          <w:sz w:val="16"/>
          <w:szCs w:val="16"/>
        </w:rPr>
        <w:t xml:space="preserve">in the frontal cortex of 3-month-old mice after </w:t>
      </w:r>
      <w:r w:rsidR="00530493">
        <w:rPr>
          <w:rFonts w:ascii="Times New Roman" w:hAnsi="Times New Roman"/>
          <w:sz w:val="16"/>
          <w:szCs w:val="16"/>
        </w:rPr>
        <w:t>dcLN ligation</w:t>
      </w:r>
      <w:r w:rsidR="00530493">
        <w:rPr>
          <w:rFonts w:ascii="Times New Roman" w:hAnsi="Times New Roman"/>
          <w:color w:val="000000"/>
          <w:sz w:val="16"/>
          <w:szCs w:val="16"/>
        </w:rPr>
        <w:t xml:space="preserve">. </w:t>
      </w:r>
      <w:r w:rsidR="00530493">
        <w:rPr>
          <w:rFonts w:ascii="Times New Roman" w:hAnsi="Times New Roman" w:hint="eastAsia"/>
          <w:color w:val="000000"/>
          <w:sz w:val="16"/>
          <w:szCs w:val="16"/>
        </w:rPr>
        <w:t>n</w:t>
      </w:r>
      <w:r w:rsidR="00530493">
        <w:rPr>
          <w:rFonts w:ascii="Times New Roman" w:hAnsi="Times New Roman"/>
          <w:color w:val="000000"/>
          <w:sz w:val="16"/>
          <w:szCs w:val="16"/>
        </w:rPr>
        <w:t xml:space="preserve"> = 5 per group. </w:t>
      </w:r>
      <w:r w:rsidR="00530493">
        <w:rPr>
          <w:rFonts w:ascii="Times New Roman" w:hAnsi="Times New Roman"/>
          <w:sz w:val="16"/>
          <w:szCs w:val="16"/>
        </w:rPr>
        <w:t>Scale bar = 30 μm.</w:t>
      </w:r>
      <w:r w:rsidR="00530493">
        <w:rPr>
          <w:rFonts w:ascii="Times New Roman" w:hAnsi="Times New Roman"/>
          <w:color w:val="000000"/>
          <w:kern w:val="0"/>
          <w:sz w:val="16"/>
          <w:szCs w:val="16"/>
        </w:rPr>
        <w:t xml:space="preserve"> (</w:t>
      </w:r>
      <w:r w:rsidR="00530493">
        <w:rPr>
          <w:rFonts w:ascii="Times New Roman" w:hAnsi="Times New Roman" w:hint="eastAsia"/>
          <w:b/>
          <w:color w:val="000000"/>
          <w:kern w:val="0"/>
          <w:sz w:val="16"/>
          <w:szCs w:val="16"/>
        </w:rPr>
        <w:t>C</w:t>
      </w:r>
      <w:r w:rsidR="00530493">
        <w:rPr>
          <w:rFonts w:ascii="Times New Roman" w:hAnsi="Times New Roman"/>
          <w:color w:val="000000"/>
          <w:kern w:val="0"/>
          <w:sz w:val="16"/>
          <w:szCs w:val="16"/>
        </w:rPr>
        <w:t>)</w:t>
      </w:r>
      <w:r w:rsidR="00530493">
        <w:rPr>
          <w:rFonts w:ascii="Times New Roman" w:hAnsi="Times New Roman"/>
          <w:color w:val="000000"/>
          <w:sz w:val="16"/>
          <w:szCs w:val="16"/>
        </w:rPr>
        <w:t xml:space="preserve"> R</w:t>
      </w:r>
      <w:r w:rsidR="00530493">
        <w:rPr>
          <w:rFonts w:ascii="Times New Roman" w:hAnsi="Times New Roman"/>
          <w:color w:val="000000"/>
          <w:kern w:val="0"/>
          <w:sz w:val="16"/>
          <w:szCs w:val="16"/>
        </w:rPr>
        <w:t xml:space="preserve">epresentative images and quantification of </w:t>
      </w:r>
      <w:r w:rsidR="00530493">
        <w:rPr>
          <w:rFonts w:ascii="Times New Roman" w:hAnsi="Times New Roman" w:hint="eastAsia"/>
          <w:color w:val="000000"/>
          <w:sz w:val="16"/>
          <w:szCs w:val="16"/>
        </w:rPr>
        <w:t>GFAP</w:t>
      </w:r>
      <w:r w:rsidR="00530493" w:rsidRPr="00530493">
        <w:rPr>
          <w:rFonts w:ascii="Times New Roman" w:hAnsi="Times New Roman" w:hint="eastAsia"/>
          <w:color w:val="000000"/>
          <w:sz w:val="16"/>
          <w:szCs w:val="16"/>
          <w:vertAlign w:val="superscript"/>
        </w:rPr>
        <w:t>+</w:t>
      </w:r>
      <w:r w:rsidR="00530493">
        <w:rPr>
          <w:rFonts w:ascii="Times New Roman" w:hAnsi="Times New Roman" w:hint="eastAsia"/>
          <w:color w:val="000000"/>
          <w:sz w:val="16"/>
          <w:szCs w:val="16"/>
        </w:rPr>
        <w:t xml:space="preserve"> astrocytes and </w:t>
      </w:r>
      <w:r w:rsidR="00775E05">
        <w:rPr>
          <w:rFonts w:ascii="Times New Roman" w:hAnsi="Times New Roman" w:hint="eastAsia"/>
          <w:color w:val="000000"/>
          <w:sz w:val="16"/>
          <w:szCs w:val="16"/>
        </w:rPr>
        <w:t>aquaporin-</w:t>
      </w:r>
      <w:r w:rsidR="00530493">
        <w:rPr>
          <w:rFonts w:ascii="Times New Roman" w:hAnsi="Times New Roman" w:hint="eastAsia"/>
          <w:color w:val="000000"/>
          <w:sz w:val="16"/>
          <w:szCs w:val="16"/>
        </w:rPr>
        <w:t>4 polarization</w:t>
      </w:r>
      <w:r w:rsidR="00530493">
        <w:rPr>
          <w:rFonts w:ascii="Times New Roman" w:hAnsi="Times New Roman"/>
          <w:color w:val="000000"/>
          <w:kern w:val="0"/>
          <w:sz w:val="16"/>
          <w:szCs w:val="16"/>
        </w:rPr>
        <w:t xml:space="preserve"> </w:t>
      </w:r>
      <w:r w:rsidR="00530493">
        <w:rPr>
          <w:rFonts w:ascii="Times New Roman" w:hAnsi="Times New Roman"/>
          <w:color w:val="000000"/>
          <w:sz w:val="16"/>
          <w:szCs w:val="16"/>
        </w:rPr>
        <w:t xml:space="preserve">in </w:t>
      </w:r>
      <w:r w:rsidR="00530493">
        <w:rPr>
          <w:rFonts w:ascii="Times New Roman" w:hAnsi="Times New Roman"/>
          <w:color w:val="000000"/>
          <w:sz w:val="16"/>
          <w:szCs w:val="16"/>
        </w:rPr>
        <w:lastRenderedPageBreak/>
        <w:t xml:space="preserve">the frontal cortex of 3-month-old mice after </w:t>
      </w:r>
      <w:r w:rsidR="00530493">
        <w:rPr>
          <w:rFonts w:ascii="Times New Roman" w:hAnsi="Times New Roman"/>
          <w:sz w:val="16"/>
          <w:szCs w:val="16"/>
        </w:rPr>
        <w:t>dcLN ligation</w:t>
      </w:r>
      <w:r w:rsidR="00530493">
        <w:rPr>
          <w:rFonts w:ascii="Times New Roman" w:hAnsi="Times New Roman"/>
          <w:color w:val="000000"/>
          <w:sz w:val="16"/>
          <w:szCs w:val="16"/>
        </w:rPr>
        <w:t xml:space="preserve">. </w:t>
      </w:r>
      <w:r w:rsidR="00530493">
        <w:rPr>
          <w:rFonts w:ascii="Times New Roman" w:hAnsi="Times New Roman" w:hint="eastAsia"/>
          <w:color w:val="000000"/>
          <w:sz w:val="16"/>
          <w:szCs w:val="16"/>
        </w:rPr>
        <w:t>n</w:t>
      </w:r>
      <w:r w:rsidR="00530493">
        <w:rPr>
          <w:rFonts w:ascii="Times New Roman" w:hAnsi="Times New Roman"/>
          <w:color w:val="000000"/>
          <w:sz w:val="16"/>
          <w:szCs w:val="16"/>
        </w:rPr>
        <w:t xml:space="preserve"> = 5 per group. </w:t>
      </w:r>
      <w:r w:rsidR="00775E05" w:rsidRPr="0018645E">
        <w:rPr>
          <w:rFonts w:ascii="Times New Roman" w:hAnsi="Times New Roman"/>
          <w:color w:val="000000"/>
          <w:kern w:val="0"/>
          <w:sz w:val="16"/>
          <w:szCs w:val="16"/>
        </w:rPr>
        <w:t xml:space="preserve">Polarization index equals peak vascular end foot fluorescence </w:t>
      </w:r>
      <w:r w:rsidR="00775E05" w:rsidRPr="0018645E">
        <w:rPr>
          <w:rFonts w:ascii="Times New Roman" w:hAnsi="Times New Roman" w:hint="eastAsia"/>
          <w:color w:val="000000"/>
          <w:kern w:val="0"/>
          <w:sz w:val="16"/>
          <w:szCs w:val="16"/>
        </w:rPr>
        <w:t>divided by</w:t>
      </w:r>
      <w:r w:rsidR="00775E05" w:rsidRPr="0018645E">
        <w:rPr>
          <w:rFonts w:ascii="Times New Roman" w:hAnsi="Times New Roman"/>
          <w:color w:val="000000"/>
          <w:kern w:val="0"/>
          <w:sz w:val="16"/>
          <w:szCs w:val="16"/>
        </w:rPr>
        <w:t xml:space="preserve"> 10 µm baseline</w:t>
      </w:r>
      <w:r w:rsidR="00775E05">
        <w:rPr>
          <w:rFonts w:ascii="Times New Roman" w:hAnsi="Times New Roman"/>
          <w:color w:val="666666"/>
          <w:sz w:val="17"/>
          <w:szCs w:val="17"/>
          <w:shd w:val="clear" w:color="auto" w:fill="FFFCF0"/>
        </w:rPr>
        <w:t>.</w:t>
      </w:r>
      <w:r w:rsidR="00775E05">
        <w:rPr>
          <w:rFonts w:ascii="Times New Roman" w:hAnsi="Times New Roman" w:hint="eastAsia"/>
          <w:color w:val="666666"/>
          <w:sz w:val="17"/>
          <w:szCs w:val="17"/>
          <w:shd w:val="clear" w:color="auto" w:fill="FFFCF0"/>
        </w:rPr>
        <w:t xml:space="preserve"> </w:t>
      </w:r>
      <w:r w:rsidR="00530493">
        <w:rPr>
          <w:rFonts w:ascii="Times New Roman" w:hAnsi="Times New Roman"/>
          <w:sz w:val="16"/>
          <w:szCs w:val="16"/>
        </w:rPr>
        <w:t>Scale bar = 30 μm.</w:t>
      </w:r>
      <w:r w:rsidR="00530493">
        <w:rPr>
          <w:rFonts w:ascii="Times New Roman" w:hAnsi="Times New Roman"/>
          <w:color w:val="000000"/>
          <w:kern w:val="0"/>
          <w:sz w:val="16"/>
          <w:szCs w:val="16"/>
        </w:rPr>
        <w:t xml:space="preserve"> </w:t>
      </w:r>
      <w:r w:rsidR="00B22FD0">
        <w:rPr>
          <w:rFonts w:ascii="Times New Roman" w:hAnsi="Times New Roman"/>
          <w:color w:val="000000"/>
          <w:kern w:val="0"/>
          <w:sz w:val="16"/>
          <w:szCs w:val="16"/>
        </w:rPr>
        <w:t>(</w:t>
      </w:r>
      <w:r w:rsidR="00530493">
        <w:rPr>
          <w:rFonts w:ascii="Times New Roman" w:hAnsi="Times New Roman" w:hint="eastAsia"/>
          <w:b/>
          <w:color w:val="000000"/>
          <w:kern w:val="0"/>
          <w:sz w:val="16"/>
          <w:szCs w:val="16"/>
        </w:rPr>
        <w:t>D</w:t>
      </w:r>
      <w:r w:rsidR="00B22FD0">
        <w:rPr>
          <w:rFonts w:ascii="Times New Roman" w:hAnsi="Times New Roman"/>
          <w:color w:val="000000"/>
          <w:kern w:val="0"/>
          <w:sz w:val="16"/>
          <w:szCs w:val="16"/>
        </w:rPr>
        <w:t>)</w:t>
      </w:r>
      <w:r w:rsidR="00B22FD0">
        <w:rPr>
          <w:rFonts w:ascii="Times New Roman" w:hAnsi="Times New Roman"/>
          <w:color w:val="000000"/>
          <w:sz w:val="16"/>
          <w:szCs w:val="16"/>
        </w:rPr>
        <w:t xml:space="preserve"> Representative bands and quantification of western blot for SYP, SYN, PSD95, MAP2 and M</w:t>
      </w:r>
      <w:r w:rsidR="00B22FD0">
        <w:rPr>
          <w:rFonts w:ascii="Times New Roman" w:hAnsi="Times New Roman"/>
          <w:sz w:val="16"/>
          <w:szCs w:val="16"/>
        </w:rPr>
        <w:t>BP in the lungs of WT and 5xFAD mice after dcLN ligation. n = 5-6 per group.</w:t>
      </w:r>
      <w:r w:rsidR="00B22FD0">
        <w:rPr>
          <w:rFonts w:ascii="Times New Roman" w:hAnsi="Times New Roman"/>
          <w:b/>
          <w:sz w:val="16"/>
          <w:szCs w:val="16"/>
        </w:rPr>
        <w:t xml:space="preserve"> </w:t>
      </w:r>
      <w:r w:rsidR="00B22FD0">
        <w:rPr>
          <w:rFonts w:ascii="Times New Roman" w:hAnsi="Times New Roman"/>
          <w:kern w:val="0"/>
          <w:sz w:val="16"/>
          <w:szCs w:val="16"/>
        </w:rPr>
        <w:t>(</w:t>
      </w:r>
      <w:r w:rsidR="00530493">
        <w:rPr>
          <w:rFonts w:ascii="Times New Roman" w:hAnsi="Times New Roman" w:hint="eastAsia"/>
          <w:b/>
          <w:kern w:val="0"/>
          <w:sz w:val="16"/>
          <w:szCs w:val="16"/>
        </w:rPr>
        <w:t>E</w:t>
      </w:r>
      <w:r w:rsidR="00B22FD0">
        <w:rPr>
          <w:rFonts w:ascii="Times New Roman" w:hAnsi="Times New Roman"/>
          <w:kern w:val="0"/>
          <w:sz w:val="16"/>
          <w:szCs w:val="16"/>
        </w:rPr>
        <w:t>)</w:t>
      </w:r>
      <w:r w:rsidR="00B22FD0">
        <w:rPr>
          <w:rFonts w:ascii="Times New Roman" w:hAnsi="Times New Roman"/>
          <w:sz w:val="16"/>
          <w:szCs w:val="16"/>
        </w:rPr>
        <w:t xml:space="preserve"> </w:t>
      </w:r>
      <w:r w:rsidR="00B22FD0">
        <w:rPr>
          <w:rFonts w:ascii="Times New Roman" w:hAnsi="Times New Roman"/>
          <w:kern w:val="0"/>
          <w:sz w:val="16"/>
          <w:szCs w:val="16"/>
        </w:rPr>
        <w:t xml:space="preserve">Q-PCR for toll-like receptors and NF-κB pathways relative genes in the pulmonary B cells after Aβ stimulation in 3-month-old WT mice. </w:t>
      </w:r>
      <w:r w:rsidR="001B22B7">
        <w:rPr>
          <w:rFonts w:ascii="Times New Roman" w:hAnsi="Times New Roman"/>
          <w:color w:val="000000"/>
          <w:sz w:val="16"/>
          <w:szCs w:val="16"/>
        </w:rPr>
        <w:t xml:space="preserve">n = </w:t>
      </w:r>
      <w:r w:rsidR="001B22B7">
        <w:rPr>
          <w:rFonts w:ascii="Times New Roman" w:hAnsi="Times New Roman" w:hint="eastAsia"/>
          <w:color w:val="000000"/>
          <w:sz w:val="16"/>
          <w:szCs w:val="16"/>
        </w:rPr>
        <w:t>5</w:t>
      </w:r>
      <w:r w:rsidR="001B22B7">
        <w:rPr>
          <w:rFonts w:ascii="Times New Roman" w:hAnsi="Times New Roman"/>
          <w:color w:val="000000"/>
          <w:sz w:val="16"/>
          <w:szCs w:val="16"/>
        </w:rPr>
        <w:t xml:space="preserve"> per group.</w:t>
      </w:r>
      <w:r w:rsidR="001B22B7">
        <w:rPr>
          <w:rFonts w:ascii="Times New Roman" w:hAnsi="Times New Roman"/>
          <w:color w:val="000000"/>
          <w:kern w:val="0"/>
          <w:sz w:val="16"/>
          <w:szCs w:val="16"/>
        </w:rPr>
        <w:t xml:space="preserve"> </w:t>
      </w:r>
      <w:r w:rsidR="00B22FD0">
        <w:rPr>
          <w:rFonts w:ascii="Times New Roman" w:hAnsi="Times New Roman"/>
          <w:sz w:val="16"/>
          <w:szCs w:val="16"/>
        </w:rPr>
        <w:t>*</w:t>
      </w:r>
      <w:r w:rsidR="00B22FD0">
        <w:rPr>
          <w:rFonts w:ascii="Times New Roman" w:hAnsi="Times New Roman"/>
          <w:i/>
          <w:sz w:val="16"/>
          <w:szCs w:val="16"/>
        </w:rPr>
        <w:t>P</w:t>
      </w:r>
      <w:r w:rsidR="00B22FD0">
        <w:rPr>
          <w:rFonts w:ascii="Times New Roman" w:hAnsi="Times New Roman"/>
          <w:sz w:val="16"/>
          <w:szCs w:val="16"/>
        </w:rPr>
        <w:t xml:space="preserve"> &lt; 0.05, **</w:t>
      </w:r>
      <w:r w:rsidR="00B22FD0">
        <w:rPr>
          <w:rFonts w:ascii="Times New Roman" w:hAnsi="Times New Roman"/>
          <w:i/>
          <w:sz w:val="16"/>
          <w:szCs w:val="16"/>
        </w:rPr>
        <w:t>P</w:t>
      </w:r>
      <w:r w:rsidR="00B22FD0">
        <w:rPr>
          <w:rFonts w:ascii="Times New Roman" w:hAnsi="Times New Roman"/>
          <w:sz w:val="16"/>
          <w:szCs w:val="16"/>
        </w:rPr>
        <w:t xml:space="preserve"> &lt; 0.01, ***</w:t>
      </w:r>
      <w:r w:rsidR="00B22FD0">
        <w:rPr>
          <w:rFonts w:ascii="Times New Roman" w:hAnsi="Times New Roman"/>
          <w:i/>
          <w:sz w:val="16"/>
          <w:szCs w:val="16"/>
        </w:rPr>
        <w:t>P</w:t>
      </w:r>
      <w:r w:rsidR="00B22FD0">
        <w:rPr>
          <w:rFonts w:ascii="Times New Roman" w:hAnsi="Times New Roman"/>
          <w:sz w:val="16"/>
          <w:szCs w:val="16"/>
        </w:rPr>
        <w:t xml:space="preserve"> &lt; 0.001, ****</w:t>
      </w:r>
      <w:r w:rsidR="00B22FD0">
        <w:rPr>
          <w:rFonts w:ascii="Times New Roman" w:hAnsi="Times New Roman"/>
          <w:i/>
          <w:sz w:val="16"/>
          <w:szCs w:val="16"/>
        </w:rPr>
        <w:t>P</w:t>
      </w:r>
      <w:r w:rsidR="00B22FD0">
        <w:rPr>
          <w:rFonts w:ascii="Times New Roman" w:hAnsi="Times New Roman"/>
          <w:sz w:val="16"/>
          <w:szCs w:val="16"/>
        </w:rPr>
        <w:t xml:space="preserve"> &lt; 0.0001. </w:t>
      </w:r>
      <w:r w:rsidR="00B22FD0">
        <w:rPr>
          <w:rFonts w:ascii="Times New Roman" w:hAnsi="Times New Roman"/>
          <w:kern w:val="0"/>
          <w:sz w:val="16"/>
          <w:szCs w:val="16"/>
        </w:rPr>
        <w:t xml:space="preserve">Data in </w:t>
      </w:r>
      <w:r w:rsidR="001D18C6" w:rsidRPr="0018645E">
        <w:rPr>
          <w:rFonts w:ascii="Times New Roman" w:hAnsi="Times New Roman" w:hint="eastAsia"/>
          <w:b/>
          <w:bCs/>
          <w:kern w:val="0"/>
          <w:sz w:val="16"/>
          <w:szCs w:val="16"/>
        </w:rPr>
        <w:t>A</w:t>
      </w:r>
      <w:r w:rsidR="001D18C6">
        <w:rPr>
          <w:rFonts w:ascii="Times New Roman" w:hAnsi="Times New Roman" w:hint="eastAsia"/>
          <w:kern w:val="0"/>
          <w:sz w:val="16"/>
          <w:szCs w:val="16"/>
        </w:rPr>
        <w:t xml:space="preserve"> and </w:t>
      </w:r>
      <w:r w:rsidR="001D18C6" w:rsidRPr="0018645E">
        <w:rPr>
          <w:rFonts w:ascii="Times New Roman" w:hAnsi="Times New Roman" w:hint="eastAsia"/>
          <w:b/>
          <w:bCs/>
          <w:kern w:val="0"/>
          <w:sz w:val="16"/>
          <w:szCs w:val="16"/>
        </w:rPr>
        <w:t>E</w:t>
      </w:r>
      <w:r w:rsidR="001D18C6" w:rsidRPr="0018645E">
        <w:rPr>
          <w:rFonts w:ascii="Times New Roman" w:hAnsi="Times New Roman"/>
          <w:b/>
          <w:bCs/>
          <w:kern w:val="0"/>
          <w:sz w:val="16"/>
          <w:szCs w:val="16"/>
        </w:rPr>
        <w:t xml:space="preserve"> </w:t>
      </w:r>
      <w:r w:rsidR="001D18C6" w:rsidRPr="00C26547">
        <w:rPr>
          <w:rFonts w:ascii="Times New Roman" w:hAnsi="Times New Roman"/>
          <w:kern w:val="0"/>
          <w:sz w:val="16"/>
          <w:szCs w:val="16"/>
        </w:rPr>
        <w:t xml:space="preserve">by </w:t>
      </w:r>
      <w:r w:rsidR="001D18C6">
        <w:rPr>
          <w:rFonts w:ascii="Times New Roman" w:hAnsi="Times New Roman"/>
          <w:kern w:val="0"/>
          <w:sz w:val="16"/>
          <w:szCs w:val="16"/>
        </w:rPr>
        <w:t xml:space="preserve">Student’s </w:t>
      </w:r>
      <w:r w:rsidR="001D18C6" w:rsidRPr="00C26547">
        <w:rPr>
          <w:rFonts w:ascii="Times New Roman" w:hAnsi="Times New Roman"/>
          <w:i/>
          <w:kern w:val="0"/>
          <w:sz w:val="16"/>
          <w:szCs w:val="16"/>
        </w:rPr>
        <w:t>t</w:t>
      </w:r>
      <w:r w:rsidR="001D18C6">
        <w:rPr>
          <w:rFonts w:ascii="Times New Roman" w:hAnsi="Times New Roman"/>
          <w:kern w:val="0"/>
          <w:sz w:val="16"/>
          <w:szCs w:val="16"/>
        </w:rPr>
        <w:t>-test</w:t>
      </w:r>
      <w:r w:rsidR="001D18C6" w:rsidRPr="004B5668">
        <w:rPr>
          <w:rFonts w:ascii="Times New Roman" w:hAnsi="Times New Roman"/>
          <w:kern w:val="0"/>
          <w:sz w:val="16"/>
          <w:szCs w:val="16"/>
        </w:rPr>
        <w:t xml:space="preserve">, and in </w:t>
      </w:r>
      <w:r w:rsidR="00530493">
        <w:rPr>
          <w:rFonts w:ascii="Times New Roman" w:hAnsi="Times New Roman" w:hint="eastAsia"/>
          <w:b/>
          <w:kern w:val="0"/>
          <w:sz w:val="16"/>
          <w:szCs w:val="16"/>
        </w:rPr>
        <w:t>B-D</w:t>
      </w:r>
      <w:r w:rsidR="00530493">
        <w:rPr>
          <w:rFonts w:ascii="Times New Roman" w:hAnsi="Times New Roman"/>
          <w:kern w:val="0"/>
          <w:sz w:val="16"/>
          <w:szCs w:val="16"/>
        </w:rPr>
        <w:t xml:space="preserve"> </w:t>
      </w:r>
      <w:r w:rsidR="005C0331">
        <w:rPr>
          <w:rFonts w:ascii="Times New Roman" w:hAnsi="Times New Roman"/>
          <w:kern w:val="0"/>
          <w:sz w:val="16"/>
          <w:szCs w:val="16"/>
        </w:rPr>
        <w:t xml:space="preserve">by </w:t>
      </w:r>
      <w:r w:rsidR="001D18C6">
        <w:rPr>
          <w:rFonts w:ascii="Times New Roman" w:hAnsi="Times New Roman"/>
          <w:kern w:val="0"/>
          <w:sz w:val="16"/>
          <w:szCs w:val="16"/>
        </w:rPr>
        <w:t xml:space="preserve">the Two-way </w:t>
      </w:r>
      <w:r w:rsidR="00B22FD0">
        <w:rPr>
          <w:rFonts w:ascii="Times New Roman" w:hAnsi="Times New Roman"/>
          <w:kern w:val="0"/>
          <w:sz w:val="16"/>
          <w:szCs w:val="16"/>
        </w:rPr>
        <w:t>ANOVA with Bonferroni’s post hoc test.</w:t>
      </w:r>
    </w:p>
    <w:p w14:paraId="506B0B0D" w14:textId="77777777" w:rsidR="00447CCB" w:rsidRDefault="00447CCB" w:rsidP="00447CCB">
      <w:pPr>
        <w:tabs>
          <w:tab w:val="left" w:pos="6361"/>
        </w:tabs>
        <w:rPr>
          <w:rFonts w:ascii="Times New Roman" w:hAnsi="Times New Roman"/>
          <w:kern w:val="0"/>
          <w:sz w:val="16"/>
          <w:szCs w:val="16"/>
        </w:rPr>
      </w:pPr>
    </w:p>
    <w:p w14:paraId="3C9D693C" w14:textId="73604CB1" w:rsidR="00D86489" w:rsidRDefault="00447CCB" w:rsidP="00447CCB">
      <w:pPr>
        <w:tabs>
          <w:tab w:val="left" w:pos="6361"/>
        </w:tabs>
        <w:rPr>
          <w:rFonts w:ascii="Times New Roman" w:hAnsi="Times New Roman"/>
          <w:color w:val="FF0000"/>
          <w:sz w:val="16"/>
          <w:szCs w:val="16"/>
        </w:rPr>
      </w:pPr>
      <w:r>
        <w:rPr>
          <w:rFonts w:ascii="Times New Roman" w:hAnsi="Times New Roman"/>
          <w:noProof/>
          <w:color w:val="FF0000"/>
          <w:sz w:val="16"/>
          <w:szCs w:val="16"/>
        </w:rPr>
        <w:pict w14:anchorId="354F7BBB">
          <v:shape id="Image1" o:spid="_x0000_i1031" type="#_x0000_t75" style="width:313.8pt;height:254.05pt;visibility:visible">
            <v:imagedata r:id="rId17" o:title=""/>
          </v:shape>
        </w:pict>
      </w:r>
    </w:p>
    <w:p w14:paraId="51DABC89" w14:textId="77777777" w:rsidR="00447CCB" w:rsidRDefault="00136C7A" w:rsidP="00447CCB">
      <w:pPr>
        <w:rPr>
          <w:rFonts w:ascii="Times New Roman" w:hAnsi="Times New Roman"/>
          <w:sz w:val="16"/>
          <w:szCs w:val="16"/>
        </w:rPr>
      </w:pPr>
      <w:r w:rsidRPr="00136C7A">
        <w:rPr>
          <w:rFonts w:ascii="Times New Roman" w:hAnsi="Times New Roman"/>
          <w:b/>
          <w:sz w:val="16"/>
          <w:szCs w:val="16"/>
        </w:rPr>
        <w:t>Supplementary</w:t>
      </w:r>
      <w:r w:rsidR="00917AE6" w:rsidRPr="00917AE6">
        <w:rPr>
          <w:rFonts w:ascii="Times New Roman" w:hAnsi="Times New Roman"/>
          <w:b/>
          <w:sz w:val="16"/>
          <w:szCs w:val="16"/>
        </w:rPr>
        <w:t xml:space="preserve"> Fig. </w:t>
      </w:r>
      <w:r w:rsidR="003D3E93">
        <w:rPr>
          <w:rFonts w:ascii="Times New Roman" w:hAnsi="Times New Roman"/>
          <w:b/>
          <w:sz w:val="16"/>
          <w:szCs w:val="16"/>
        </w:rPr>
        <w:t>7.</w:t>
      </w:r>
      <w:r w:rsidR="00B22FD0">
        <w:rPr>
          <w:rFonts w:ascii="Times New Roman" w:hAnsi="Times New Roman"/>
          <w:sz w:val="16"/>
          <w:szCs w:val="16"/>
        </w:rPr>
        <w:t xml:space="preserve"> </w:t>
      </w:r>
      <w:r w:rsidR="005C0331">
        <w:rPr>
          <w:rFonts w:ascii="Times New Roman" w:hAnsi="Times New Roman"/>
          <w:sz w:val="16"/>
          <w:szCs w:val="16"/>
        </w:rPr>
        <w:t>I</w:t>
      </w:r>
      <w:r w:rsidR="00B22FD0">
        <w:rPr>
          <w:rFonts w:ascii="Times New Roman" w:hAnsi="Times New Roman"/>
          <w:sz w:val="16"/>
          <w:szCs w:val="16"/>
        </w:rPr>
        <w:t>nvolvement of</w:t>
      </w:r>
      <w:r w:rsidR="005C0331">
        <w:rPr>
          <w:rFonts w:ascii="Times New Roman" w:hAnsi="Times New Roman"/>
          <w:sz w:val="16"/>
          <w:szCs w:val="16"/>
        </w:rPr>
        <w:t xml:space="preserve"> the</w:t>
      </w:r>
      <w:r w:rsidR="00B22FD0">
        <w:rPr>
          <w:rFonts w:ascii="Times New Roman" w:hAnsi="Times New Roman"/>
          <w:sz w:val="16"/>
          <w:szCs w:val="16"/>
        </w:rPr>
        <w:t xml:space="preserve"> “lung-brain” axis in the Aβ related pathology. </w:t>
      </w:r>
      <w:r w:rsidR="001231FD">
        <w:rPr>
          <w:rFonts w:ascii="Times New Roman" w:hAnsi="Times New Roman" w:hint="eastAsia"/>
          <w:sz w:val="16"/>
          <w:szCs w:val="16"/>
        </w:rPr>
        <w:t>Brain derived A</w:t>
      </w:r>
      <w:r w:rsidR="001231FD">
        <w:rPr>
          <w:rFonts w:ascii="Times New Roman" w:hAnsi="Times New Roman"/>
          <w:sz w:val="16"/>
          <w:szCs w:val="16"/>
        </w:rPr>
        <w:t>β</w:t>
      </w:r>
      <w:r w:rsidR="001231FD">
        <w:rPr>
          <w:rFonts w:ascii="Times New Roman" w:hAnsi="Times New Roman" w:hint="eastAsia"/>
          <w:sz w:val="16"/>
          <w:szCs w:val="16"/>
        </w:rPr>
        <w:t xml:space="preserve"> </w:t>
      </w:r>
      <w:r w:rsidR="001E63EA">
        <w:rPr>
          <w:rFonts w:ascii="Times New Roman" w:hAnsi="Times New Roman"/>
          <w:sz w:val="16"/>
          <w:szCs w:val="16"/>
        </w:rPr>
        <w:t>are</w:t>
      </w:r>
      <w:r w:rsidR="001231FD">
        <w:rPr>
          <w:rFonts w:ascii="Times New Roman" w:hAnsi="Times New Roman" w:hint="eastAsia"/>
          <w:sz w:val="16"/>
          <w:szCs w:val="16"/>
        </w:rPr>
        <w:t xml:space="preserve"> transported to the lungs</w:t>
      </w:r>
      <w:r w:rsidR="005C0331">
        <w:rPr>
          <w:rFonts w:ascii="Times New Roman" w:hAnsi="Times New Roman"/>
          <w:sz w:val="16"/>
          <w:szCs w:val="16"/>
        </w:rPr>
        <w:t>, subsequently</w:t>
      </w:r>
      <w:r w:rsidR="001231FD">
        <w:rPr>
          <w:rFonts w:ascii="Times New Roman" w:hAnsi="Times New Roman" w:hint="eastAsia"/>
          <w:sz w:val="16"/>
          <w:szCs w:val="16"/>
        </w:rPr>
        <w:t xml:space="preserve"> </w:t>
      </w:r>
      <w:r w:rsidR="001E63EA">
        <w:rPr>
          <w:rFonts w:ascii="Times New Roman" w:hAnsi="Times New Roman" w:hint="eastAsia"/>
          <w:sz w:val="16"/>
          <w:szCs w:val="16"/>
        </w:rPr>
        <w:t>activat</w:t>
      </w:r>
      <w:r w:rsidR="005C0331">
        <w:rPr>
          <w:rFonts w:ascii="Times New Roman" w:hAnsi="Times New Roman"/>
          <w:sz w:val="16"/>
          <w:szCs w:val="16"/>
        </w:rPr>
        <w:t>ing</w:t>
      </w:r>
      <w:r w:rsidR="001E63EA">
        <w:rPr>
          <w:rFonts w:ascii="Times New Roman" w:hAnsi="Times New Roman" w:hint="eastAsia"/>
          <w:sz w:val="16"/>
          <w:szCs w:val="16"/>
        </w:rPr>
        <w:t xml:space="preserve"> IL-35</w:t>
      </w:r>
      <w:r w:rsidR="001E63EA">
        <w:rPr>
          <w:rFonts w:ascii="Times New Roman" w:hAnsi="Times New Roman"/>
          <w:sz w:val="16"/>
          <w:szCs w:val="16"/>
        </w:rPr>
        <w:t>-produced</w:t>
      </w:r>
      <w:r w:rsidR="001231FD">
        <w:rPr>
          <w:rFonts w:ascii="Times New Roman" w:hAnsi="Times New Roman" w:hint="eastAsia"/>
          <w:sz w:val="16"/>
          <w:szCs w:val="16"/>
        </w:rPr>
        <w:t xml:space="preserve"> B cells. These B cells migrate to the brain</w:t>
      </w:r>
      <w:r w:rsidR="001E63EA">
        <w:rPr>
          <w:rFonts w:ascii="Times New Roman" w:hAnsi="Times New Roman"/>
          <w:sz w:val="16"/>
          <w:szCs w:val="16"/>
        </w:rPr>
        <w:t xml:space="preserve"> and</w:t>
      </w:r>
      <w:r w:rsidR="001231FD">
        <w:rPr>
          <w:rFonts w:ascii="Times New Roman" w:hAnsi="Times New Roman" w:hint="eastAsia"/>
          <w:sz w:val="16"/>
          <w:szCs w:val="16"/>
        </w:rPr>
        <w:t xml:space="preserve"> </w:t>
      </w:r>
      <w:r w:rsidR="000E4541">
        <w:rPr>
          <w:rFonts w:ascii="Times New Roman" w:hAnsi="Times New Roman" w:hint="eastAsia"/>
          <w:sz w:val="16"/>
          <w:szCs w:val="16"/>
        </w:rPr>
        <w:t xml:space="preserve">down-regulate neuronal BACE1 expression via IL-35/SOCS1/STAT1 pathway, </w:t>
      </w:r>
      <w:r w:rsidR="005C0331">
        <w:rPr>
          <w:rFonts w:ascii="Times New Roman" w:hAnsi="Times New Roman"/>
          <w:sz w:val="16"/>
          <w:szCs w:val="16"/>
        </w:rPr>
        <w:t xml:space="preserve">consequently </w:t>
      </w:r>
      <w:r w:rsidR="001231FD">
        <w:rPr>
          <w:rFonts w:ascii="Times New Roman" w:hAnsi="Times New Roman" w:hint="eastAsia"/>
          <w:sz w:val="16"/>
          <w:szCs w:val="16"/>
        </w:rPr>
        <w:t>inh</w:t>
      </w:r>
      <w:r w:rsidR="000E4541">
        <w:rPr>
          <w:rFonts w:ascii="Times New Roman" w:hAnsi="Times New Roman" w:hint="eastAsia"/>
          <w:sz w:val="16"/>
          <w:szCs w:val="16"/>
        </w:rPr>
        <w:t>i</w:t>
      </w:r>
      <w:r w:rsidR="001E63EA">
        <w:rPr>
          <w:rFonts w:ascii="Times New Roman" w:hAnsi="Times New Roman" w:hint="eastAsia"/>
          <w:sz w:val="16"/>
          <w:szCs w:val="16"/>
        </w:rPr>
        <w:t>bit</w:t>
      </w:r>
      <w:r w:rsidR="001E63EA">
        <w:rPr>
          <w:rFonts w:ascii="Times New Roman" w:hAnsi="Times New Roman"/>
          <w:sz w:val="16"/>
          <w:szCs w:val="16"/>
        </w:rPr>
        <w:t>ing</w:t>
      </w:r>
      <w:r w:rsidR="001231FD">
        <w:rPr>
          <w:rFonts w:ascii="Times New Roman" w:hAnsi="Times New Roman" w:hint="eastAsia"/>
          <w:sz w:val="16"/>
          <w:szCs w:val="16"/>
        </w:rPr>
        <w:t xml:space="preserve"> A</w:t>
      </w:r>
      <w:r w:rsidR="001231FD">
        <w:rPr>
          <w:rFonts w:ascii="Times New Roman" w:hAnsi="Times New Roman"/>
          <w:sz w:val="16"/>
          <w:szCs w:val="16"/>
        </w:rPr>
        <w:t>β</w:t>
      </w:r>
      <w:r w:rsidR="001231FD">
        <w:rPr>
          <w:rFonts w:ascii="Times New Roman" w:hAnsi="Times New Roman" w:hint="eastAsia"/>
          <w:sz w:val="16"/>
          <w:szCs w:val="16"/>
        </w:rPr>
        <w:t xml:space="preserve"> production. </w:t>
      </w:r>
    </w:p>
    <w:p w14:paraId="7122A09B" w14:textId="77777777" w:rsidR="00447CCB" w:rsidRDefault="00447CCB" w:rsidP="00447CCB">
      <w:pPr>
        <w:rPr>
          <w:rFonts w:ascii="Times New Roman" w:hAnsi="Times New Roman"/>
          <w:sz w:val="16"/>
          <w:szCs w:val="16"/>
        </w:rPr>
      </w:pPr>
    </w:p>
    <w:p w14:paraId="58785D48" w14:textId="77777777" w:rsidR="00447CCB" w:rsidRDefault="00447CCB" w:rsidP="00447CCB">
      <w:pPr>
        <w:rPr>
          <w:rFonts w:ascii="Times New Roman" w:hAnsi="Times New Roman"/>
          <w:sz w:val="16"/>
          <w:szCs w:val="16"/>
        </w:rPr>
      </w:pPr>
    </w:p>
    <w:p w14:paraId="1C9F807B" w14:textId="77777777" w:rsidR="00447CCB" w:rsidRDefault="00447CCB" w:rsidP="00447CCB">
      <w:pPr>
        <w:rPr>
          <w:rFonts w:ascii="Times New Roman" w:hAnsi="Times New Roman"/>
          <w:sz w:val="16"/>
          <w:szCs w:val="16"/>
        </w:rPr>
      </w:pPr>
    </w:p>
    <w:p w14:paraId="2E10A2AF" w14:textId="77777777" w:rsidR="00447CCB" w:rsidRDefault="00447CCB" w:rsidP="00447CCB">
      <w:pPr>
        <w:rPr>
          <w:rFonts w:ascii="Times New Roman" w:hAnsi="Times New Roman"/>
          <w:sz w:val="16"/>
          <w:szCs w:val="16"/>
        </w:rPr>
      </w:pPr>
    </w:p>
    <w:p w14:paraId="4F3DEFA9" w14:textId="77777777" w:rsidR="00447CCB" w:rsidRDefault="00447CCB" w:rsidP="00447CCB">
      <w:pPr>
        <w:rPr>
          <w:rFonts w:ascii="Times New Roman" w:hAnsi="Times New Roman"/>
          <w:sz w:val="16"/>
          <w:szCs w:val="16"/>
        </w:rPr>
      </w:pPr>
    </w:p>
    <w:p w14:paraId="1620094E" w14:textId="77777777" w:rsidR="00447CCB" w:rsidRDefault="00447CCB" w:rsidP="00447CCB">
      <w:pPr>
        <w:rPr>
          <w:rFonts w:ascii="Times New Roman" w:hAnsi="Times New Roman"/>
          <w:sz w:val="16"/>
          <w:szCs w:val="16"/>
        </w:rPr>
      </w:pPr>
    </w:p>
    <w:p w14:paraId="66119FD1" w14:textId="77777777" w:rsidR="00447CCB" w:rsidRDefault="00447CCB" w:rsidP="00447CCB">
      <w:pPr>
        <w:rPr>
          <w:rFonts w:ascii="Times New Roman" w:hAnsi="Times New Roman"/>
          <w:sz w:val="16"/>
          <w:szCs w:val="16"/>
        </w:rPr>
      </w:pPr>
    </w:p>
    <w:p w14:paraId="4D2D14C1" w14:textId="77777777" w:rsidR="00447CCB" w:rsidRDefault="00447CCB" w:rsidP="00447CCB">
      <w:pPr>
        <w:rPr>
          <w:rFonts w:ascii="Times New Roman" w:hAnsi="Times New Roman"/>
          <w:sz w:val="16"/>
          <w:szCs w:val="16"/>
        </w:rPr>
      </w:pPr>
    </w:p>
    <w:p w14:paraId="5582054E" w14:textId="77777777" w:rsidR="00447CCB" w:rsidRDefault="00447CCB" w:rsidP="00447CCB">
      <w:pPr>
        <w:rPr>
          <w:rFonts w:ascii="Times New Roman" w:hAnsi="Times New Roman"/>
          <w:sz w:val="16"/>
          <w:szCs w:val="16"/>
        </w:rPr>
      </w:pPr>
    </w:p>
    <w:p w14:paraId="78126F54" w14:textId="77777777" w:rsidR="00447CCB" w:rsidRDefault="00447CCB" w:rsidP="00447CCB">
      <w:pPr>
        <w:rPr>
          <w:rFonts w:ascii="Times New Roman" w:hAnsi="Times New Roman"/>
          <w:sz w:val="16"/>
          <w:szCs w:val="16"/>
        </w:rPr>
      </w:pPr>
    </w:p>
    <w:p w14:paraId="7645DC3A" w14:textId="77777777" w:rsidR="00447CCB" w:rsidRDefault="00447CCB" w:rsidP="00447CCB">
      <w:pPr>
        <w:rPr>
          <w:rFonts w:ascii="Times New Roman" w:hAnsi="Times New Roman"/>
          <w:sz w:val="16"/>
          <w:szCs w:val="16"/>
        </w:rPr>
      </w:pPr>
    </w:p>
    <w:p w14:paraId="711EA0DE" w14:textId="77777777" w:rsidR="00447CCB" w:rsidRDefault="00447CCB" w:rsidP="00447CCB">
      <w:pPr>
        <w:rPr>
          <w:rFonts w:ascii="Times New Roman" w:hAnsi="Times New Roman"/>
          <w:sz w:val="16"/>
          <w:szCs w:val="16"/>
        </w:rPr>
      </w:pPr>
    </w:p>
    <w:p w14:paraId="3F0E51F8" w14:textId="77777777" w:rsidR="00447CCB" w:rsidRDefault="00447CCB" w:rsidP="00447CCB">
      <w:pPr>
        <w:rPr>
          <w:rFonts w:ascii="Times New Roman" w:hAnsi="Times New Roman"/>
          <w:sz w:val="16"/>
          <w:szCs w:val="16"/>
        </w:rPr>
      </w:pPr>
    </w:p>
    <w:p w14:paraId="236B7189" w14:textId="77777777" w:rsidR="00447CCB" w:rsidRDefault="00447CCB" w:rsidP="00447CCB">
      <w:pPr>
        <w:rPr>
          <w:rFonts w:ascii="Times New Roman" w:hAnsi="Times New Roman"/>
          <w:sz w:val="16"/>
          <w:szCs w:val="16"/>
        </w:rPr>
      </w:pPr>
    </w:p>
    <w:p w14:paraId="6BEF5176" w14:textId="77777777" w:rsidR="00447CCB" w:rsidRDefault="00447CCB" w:rsidP="00447CCB">
      <w:pPr>
        <w:rPr>
          <w:rFonts w:ascii="Times New Roman" w:hAnsi="Times New Roman"/>
          <w:sz w:val="16"/>
          <w:szCs w:val="16"/>
        </w:rPr>
      </w:pPr>
    </w:p>
    <w:p w14:paraId="5714FAA7" w14:textId="77777777" w:rsidR="00447CCB" w:rsidRDefault="00447CCB" w:rsidP="00447CCB">
      <w:pPr>
        <w:rPr>
          <w:rFonts w:ascii="Times New Roman" w:hAnsi="Times New Roman"/>
          <w:sz w:val="16"/>
          <w:szCs w:val="16"/>
        </w:rPr>
      </w:pPr>
    </w:p>
    <w:p w14:paraId="5AE0A9F7" w14:textId="77777777" w:rsidR="00447CCB" w:rsidRDefault="00447CCB" w:rsidP="00447CCB">
      <w:pPr>
        <w:rPr>
          <w:rFonts w:ascii="Times New Roman" w:hAnsi="Times New Roman"/>
          <w:sz w:val="16"/>
          <w:szCs w:val="16"/>
        </w:rPr>
      </w:pPr>
    </w:p>
    <w:p w14:paraId="53D8D95F" w14:textId="4F7FB3D4" w:rsidR="00D86489" w:rsidRDefault="00B22FD0" w:rsidP="00447CCB">
      <w:pPr>
        <w:rPr>
          <w:rFonts w:ascii="Times New Roman" w:hAnsi="Times New Roman"/>
          <w:kern w:val="0"/>
          <w:sz w:val="16"/>
          <w:szCs w:val="16"/>
        </w:rPr>
      </w:pPr>
      <w:r>
        <w:rPr>
          <w:rFonts w:ascii="Times New Roman" w:hAnsi="Times New Roman"/>
          <w:b/>
          <w:color w:val="222222"/>
          <w:spacing w:val="3"/>
          <w:shd w:val="clear" w:color="auto" w:fill="FFFFFF"/>
        </w:rPr>
        <w:lastRenderedPageBreak/>
        <w:t>Supplementary</w:t>
      </w:r>
      <w:r>
        <w:rPr>
          <w:rFonts w:ascii="Times New Roman" w:hAnsi="Times New Roman" w:hint="eastAsia"/>
          <w:b/>
          <w:color w:val="222222"/>
          <w:spacing w:val="3"/>
          <w:shd w:val="clear" w:color="auto" w:fill="FFFFFF"/>
        </w:rPr>
        <w:t xml:space="preserve"> </w:t>
      </w:r>
      <w:r w:rsidR="00FD5A47">
        <w:rPr>
          <w:rFonts w:ascii="Times New Roman" w:hAnsi="Times New Roman"/>
          <w:b/>
          <w:color w:val="222222"/>
          <w:spacing w:val="3"/>
          <w:shd w:val="clear" w:color="auto" w:fill="FFFFFF"/>
        </w:rPr>
        <w:t>T</w:t>
      </w:r>
      <w:r>
        <w:rPr>
          <w:rFonts w:ascii="Times New Roman" w:hAnsi="Times New Roman"/>
          <w:b/>
          <w:color w:val="222222"/>
          <w:spacing w:val="3"/>
          <w:shd w:val="clear" w:color="auto" w:fill="FFFFFF"/>
        </w:rPr>
        <w:t>able</w:t>
      </w:r>
      <w:r>
        <w:rPr>
          <w:rFonts w:ascii="Times New Roman" w:hAnsi="Times New Roman" w:hint="eastAsia"/>
          <w:b/>
          <w:color w:val="222222"/>
          <w:spacing w:val="3"/>
          <w:shd w:val="clear" w:color="auto" w:fill="FFFFFF"/>
        </w:rPr>
        <w:t xml:space="preserve"> 1</w:t>
      </w:r>
      <w:r>
        <w:rPr>
          <w:rFonts w:ascii="Times New Roman" w:hAnsi="Times New Roman"/>
          <w:b/>
          <w:color w:val="222222"/>
          <w:spacing w:val="3"/>
          <w:shd w:val="clear" w:color="auto" w:fill="FFFFFF"/>
        </w:rPr>
        <w:t>:</w:t>
      </w:r>
      <w:r>
        <w:rPr>
          <w:rFonts w:ascii="Times New Roman" w:hAnsi="Times New Roman" w:hint="eastAsia"/>
          <w:b/>
          <w:color w:val="222222"/>
          <w:spacing w:val="3"/>
          <w:shd w:val="clear" w:color="auto" w:fill="FFFFFF"/>
        </w:rPr>
        <w:t xml:space="preserve"> </w:t>
      </w:r>
      <w:r w:rsidR="00FD5A47">
        <w:rPr>
          <w:rFonts w:ascii="Times New Roman" w:hAnsi="Times New Roman"/>
          <w:b/>
          <w:color w:val="222222"/>
          <w:spacing w:val="3"/>
          <w:shd w:val="clear" w:color="auto" w:fill="FFFFFF"/>
        </w:rPr>
        <w:t>P</w:t>
      </w:r>
      <w:r>
        <w:rPr>
          <w:rFonts w:ascii="Times New Roman" w:hAnsi="Times New Roman"/>
          <w:b/>
          <w:color w:val="222222"/>
          <w:spacing w:val="3"/>
          <w:shd w:val="clear" w:color="auto" w:fill="FFFFFF"/>
        </w:rPr>
        <w:t>roteins showing</w:t>
      </w:r>
      <w:r>
        <w:rPr>
          <w:rFonts w:ascii="Times New Roman" w:hAnsi="Times New Roman" w:hint="eastAsia"/>
          <w:b/>
          <w:color w:val="222222"/>
          <w:spacing w:val="3"/>
          <w:shd w:val="clear" w:color="auto" w:fill="FFFFFF"/>
        </w:rPr>
        <w:t xml:space="preserve"> </w:t>
      </w:r>
      <w:r>
        <w:rPr>
          <w:rFonts w:ascii="Times New Roman" w:hAnsi="Times New Roman"/>
          <w:b/>
          <w:color w:val="222222"/>
          <w:spacing w:val="3"/>
          <w:shd w:val="clear" w:color="auto" w:fill="FFFFFF"/>
        </w:rPr>
        <w:t xml:space="preserve">significant interaction with the </w:t>
      </w:r>
      <w:r>
        <w:rPr>
          <w:rFonts w:ascii="Times New Roman" w:hAnsi="Times New Roman" w:hint="eastAsia"/>
          <w:b/>
          <w:color w:val="222222"/>
          <w:spacing w:val="3"/>
          <w:shd w:val="clear" w:color="auto" w:fill="FFFFFF"/>
        </w:rPr>
        <w:t>hBACE-P403</w:t>
      </w:r>
    </w:p>
    <w:tbl>
      <w:tblPr>
        <w:tblW w:w="7054" w:type="dxa"/>
        <w:jc w:val="center"/>
        <w:tblLayout w:type="fixed"/>
        <w:tblLook w:val="04A0" w:firstRow="1" w:lastRow="0" w:firstColumn="1" w:lastColumn="0" w:noHBand="0" w:noVBand="1"/>
      </w:tblPr>
      <w:tblGrid>
        <w:gridCol w:w="1526"/>
        <w:gridCol w:w="992"/>
        <w:gridCol w:w="992"/>
        <w:gridCol w:w="1418"/>
        <w:gridCol w:w="992"/>
        <w:gridCol w:w="1134"/>
      </w:tblGrid>
      <w:tr w:rsidR="00D86489" w14:paraId="391D25E4" w14:textId="77777777">
        <w:trPr>
          <w:trHeight w:val="270"/>
          <w:jc w:val="center"/>
        </w:trPr>
        <w:tc>
          <w:tcPr>
            <w:tcW w:w="1526" w:type="dxa"/>
            <w:tcBorders>
              <w:top w:val="single" w:sz="4" w:space="0" w:color="auto"/>
              <w:left w:val="nil"/>
              <w:bottom w:val="single" w:sz="4" w:space="0" w:color="auto"/>
              <w:right w:val="nil"/>
            </w:tcBorders>
            <w:noWrap/>
          </w:tcPr>
          <w:p w14:paraId="4117EC40"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Gene name</w:t>
            </w:r>
          </w:p>
        </w:tc>
        <w:tc>
          <w:tcPr>
            <w:tcW w:w="992" w:type="dxa"/>
            <w:tcBorders>
              <w:top w:val="single" w:sz="4" w:space="0" w:color="auto"/>
              <w:left w:val="nil"/>
              <w:bottom w:val="single" w:sz="4" w:space="0" w:color="auto"/>
              <w:right w:val="nil"/>
            </w:tcBorders>
            <w:noWrap/>
          </w:tcPr>
          <w:p w14:paraId="4DCF2BD1"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Unique peptides</w:t>
            </w:r>
          </w:p>
        </w:tc>
        <w:tc>
          <w:tcPr>
            <w:tcW w:w="992" w:type="dxa"/>
            <w:tcBorders>
              <w:top w:val="single" w:sz="4" w:space="0" w:color="auto"/>
              <w:left w:val="nil"/>
              <w:bottom w:val="single" w:sz="4" w:space="0" w:color="auto"/>
              <w:right w:val="nil"/>
            </w:tcBorders>
            <w:noWrap/>
          </w:tcPr>
          <w:p w14:paraId="1FD0BF3A"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iBAQ</w:t>
            </w:r>
          </w:p>
        </w:tc>
        <w:tc>
          <w:tcPr>
            <w:tcW w:w="1418" w:type="dxa"/>
            <w:tcBorders>
              <w:top w:val="single" w:sz="4" w:space="0" w:color="auto"/>
              <w:left w:val="nil"/>
              <w:bottom w:val="single" w:sz="4" w:space="0" w:color="auto"/>
              <w:right w:val="nil"/>
            </w:tcBorders>
            <w:noWrap/>
          </w:tcPr>
          <w:p w14:paraId="2644E6CB"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Gene name</w:t>
            </w:r>
          </w:p>
        </w:tc>
        <w:tc>
          <w:tcPr>
            <w:tcW w:w="992" w:type="dxa"/>
            <w:tcBorders>
              <w:top w:val="single" w:sz="4" w:space="0" w:color="auto"/>
              <w:left w:val="nil"/>
              <w:bottom w:val="single" w:sz="4" w:space="0" w:color="auto"/>
              <w:right w:val="nil"/>
            </w:tcBorders>
            <w:noWrap/>
          </w:tcPr>
          <w:p w14:paraId="3C56C19A"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Unique peptides</w:t>
            </w:r>
          </w:p>
        </w:tc>
        <w:tc>
          <w:tcPr>
            <w:tcW w:w="1134" w:type="dxa"/>
            <w:tcBorders>
              <w:top w:val="single" w:sz="4" w:space="0" w:color="auto"/>
              <w:left w:val="nil"/>
              <w:bottom w:val="single" w:sz="4" w:space="0" w:color="auto"/>
              <w:right w:val="nil"/>
            </w:tcBorders>
            <w:noWrap/>
          </w:tcPr>
          <w:p w14:paraId="674E1233"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iBAQ</w:t>
            </w:r>
          </w:p>
        </w:tc>
      </w:tr>
      <w:tr w:rsidR="00D86489" w14:paraId="45797B1E" w14:textId="77777777">
        <w:trPr>
          <w:trHeight w:val="270"/>
          <w:jc w:val="center"/>
        </w:trPr>
        <w:tc>
          <w:tcPr>
            <w:tcW w:w="1526" w:type="dxa"/>
            <w:tcBorders>
              <w:top w:val="single" w:sz="4" w:space="0" w:color="auto"/>
              <w:left w:val="nil"/>
              <w:bottom w:val="nil"/>
              <w:right w:val="nil"/>
            </w:tcBorders>
            <w:noWrap/>
          </w:tcPr>
          <w:p w14:paraId="2E435CDE"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HNRNPU</w:t>
            </w:r>
          </w:p>
        </w:tc>
        <w:tc>
          <w:tcPr>
            <w:tcW w:w="992" w:type="dxa"/>
            <w:tcBorders>
              <w:top w:val="single" w:sz="4" w:space="0" w:color="auto"/>
              <w:left w:val="nil"/>
              <w:bottom w:val="nil"/>
              <w:right w:val="nil"/>
            </w:tcBorders>
            <w:noWrap/>
          </w:tcPr>
          <w:p w14:paraId="694E7D99"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22</w:t>
            </w:r>
          </w:p>
        </w:tc>
        <w:tc>
          <w:tcPr>
            <w:tcW w:w="992" w:type="dxa"/>
            <w:tcBorders>
              <w:top w:val="single" w:sz="4" w:space="0" w:color="auto"/>
              <w:left w:val="nil"/>
              <w:bottom w:val="nil"/>
              <w:right w:val="nil"/>
            </w:tcBorders>
            <w:noWrap/>
          </w:tcPr>
          <w:p w14:paraId="03354555"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1440900</w:t>
            </w:r>
          </w:p>
        </w:tc>
        <w:tc>
          <w:tcPr>
            <w:tcW w:w="1418" w:type="dxa"/>
            <w:tcBorders>
              <w:top w:val="single" w:sz="4" w:space="0" w:color="auto"/>
              <w:left w:val="nil"/>
              <w:bottom w:val="nil"/>
              <w:right w:val="nil"/>
            </w:tcBorders>
            <w:noWrap/>
          </w:tcPr>
          <w:p w14:paraId="2DB16CD3"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DHX30</w:t>
            </w:r>
          </w:p>
        </w:tc>
        <w:tc>
          <w:tcPr>
            <w:tcW w:w="992" w:type="dxa"/>
            <w:tcBorders>
              <w:top w:val="single" w:sz="4" w:space="0" w:color="auto"/>
              <w:left w:val="nil"/>
              <w:bottom w:val="nil"/>
              <w:right w:val="nil"/>
            </w:tcBorders>
            <w:noWrap/>
          </w:tcPr>
          <w:p w14:paraId="0AA8B52C"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3</w:t>
            </w:r>
          </w:p>
        </w:tc>
        <w:tc>
          <w:tcPr>
            <w:tcW w:w="1134" w:type="dxa"/>
            <w:tcBorders>
              <w:top w:val="single" w:sz="4" w:space="0" w:color="auto"/>
              <w:left w:val="nil"/>
              <w:bottom w:val="nil"/>
              <w:right w:val="nil"/>
            </w:tcBorders>
            <w:noWrap/>
          </w:tcPr>
          <w:p w14:paraId="053B0D4A"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4401</w:t>
            </w:r>
          </w:p>
        </w:tc>
      </w:tr>
      <w:tr w:rsidR="00D86489" w14:paraId="35B50A7D" w14:textId="77777777">
        <w:trPr>
          <w:trHeight w:val="270"/>
          <w:jc w:val="center"/>
        </w:trPr>
        <w:tc>
          <w:tcPr>
            <w:tcW w:w="1526" w:type="dxa"/>
            <w:tcBorders>
              <w:top w:val="nil"/>
              <w:left w:val="nil"/>
              <w:bottom w:val="nil"/>
              <w:right w:val="nil"/>
            </w:tcBorders>
            <w:noWrap/>
          </w:tcPr>
          <w:p w14:paraId="60750051"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SF3B1</w:t>
            </w:r>
          </w:p>
        </w:tc>
        <w:tc>
          <w:tcPr>
            <w:tcW w:w="992" w:type="dxa"/>
            <w:tcBorders>
              <w:top w:val="nil"/>
              <w:left w:val="nil"/>
              <w:bottom w:val="nil"/>
              <w:right w:val="nil"/>
            </w:tcBorders>
            <w:noWrap/>
          </w:tcPr>
          <w:p w14:paraId="039A1C24"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22</w:t>
            </w:r>
          </w:p>
        </w:tc>
        <w:tc>
          <w:tcPr>
            <w:tcW w:w="992" w:type="dxa"/>
            <w:tcBorders>
              <w:top w:val="nil"/>
              <w:left w:val="nil"/>
              <w:bottom w:val="nil"/>
              <w:right w:val="nil"/>
            </w:tcBorders>
            <w:noWrap/>
          </w:tcPr>
          <w:p w14:paraId="4A363618"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173920</w:t>
            </w:r>
          </w:p>
        </w:tc>
        <w:tc>
          <w:tcPr>
            <w:tcW w:w="1418" w:type="dxa"/>
            <w:tcBorders>
              <w:top w:val="nil"/>
              <w:left w:val="nil"/>
              <w:bottom w:val="nil"/>
              <w:right w:val="nil"/>
            </w:tcBorders>
            <w:noWrap/>
          </w:tcPr>
          <w:p w14:paraId="1CC60638"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EIF3B</w:t>
            </w:r>
          </w:p>
        </w:tc>
        <w:tc>
          <w:tcPr>
            <w:tcW w:w="992" w:type="dxa"/>
            <w:tcBorders>
              <w:top w:val="nil"/>
              <w:left w:val="nil"/>
              <w:bottom w:val="nil"/>
              <w:right w:val="nil"/>
            </w:tcBorders>
            <w:noWrap/>
          </w:tcPr>
          <w:p w14:paraId="73E96177"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3</w:t>
            </w:r>
          </w:p>
        </w:tc>
        <w:tc>
          <w:tcPr>
            <w:tcW w:w="1134" w:type="dxa"/>
            <w:tcBorders>
              <w:top w:val="nil"/>
              <w:left w:val="nil"/>
              <w:bottom w:val="nil"/>
              <w:right w:val="nil"/>
            </w:tcBorders>
            <w:noWrap/>
          </w:tcPr>
          <w:p w14:paraId="5B4D0B3D"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10509</w:t>
            </w:r>
          </w:p>
        </w:tc>
      </w:tr>
      <w:tr w:rsidR="00D86489" w14:paraId="6CCEAC22" w14:textId="77777777">
        <w:trPr>
          <w:trHeight w:val="270"/>
          <w:jc w:val="center"/>
        </w:trPr>
        <w:tc>
          <w:tcPr>
            <w:tcW w:w="1526" w:type="dxa"/>
            <w:tcBorders>
              <w:top w:val="nil"/>
              <w:left w:val="nil"/>
              <w:bottom w:val="nil"/>
              <w:right w:val="nil"/>
            </w:tcBorders>
            <w:noWrap/>
          </w:tcPr>
          <w:p w14:paraId="7D602364"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MYH9</w:t>
            </w:r>
          </w:p>
        </w:tc>
        <w:tc>
          <w:tcPr>
            <w:tcW w:w="992" w:type="dxa"/>
            <w:tcBorders>
              <w:top w:val="nil"/>
              <w:left w:val="nil"/>
              <w:bottom w:val="nil"/>
              <w:right w:val="nil"/>
            </w:tcBorders>
            <w:noWrap/>
          </w:tcPr>
          <w:p w14:paraId="6C3AA631"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21</w:t>
            </w:r>
          </w:p>
        </w:tc>
        <w:tc>
          <w:tcPr>
            <w:tcW w:w="992" w:type="dxa"/>
            <w:tcBorders>
              <w:top w:val="nil"/>
              <w:left w:val="nil"/>
              <w:bottom w:val="nil"/>
              <w:right w:val="nil"/>
            </w:tcBorders>
            <w:noWrap/>
          </w:tcPr>
          <w:p w14:paraId="2106912D"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64441</w:t>
            </w:r>
          </w:p>
        </w:tc>
        <w:tc>
          <w:tcPr>
            <w:tcW w:w="1418" w:type="dxa"/>
            <w:tcBorders>
              <w:top w:val="nil"/>
              <w:left w:val="nil"/>
              <w:bottom w:val="nil"/>
              <w:right w:val="nil"/>
            </w:tcBorders>
            <w:noWrap/>
          </w:tcPr>
          <w:p w14:paraId="13FC2A11"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FAM120A</w:t>
            </w:r>
          </w:p>
        </w:tc>
        <w:tc>
          <w:tcPr>
            <w:tcW w:w="992" w:type="dxa"/>
            <w:tcBorders>
              <w:top w:val="nil"/>
              <w:left w:val="nil"/>
              <w:bottom w:val="nil"/>
              <w:right w:val="nil"/>
            </w:tcBorders>
            <w:noWrap/>
          </w:tcPr>
          <w:p w14:paraId="4BE682ED"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3</w:t>
            </w:r>
          </w:p>
        </w:tc>
        <w:tc>
          <w:tcPr>
            <w:tcW w:w="1134" w:type="dxa"/>
            <w:tcBorders>
              <w:top w:val="nil"/>
              <w:left w:val="nil"/>
              <w:bottom w:val="nil"/>
              <w:right w:val="nil"/>
            </w:tcBorders>
            <w:noWrap/>
          </w:tcPr>
          <w:p w14:paraId="65399324"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14042</w:t>
            </w:r>
          </w:p>
        </w:tc>
      </w:tr>
      <w:tr w:rsidR="00D86489" w14:paraId="4312A235" w14:textId="77777777">
        <w:trPr>
          <w:trHeight w:val="270"/>
          <w:jc w:val="center"/>
        </w:trPr>
        <w:tc>
          <w:tcPr>
            <w:tcW w:w="1526" w:type="dxa"/>
            <w:tcBorders>
              <w:top w:val="nil"/>
              <w:left w:val="nil"/>
              <w:bottom w:val="nil"/>
              <w:right w:val="nil"/>
            </w:tcBorders>
            <w:noWrap/>
          </w:tcPr>
          <w:p w14:paraId="4FAE8F4F"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TOP2A</w:t>
            </w:r>
          </w:p>
        </w:tc>
        <w:tc>
          <w:tcPr>
            <w:tcW w:w="992" w:type="dxa"/>
            <w:tcBorders>
              <w:top w:val="nil"/>
              <w:left w:val="nil"/>
              <w:bottom w:val="nil"/>
              <w:right w:val="nil"/>
            </w:tcBorders>
            <w:noWrap/>
          </w:tcPr>
          <w:p w14:paraId="76BCA662"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14</w:t>
            </w:r>
          </w:p>
        </w:tc>
        <w:tc>
          <w:tcPr>
            <w:tcW w:w="992" w:type="dxa"/>
            <w:tcBorders>
              <w:top w:val="nil"/>
              <w:left w:val="nil"/>
              <w:bottom w:val="nil"/>
              <w:right w:val="nil"/>
            </w:tcBorders>
            <w:noWrap/>
          </w:tcPr>
          <w:p w14:paraId="3E47F1E4"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231020</w:t>
            </w:r>
          </w:p>
        </w:tc>
        <w:tc>
          <w:tcPr>
            <w:tcW w:w="1418" w:type="dxa"/>
            <w:tcBorders>
              <w:top w:val="nil"/>
              <w:left w:val="nil"/>
              <w:bottom w:val="nil"/>
              <w:right w:val="nil"/>
            </w:tcBorders>
            <w:noWrap/>
          </w:tcPr>
          <w:p w14:paraId="69178E12"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FUS</w:t>
            </w:r>
          </w:p>
        </w:tc>
        <w:tc>
          <w:tcPr>
            <w:tcW w:w="992" w:type="dxa"/>
            <w:tcBorders>
              <w:top w:val="nil"/>
              <w:left w:val="nil"/>
              <w:bottom w:val="nil"/>
              <w:right w:val="nil"/>
            </w:tcBorders>
            <w:noWrap/>
          </w:tcPr>
          <w:p w14:paraId="47B22500"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3</w:t>
            </w:r>
          </w:p>
        </w:tc>
        <w:tc>
          <w:tcPr>
            <w:tcW w:w="1134" w:type="dxa"/>
            <w:tcBorders>
              <w:top w:val="nil"/>
              <w:left w:val="nil"/>
              <w:bottom w:val="nil"/>
              <w:right w:val="nil"/>
            </w:tcBorders>
            <w:noWrap/>
          </w:tcPr>
          <w:p w14:paraId="18425063"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48259</w:t>
            </w:r>
          </w:p>
        </w:tc>
      </w:tr>
      <w:tr w:rsidR="00D86489" w14:paraId="377AAAAE" w14:textId="77777777">
        <w:trPr>
          <w:trHeight w:val="270"/>
          <w:jc w:val="center"/>
        </w:trPr>
        <w:tc>
          <w:tcPr>
            <w:tcW w:w="1526" w:type="dxa"/>
            <w:tcBorders>
              <w:top w:val="nil"/>
              <w:left w:val="nil"/>
              <w:bottom w:val="nil"/>
              <w:right w:val="nil"/>
            </w:tcBorders>
            <w:noWrap/>
          </w:tcPr>
          <w:p w14:paraId="3CE5A698"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SFPQ</w:t>
            </w:r>
          </w:p>
        </w:tc>
        <w:tc>
          <w:tcPr>
            <w:tcW w:w="992" w:type="dxa"/>
            <w:tcBorders>
              <w:top w:val="nil"/>
              <w:left w:val="nil"/>
              <w:bottom w:val="nil"/>
              <w:right w:val="nil"/>
            </w:tcBorders>
            <w:noWrap/>
          </w:tcPr>
          <w:p w14:paraId="5134D8CE"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18</w:t>
            </w:r>
          </w:p>
        </w:tc>
        <w:tc>
          <w:tcPr>
            <w:tcW w:w="992" w:type="dxa"/>
            <w:tcBorders>
              <w:top w:val="nil"/>
              <w:left w:val="nil"/>
              <w:bottom w:val="nil"/>
              <w:right w:val="nil"/>
            </w:tcBorders>
            <w:noWrap/>
          </w:tcPr>
          <w:p w14:paraId="736E2A87"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5260700</w:t>
            </w:r>
          </w:p>
        </w:tc>
        <w:tc>
          <w:tcPr>
            <w:tcW w:w="1418" w:type="dxa"/>
            <w:tcBorders>
              <w:top w:val="nil"/>
              <w:left w:val="nil"/>
              <w:bottom w:val="nil"/>
              <w:right w:val="nil"/>
            </w:tcBorders>
            <w:noWrap/>
          </w:tcPr>
          <w:p w14:paraId="6462791F"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GLG1</w:t>
            </w:r>
          </w:p>
        </w:tc>
        <w:tc>
          <w:tcPr>
            <w:tcW w:w="992" w:type="dxa"/>
            <w:tcBorders>
              <w:top w:val="nil"/>
              <w:left w:val="nil"/>
              <w:bottom w:val="nil"/>
              <w:right w:val="nil"/>
            </w:tcBorders>
            <w:noWrap/>
          </w:tcPr>
          <w:p w14:paraId="30CD92AC"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3</w:t>
            </w:r>
          </w:p>
        </w:tc>
        <w:tc>
          <w:tcPr>
            <w:tcW w:w="1134" w:type="dxa"/>
            <w:tcBorders>
              <w:top w:val="nil"/>
              <w:left w:val="nil"/>
              <w:bottom w:val="nil"/>
              <w:right w:val="nil"/>
            </w:tcBorders>
            <w:noWrap/>
          </w:tcPr>
          <w:p w14:paraId="5980A65A"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11998</w:t>
            </w:r>
          </w:p>
        </w:tc>
      </w:tr>
      <w:tr w:rsidR="00D86489" w14:paraId="06EC2EB6" w14:textId="77777777">
        <w:trPr>
          <w:trHeight w:val="270"/>
          <w:jc w:val="center"/>
        </w:trPr>
        <w:tc>
          <w:tcPr>
            <w:tcW w:w="1526" w:type="dxa"/>
            <w:tcBorders>
              <w:top w:val="nil"/>
              <w:left w:val="nil"/>
              <w:bottom w:val="nil"/>
              <w:right w:val="nil"/>
            </w:tcBorders>
            <w:noWrap/>
          </w:tcPr>
          <w:p w14:paraId="77F2A2D5"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DHX9</w:t>
            </w:r>
          </w:p>
        </w:tc>
        <w:tc>
          <w:tcPr>
            <w:tcW w:w="992" w:type="dxa"/>
            <w:tcBorders>
              <w:top w:val="nil"/>
              <w:left w:val="nil"/>
              <w:bottom w:val="nil"/>
              <w:right w:val="nil"/>
            </w:tcBorders>
            <w:noWrap/>
          </w:tcPr>
          <w:p w14:paraId="325DCC7A"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16</w:t>
            </w:r>
          </w:p>
        </w:tc>
        <w:tc>
          <w:tcPr>
            <w:tcW w:w="992" w:type="dxa"/>
            <w:tcBorders>
              <w:top w:val="nil"/>
              <w:left w:val="nil"/>
              <w:bottom w:val="nil"/>
              <w:right w:val="nil"/>
            </w:tcBorders>
            <w:noWrap/>
          </w:tcPr>
          <w:p w14:paraId="537A2AFA"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163150</w:t>
            </w:r>
          </w:p>
        </w:tc>
        <w:tc>
          <w:tcPr>
            <w:tcW w:w="1418" w:type="dxa"/>
            <w:tcBorders>
              <w:top w:val="nil"/>
              <w:left w:val="nil"/>
              <w:bottom w:val="nil"/>
              <w:right w:val="nil"/>
            </w:tcBorders>
            <w:noWrap/>
          </w:tcPr>
          <w:p w14:paraId="10CF9DAD"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HNRNPC</w:t>
            </w:r>
          </w:p>
        </w:tc>
        <w:tc>
          <w:tcPr>
            <w:tcW w:w="992" w:type="dxa"/>
            <w:tcBorders>
              <w:top w:val="nil"/>
              <w:left w:val="nil"/>
              <w:bottom w:val="nil"/>
              <w:right w:val="nil"/>
            </w:tcBorders>
            <w:noWrap/>
          </w:tcPr>
          <w:p w14:paraId="07E0BC0F"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3</w:t>
            </w:r>
          </w:p>
        </w:tc>
        <w:tc>
          <w:tcPr>
            <w:tcW w:w="1134" w:type="dxa"/>
            <w:tcBorders>
              <w:top w:val="nil"/>
              <w:left w:val="nil"/>
              <w:bottom w:val="nil"/>
              <w:right w:val="nil"/>
            </w:tcBorders>
            <w:noWrap/>
          </w:tcPr>
          <w:p w14:paraId="539B467E"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86476</w:t>
            </w:r>
          </w:p>
        </w:tc>
      </w:tr>
      <w:tr w:rsidR="00D86489" w14:paraId="3343715B" w14:textId="77777777">
        <w:trPr>
          <w:trHeight w:val="270"/>
          <w:jc w:val="center"/>
        </w:trPr>
        <w:tc>
          <w:tcPr>
            <w:tcW w:w="1526" w:type="dxa"/>
            <w:tcBorders>
              <w:top w:val="nil"/>
              <w:left w:val="nil"/>
              <w:bottom w:val="nil"/>
              <w:right w:val="nil"/>
            </w:tcBorders>
            <w:noWrap/>
          </w:tcPr>
          <w:p w14:paraId="2DC8B4EA"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TOP2B</w:t>
            </w:r>
          </w:p>
        </w:tc>
        <w:tc>
          <w:tcPr>
            <w:tcW w:w="992" w:type="dxa"/>
            <w:tcBorders>
              <w:top w:val="nil"/>
              <w:left w:val="nil"/>
              <w:bottom w:val="nil"/>
              <w:right w:val="nil"/>
            </w:tcBorders>
            <w:noWrap/>
          </w:tcPr>
          <w:p w14:paraId="07D142B6"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9</w:t>
            </w:r>
          </w:p>
        </w:tc>
        <w:tc>
          <w:tcPr>
            <w:tcW w:w="992" w:type="dxa"/>
            <w:tcBorders>
              <w:top w:val="nil"/>
              <w:left w:val="nil"/>
              <w:bottom w:val="nil"/>
              <w:right w:val="nil"/>
            </w:tcBorders>
            <w:noWrap/>
          </w:tcPr>
          <w:p w14:paraId="01F90175"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31314</w:t>
            </w:r>
          </w:p>
        </w:tc>
        <w:tc>
          <w:tcPr>
            <w:tcW w:w="1418" w:type="dxa"/>
            <w:tcBorders>
              <w:top w:val="nil"/>
              <w:left w:val="nil"/>
              <w:bottom w:val="nil"/>
              <w:right w:val="nil"/>
            </w:tcBorders>
            <w:noWrap/>
          </w:tcPr>
          <w:p w14:paraId="48B9A7F7"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KIAA1429</w:t>
            </w:r>
          </w:p>
        </w:tc>
        <w:tc>
          <w:tcPr>
            <w:tcW w:w="992" w:type="dxa"/>
            <w:tcBorders>
              <w:top w:val="nil"/>
              <w:left w:val="nil"/>
              <w:bottom w:val="nil"/>
              <w:right w:val="nil"/>
            </w:tcBorders>
            <w:noWrap/>
          </w:tcPr>
          <w:p w14:paraId="156D8CFF"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3</w:t>
            </w:r>
          </w:p>
        </w:tc>
        <w:tc>
          <w:tcPr>
            <w:tcW w:w="1134" w:type="dxa"/>
            <w:tcBorders>
              <w:top w:val="nil"/>
              <w:left w:val="nil"/>
              <w:bottom w:val="nil"/>
              <w:right w:val="nil"/>
            </w:tcBorders>
            <w:noWrap/>
          </w:tcPr>
          <w:p w14:paraId="26C6CA16"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17263</w:t>
            </w:r>
          </w:p>
        </w:tc>
      </w:tr>
      <w:tr w:rsidR="00D86489" w14:paraId="76866805" w14:textId="77777777">
        <w:trPr>
          <w:trHeight w:val="270"/>
          <w:jc w:val="center"/>
        </w:trPr>
        <w:tc>
          <w:tcPr>
            <w:tcW w:w="1526" w:type="dxa"/>
            <w:tcBorders>
              <w:top w:val="nil"/>
              <w:left w:val="nil"/>
              <w:bottom w:val="nil"/>
              <w:right w:val="nil"/>
            </w:tcBorders>
            <w:noWrap/>
          </w:tcPr>
          <w:p w14:paraId="3D606ED9"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HNRNPM</w:t>
            </w:r>
          </w:p>
        </w:tc>
        <w:tc>
          <w:tcPr>
            <w:tcW w:w="992" w:type="dxa"/>
            <w:tcBorders>
              <w:top w:val="nil"/>
              <w:left w:val="nil"/>
              <w:bottom w:val="nil"/>
              <w:right w:val="nil"/>
            </w:tcBorders>
            <w:noWrap/>
          </w:tcPr>
          <w:p w14:paraId="37895CEA"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14</w:t>
            </w:r>
          </w:p>
        </w:tc>
        <w:tc>
          <w:tcPr>
            <w:tcW w:w="992" w:type="dxa"/>
            <w:tcBorders>
              <w:top w:val="nil"/>
              <w:left w:val="nil"/>
              <w:bottom w:val="nil"/>
              <w:right w:val="nil"/>
            </w:tcBorders>
            <w:noWrap/>
          </w:tcPr>
          <w:p w14:paraId="2BBE4DEF"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132660</w:t>
            </w:r>
          </w:p>
        </w:tc>
        <w:tc>
          <w:tcPr>
            <w:tcW w:w="1418" w:type="dxa"/>
            <w:tcBorders>
              <w:top w:val="nil"/>
              <w:left w:val="nil"/>
              <w:bottom w:val="nil"/>
              <w:right w:val="nil"/>
            </w:tcBorders>
            <w:noWrap/>
          </w:tcPr>
          <w:p w14:paraId="3EC083E5"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LIMA1</w:t>
            </w:r>
          </w:p>
        </w:tc>
        <w:tc>
          <w:tcPr>
            <w:tcW w:w="992" w:type="dxa"/>
            <w:tcBorders>
              <w:top w:val="nil"/>
              <w:left w:val="nil"/>
              <w:bottom w:val="nil"/>
              <w:right w:val="nil"/>
            </w:tcBorders>
            <w:noWrap/>
          </w:tcPr>
          <w:p w14:paraId="7A90B943"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3</w:t>
            </w:r>
          </w:p>
        </w:tc>
        <w:tc>
          <w:tcPr>
            <w:tcW w:w="1134" w:type="dxa"/>
            <w:tcBorders>
              <w:top w:val="nil"/>
              <w:left w:val="nil"/>
              <w:bottom w:val="nil"/>
              <w:right w:val="nil"/>
            </w:tcBorders>
            <w:noWrap/>
          </w:tcPr>
          <w:p w14:paraId="1D202DB6"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21406</w:t>
            </w:r>
          </w:p>
        </w:tc>
      </w:tr>
      <w:tr w:rsidR="00D86489" w14:paraId="743B75C5" w14:textId="77777777">
        <w:trPr>
          <w:trHeight w:val="270"/>
          <w:jc w:val="center"/>
        </w:trPr>
        <w:tc>
          <w:tcPr>
            <w:tcW w:w="1526" w:type="dxa"/>
            <w:tcBorders>
              <w:top w:val="nil"/>
              <w:left w:val="nil"/>
              <w:bottom w:val="nil"/>
              <w:right w:val="nil"/>
            </w:tcBorders>
            <w:noWrap/>
          </w:tcPr>
          <w:p w14:paraId="1D517DE8"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RBM14</w:t>
            </w:r>
          </w:p>
        </w:tc>
        <w:tc>
          <w:tcPr>
            <w:tcW w:w="992" w:type="dxa"/>
            <w:tcBorders>
              <w:top w:val="nil"/>
              <w:left w:val="nil"/>
              <w:bottom w:val="nil"/>
              <w:right w:val="nil"/>
            </w:tcBorders>
            <w:noWrap/>
          </w:tcPr>
          <w:p w14:paraId="5A57EAF2"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14</w:t>
            </w:r>
          </w:p>
        </w:tc>
        <w:tc>
          <w:tcPr>
            <w:tcW w:w="992" w:type="dxa"/>
            <w:tcBorders>
              <w:top w:val="nil"/>
              <w:left w:val="nil"/>
              <w:bottom w:val="nil"/>
              <w:right w:val="nil"/>
            </w:tcBorders>
            <w:noWrap/>
          </w:tcPr>
          <w:p w14:paraId="79DD328F"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382730</w:t>
            </w:r>
          </w:p>
        </w:tc>
        <w:tc>
          <w:tcPr>
            <w:tcW w:w="1418" w:type="dxa"/>
            <w:tcBorders>
              <w:top w:val="nil"/>
              <w:left w:val="nil"/>
              <w:bottom w:val="nil"/>
              <w:right w:val="nil"/>
            </w:tcBorders>
            <w:noWrap/>
          </w:tcPr>
          <w:p w14:paraId="35E98053"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LMNA</w:t>
            </w:r>
          </w:p>
        </w:tc>
        <w:tc>
          <w:tcPr>
            <w:tcW w:w="992" w:type="dxa"/>
            <w:tcBorders>
              <w:top w:val="nil"/>
              <w:left w:val="nil"/>
              <w:bottom w:val="nil"/>
              <w:right w:val="nil"/>
            </w:tcBorders>
            <w:noWrap/>
          </w:tcPr>
          <w:p w14:paraId="59ECCB0A"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2</w:t>
            </w:r>
          </w:p>
        </w:tc>
        <w:tc>
          <w:tcPr>
            <w:tcW w:w="1134" w:type="dxa"/>
            <w:tcBorders>
              <w:top w:val="nil"/>
              <w:left w:val="nil"/>
              <w:bottom w:val="nil"/>
              <w:right w:val="nil"/>
            </w:tcBorders>
            <w:noWrap/>
          </w:tcPr>
          <w:p w14:paraId="6C362522"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21422</w:t>
            </w:r>
          </w:p>
        </w:tc>
      </w:tr>
      <w:tr w:rsidR="00D86489" w14:paraId="2295F76B" w14:textId="77777777">
        <w:trPr>
          <w:trHeight w:val="270"/>
          <w:jc w:val="center"/>
        </w:trPr>
        <w:tc>
          <w:tcPr>
            <w:tcW w:w="1526" w:type="dxa"/>
            <w:tcBorders>
              <w:top w:val="nil"/>
              <w:left w:val="nil"/>
              <w:bottom w:val="nil"/>
              <w:right w:val="nil"/>
            </w:tcBorders>
            <w:noWrap/>
          </w:tcPr>
          <w:p w14:paraId="2822007A"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RBM25</w:t>
            </w:r>
          </w:p>
        </w:tc>
        <w:tc>
          <w:tcPr>
            <w:tcW w:w="992" w:type="dxa"/>
            <w:tcBorders>
              <w:top w:val="nil"/>
              <w:left w:val="nil"/>
              <w:bottom w:val="nil"/>
              <w:right w:val="nil"/>
            </w:tcBorders>
            <w:noWrap/>
          </w:tcPr>
          <w:p w14:paraId="3B79102D"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14</w:t>
            </w:r>
          </w:p>
        </w:tc>
        <w:tc>
          <w:tcPr>
            <w:tcW w:w="992" w:type="dxa"/>
            <w:tcBorders>
              <w:top w:val="nil"/>
              <w:left w:val="nil"/>
              <w:bottom w:val="nil"/>
              <w:right w:val="nil"/>
            </w:tcBorders>
            <w:noWrap/>
          </w:tcPr>
          <w:p w14:paraId="2E6E6F9B"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216930</w:t>
            </w:r>
          </w:p>
        </w:tc>
        <w:tc>
          <w:tcPr>
            <w:tcW w:w="1418" w:type="dxa"/>
            <w:tcBorders>
              <w:top w:val="nil"/>
              <w:left w:val="nil"/>
              <w:bottom w:val="nil"/>
              <w:right w:val="nil"/>
            </w:tcBorders>
            <w:noWrap/>
          </w:tcPr>
          <w:p w14:paraId="5DBC5E4E"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LMNB1</w:t>
            </w:r>
          </w:p>
        </w:tc>
        <w:tc>
          <w:tcPr>
            <w:tcW w:w="992" w:type="dxa"/>
            <w:tcBorders>
              <w:top w:val="nil"/>
              <w:left w:val="nil"/>
              <w:bottom w:val="nil"/>
              <w:right w:val="nil"/>
            </w:tcBorders>
            <w:noWrap/>
          </w:tcPr>
          <w:p w14:paraId="1E7ABDBD"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2</w:t>
            </w:r>
          </w:p>
        </w:tc>
        <w:tc>
          <w:tcPr>
            <w:tcW w:w="1134" w:type="dxa"/>
            <w:tcBorders>
              <w:top w:val="nil"/>
              <w:left w:val="nil"/>
              <w:bottom w:val="nil"/>
              <w:right w:val="nil"/>
            </w:tcBorders>
            <w:noWrap/>
          </w:tcPr>
          <w:p w14:paraId="65CDC89C"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24441</w:t>
            </w:r>
          </w:p>
        </w:tc>
      </w:tr>
      <w:tr w:rsidR="00D86489" w14:paraId="7BB7A4B2" w14:textId="77777777">
        <w:trPr>
          <w:trHeight w:val="270"/>
          <w:jc w:val="center"/>
        </w:trPr>
        <w:tc>
          <w:tcPr>
            <w:tcW w:w="1526" w:type="dxa"/>
            <w:tcBorders>
              <w:top w:val="nil"/>
              <w:left w:val="nil"/>
              <w:bottom w:val="nil"/>
              <w:right w:val="nil"/>
            </w:tcBorders>
            <w:noWrap/>
          </w:tcPr>
          <w:p w14:paraId="6E41892D"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SMARCA5</w:t>
            </w:r>
          </w:p>
        </w:tc>
        <w:tc>
          <w:tcPr>
            <w:tcW w:w="992" w:type="dxa"/>
            <w:tcBorders>
              <w:top w:val="nil"/>
              <w:left w:val="nil"/>
              <w:bottom w:val="nil"/>
              <w:right w:val="nil"/>
            </w:tcBorders>
            <w:noWrap/>
          </w:tcPr>
          <w:p w14:paraId="63388439"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14</w:t>
            </w:r>
          </w:p>
        </w:tc>
        <w:tc>
          <w:tcPr>
            <w:tcW w:w="992" w:type="dxa"/>
            <w:tcBorders>
              <w:top w:val="nil"/>
              <w:left w:val="nil"/>
              <w:bottom w:val="nil"/>
              <w:right w:val="nil"/>
            </w:tcBorders>
            <w:noWrap/>
          </w:tcPr>
          <w:p w14:paraId="0A3568BC"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79395</w:t>
            </w:r>
          </w:p>
        </w:tc>
        <w:tc>
          <w:tcPr>
            <w:tcW w:w="1418" w:type="dxa"/>
            <w:tcBorders>
              <w:top w:val="nil"/>
              <w:left w:val="nil"/>
              <w:bottom w:val="nil"/>
              <w:right w:val="nil"/>
            </w:tcBorders>
            <w:noWrap/>
          </w:tcPr>
          <w:p w14:paraId="3DFFA899"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MYO1C</w:t>
            </w:r>
          </w:p>
        </w:tc>
        <w:tc>
          <w:tcPr>
            <w:tcW w:w="992" w:type="dxa"/>
            <w:tcBorders>
              <w:top w:val="nil"/>
              <w:left w:val="nil"/>
              <w:bottom w:val="nil"/>
              <w:right w:val="nil"/>
            </w:tcBorders>
            <w:noWrap/>
          </w:tcPr>
          <w:p w14:paraId="13F3C72F"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3</w:t>
            </w:r>
          </w:p>
        </w:tc>
        <w:tc>
          <w:tcPr>
            <w:tcW w:w="1134" w:type="dxa"/>
            <w:tcBorders>
              <w:top w:val="nil"/>
              <w:left w:val="nil"/>
              <w:bottom w:val="nil"/>
              <w:right w:val="nil"/>
            </w:tcBorders>
            <w:noWrap/>
          </w:tcPr>
          <w:p w14:paraId="0A2D0223"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10279</w:t>
            </w:r>
          </w:p>
        </w:tc>
      </w:tr>
      <w:tr w:rsidR="00D86489" w14:paraId="64EA0655" w14:textId="77777777">
        <w:trPr>
          <w:trHeight w:val="270"/>
          <w:jc w:val="center"/>
        </w:trPr>
        <w:tc>
          <w:tcPr>
            <w:tcW w:w="1526" w:type="dxa"/>
            <w:tcBorders>
              <w:top w:val="nil"/>
              <w:left w:val="nil"/>
              <w:bottom w:val="nil"/>
              <w:right w:val="nil"/>
            </w:tcBorders>
            <w:noWrap/>
          </w:tcPr>
          <w:p w14:paraId="4F363268"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MATR3</w:t>
            </w:r>
          </w:p>
        </w:tc>
        <w:tc>
          <w:tcPr>
            <w:tcW w:w="992" w:type="dxa"/>
            <w:tcBorders>
              <w:top w:val="nil"/>
              <w:left w:val="nil"/>
              <w:bottom w:val="nil"/>
              <w:right w:val="nil"/>
            </w:tcBorders>
            <w:noWrap/>
          </w:tcPr>
          <w:p w14:paraId="6D388F6D"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13</w:t>
            </w:r>
          </w:p>
        </w:tc>
        <w:tc>
          <w:tcPr>
            <w:tcW w:w="992" w:type="dxa"/>
            <w:tcBorders>
              <w:top w:val="nil"/>
              <w:left w:val="nil"/>
              <w:bottom w:val="nil"/>
              <w:right w:val="nil"/>
            </w:tcBorders>
            <w:noWrap/>
          </w:tcPr>
          <w:p w14:paraId="2DE34C06"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240720</w:t>
            </w:r>
          </w:p>
        </w:tc>
        <w:tc>
          <w:tcPr>
            <w:tcW w:w="1418" w:type="dxa"/>
            <w:tcBorders>
              <w:top w:val="nil"/>
              <w:left w:val="nil"/>
              <w:bottom w:val="nil"/>
              <w:right w:val="nil"/>
            </w:tcBorders>
            <w:noWrap/>
          </w:tcPr>
          <w:p w14:paraId="03E84CBD"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NOLC1</w:t>
            </w:r>
          </w:p>
        </w:tc>
        <w:tc>
          <w:tcPr>
            <w:tcW w:w="992" w:type="dxa"/>
            <w:tcBorders>
              <w:top w:val="nil"/>
              <w:left w:val="nil"/>
              <w:bottom w:val="nil"/>
              <w:right w:val="nil"/>
            </w:tcBorders>
            <w:noWrap/>
          </w:tcPr>
          <w:p w14:paraId="01D497E0"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3</w:t>
            </w:r>
          </w:p>
        </w:tc>
        <w:tc>
          <w:tcPr>
            <w:tcW w:w="1134" w:type="dxa"/>
            <w:tcBorders>
              <w:top w:val="nil"/>
              <w:left w:val="nil"/>
              <w:bottom w:val="nil"/>
              <w:right w:val="nil"/>
            </w:tcBorders>
            <w:noWrap/>
          </w:tcPr>
          <w:p w14:paraId="53D31C1A"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93701</w:t>
            </w:r>
          </w:p>
        </w:tc>
      </w:tr>
      <w:tr w:rsidR="00D86489" w14:paraId="11D53914" w14:textId="77777777">
        <w:trPr>
          <w:trHeight w:val="270"/>
          <w:jc w:val="center"/>
        </w:trPr>
        <w:tc>
          <w:tcPr>
            <w:tcW w:w="1526" w:type="dxa"/>
            <w:tcBorders>
              <w:top w:val="nil"/>
              <w:left w:val="nil"/>
              <w:bottom w:val="nil"/>
              <w:right w:val="nil"/>
            </w:tcBorders>
            <w:noWrap/>
          </w:tcPr>
          <w:p w14:paraId="0101E983"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NONO</w:t>
            </w:r>
          </w:p>
        </w:tc>
        <w:tc>
          <w:tcPr>
            <w:tcW w:w="992" w:type="dxa"/>
            <w:tcBorders>
              <w:top w:val="nil"/>
              <w:left w:val="nil"/>
              <w:bottom w:val="nil"/>
              <w:right w:val="nil"/>
            </w:tcBorders>
            <w:noWrap/>
          </w:tcPr>
          <w:p w14:paraId="4167F904"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11</w:t>
            </w:r>
          </w:p>
        </w:tc>
        <w:tc>
          <w:tcPr>
            <w:tcW w:w="992" w:type="dxa"/>
            <w:tcBorders>
              <w:top w:val="nil"/>
              <w:left w:val="nil"/>
              <w:bottom w:val="nil"/>
              <w:right w:val="nil"/>
            </w:tcBorders>
            <w:noWrap/>
          </w:tcPr>
          <w:p w14:paraId="4CC8F1A9"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839940</w:t>
            </w:r>
          </w:p>
        </w:tc>
        <w:tc>
          <w:tcPr>
            <w:tcW w:w="1418" w:type="dxa"/>
            <w:tcBorders>
              <w:top w:val="nil"/>
              <w:left w:val="nil"/>
              <w:bottom w:val="nil"/>
              <w:right w:val="nil"/>
            </w:tcBorders>
            <w:noWrap/>
          </w:tcPr>
          <w:p w14:paraId="53EBB237"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NOP58</w:t>
            </w:r>
          </w:p>
        </w:tc>
        <w:tc>
          <w:tcPr>
            <w:tcW w:w="992" w:type="dxa"/>
            <w:tcBorders>
              <w:top w:val="nil"/>
              <w:left w:val="nil"/>
              <w:bottom w:val="nil"/>
              <w:right w:val="nil"/>
            </w:tcBorders>
            <w:noWrap/>
          </w:tcPr>
          <w:p w14:paraId="1420CF4F"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3</w:t>
            </w:r>
          </w:p>
        </w:tc>
        <w:tc>
          <w:tcPr>
            <w:tcW w:w="1134" w:type="dxa"/>
            <w:tcBorders>
              <w:top w:val="nil"/>
              <w:left w:val="nil"/>
              <w:bottom w:val="nil"/>
              <w:right w:val="nil"/>
            </w:tcBorders>
            <w:noWrap/>
          </w:tcPr>
          <w:p w14:paraId="49BDCFAF"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12966</w:t>
            </w:r>
          </w:p>
        </w:tc>
      </w:tr>
      <w:tr w:rsidR="00D86489" w14:paraId="1F436DDE" w14:textId="77777777">
        <w:trPr>
          <w:trHeight w:val="270"/>
          <w:jc w:val="center"/>
        </w:trPr>
        <w:tc>
          <w:tcPr>
            <w:tcW w:w="1526" w:type="dxa"/>
            <w:tcBorders>
              <w:top w:val="nil"/>
              <w:left w:val="nil"/>
              <w:bottom w:val="nil"/>
              <w:right w:val="nil"/>
            </w:tcBorders>
            <w:noWrap/>
          </w:tcPr>
          <w:p w14:paraId="3BFB7933"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RRBP1</w:t>
            </w:r>
          </w:p>
        </w:tc>
        <w:tc>
          <w:tcPr>
            <w:tcW w:w="992" w:type="dxa"/>
            <w:tcBorders>
              <w:top w:val="nil"/>
              <w:left w:val="nil"/>
              <w:bottom w:val="nil"/>
              <w:right w:val="nil"/>
            </w:tcBorders>
            <w:noWrap/>
          </w:tcPr>
          <w:p w14:paraId="39657790"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13</w:t>
            </w:r>
          </w:p>
        </w:tc>
        <w:tc>
          <w:tcPr>
            <w:tcW w:w="992" w:type="dxa"/>
            <w:tcBorders>
              <w:top w:val="nil"/>
              <w:left w:val="nil"/>
              <w:bottom w:val="nil"/>
              <w:right w:val="nil"/>
            </w:tcBorders>
            <w:noWrap/>
          </w:tcPr>
          <w:p w14:paraId="04A8A795"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198650</w:t>
            </w:r>
          </w:p>
        </w:tc>
        <w:tc>
          <w:tcPr>
            <w:tcW w:w="1418" w:type="dxa"/>
            <w:tcBorders>
              <w:top w:val="nil"/>
              <w:left w:val="nil"/>
              <w:bottom w:val="nil"/>
              <w:right w:val="nil"/>
            </w:tcBorders>
            <w:noWrap/>
          </w:tcPr>
          <w:p w14:paraId="5531B18E"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NUMA1</w:t>
            </w:r>
          </w:p>
        </w:tc>
        <w:tc>
          <w:tcPr>
            <w:tcW w:w="992" w:type="dxa"/>
            <w:tcBorders>
              <w:top w:val="nil"/>
              <w:left w:val="nil"/>
              <w:bottom w:val="nil"/>
              <w:right w:val="nil"/>
            </w:tcBorders>
            <w:noWrap/>
          </w:tcPr>
          <w:p w14:paraId="6E7577CA"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3</w:t>
            </w:r>
          </w:p>
        </w:tc>
        <w:tc>
          <w:tcPr>
            <w:tcW w:w="1134" w:type="dxa"/>
            <w:tcBorders>
              <w:top w:val="nil"/>
              <w:left w:val="nil"/>
              <w:bottom w:val="nil"/>
              <w:right w:val="nil"/>
            </w:tcBorders>
            <w:noWrap/>
          </w:tcPr>
          <w:p w14:paraId="2B816D1B"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44439</w:t>
            </w:r>
          </w:p>
        </w:tc>
      </w:tr>
      <w:tr w:rsidR="00D86489" w14:paraId="720B0DB5" w14:textId="77777777">
        <w:trPr>
          <w:trHeight w:val="270"/>
          <w:jc w:val="center"/>
        </w:trPr>
        <w:tc>
          <w:tcPr>
            <w:tcW w:w="1526" w:type="dxa"/>
            <w:tcBorders>
              <w:top w:val="nil"/>
              <w:left w:val="nil"/>
              <w:bottom w:val="nil"/>
              <w:right w:val="nil"/>
            </w:tcBorders>
            <w:noWrap/>
          </w:tcPr>
          <w:p w14:paraId="78DA94F1"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DDX21</w:t>
            </w:r>
          </w:p>
        </w:tc>
        <w:tc>
          <w:tcPr>
            <w:tcW w:w="992" w:type="dxa"/>
            <w:tcBorders>
              <w:top w:val="nil"/>
              <w:left w:val="nil"/>
              <w:bottom w:val="nil"/>
              <w:right w:val="nil"/>
            </w:tcBorders>
            <w:noWrap/>
          </w:tcPr>
          <w:p w14:paraId="7490E3B3"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12</w:t>
            </w:r>
          </w:p>
        </w:tc>
        <w:tc>
          <w:tcPr>
            <w:tcW w:w="992" w:type="dxa"/>
            <w:tcBorders>
              <w:top w:val="nil"/>
              <w:left w:val="nil"/>
              <w:bottom w:val="nil"/>
              <w:right w:val="nil"/>
            </w:tcBorders>
            <w:noWrap/>
          </w:tcPr>
          <w:p w14:paraId="757C377F"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398670</w:t>
            </w:r>
          </w:p>
        </w:tc>
        <w:tc>
          <w:tcPr>
            <w:tcW w:w="1418" w:type="dxa"/>
            <w:tcBorders>
              <w:top w:val="nil"/>
              <w:left w:val="nil"/>
              <w:bottom w:val="nil"/>
              <w:right w:val="nil"/>
            </w:tcBorders>
            <w:noWrap/>
          </w:tcPr>
          <w:p w14:paraId="3969EB83"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PPP1R9B</w:t>
            </w:r>
          </w:p>
        </w:tc>
        <w:tc>
          <w:tcPr>
            <w:tcW w:w="992" w:type="dxa"/>
            <w:tcBorders>
              <w:top w:val="nil"/>
              <w:left w:val="nil"/>
              <w:bottom w:val="nil"/>
              <w:right w:val="nil"/>
            </w:tcBorders>
            <w:noWrap/>
          </w:tcPr>
          <w:p w14:paraId="2F7CDB7B"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3</w:t>
            </w:r>
          </w:p>
        </w:tc>
        <w:tc>
          <w:tcPr>
            <w:tcW w:w="1134" w:type="dxa"/>
            <w:tcBorders>
              <w:top w:val="nil"/>
              <w:left w:val="nil"/>
              <w:bottom w:val="nil"/>
              <w:right w:val="nil"/>
            </w:tcBorders>
            <w:noWrap/>
          </w:tcPr>
          <w:p w14:paraId="63FCBDD2"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19248</w:t>
            </w:r>
          </w:p>
        </w:tc>
      </w:tr>
      <w:tr w:rsidR="00D86489" w14:paraId="39D200DB" w14:textId="77777777">
        <w:trPr>
          <w:trHeight w:val="270"/>
          <w:jc w:val="center"/>
        </w:trPr>
        <w:tc>
          <w:tcPr>
            <w:tcW w:w="1526" w:type="dxa"/>
            <w:tcBorders>
              <w:top w:val="nil"/>
              <w:left w:val="nil"/>
              <w:bottom w:val="nil"/>
              <w:right w:val="nil"/>
            </w:tcBorders>
            <w:noWrap/>
          </w:tcPr>
          <w:p w14:paraId="2D19D297"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HNRNPA2B1</w:t>
            </w:r>
          </w:p>
        </w:tc>
        <w:tc>
          <w:tcPr>
            <w:tcW w:w="992" w:type="dxa"/>
            <w:tcBorders>
              <w:top w:val="nil"/>
              <w:left w:val="nil"/>
              <w:bottom w:val="nil"/>
              <w:right w:val="nil"/>
            </w:tcBorders>
            <w:noWrap/>
          </w:tcPr>
          <w:p w14:paraId="52B0ABD1"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12</w:t>
            </w:r>
          </w:p>
        </w:tc>
        <w:tc>
          <w:tcPr>
            <w:tcW w:w="992" w:type="dxa"/>
            <w:tcBorders>
              <w:top w:val="nil"/>
              <w:left w:val="nil"/>
              <w:bottom w:val="nil"/>
              <w:right w:val="nil"/>
            </w:tcBorders>
            <w:noWrap/>
          </w:tcPr>
          <w:p w14:paraId="5EBC5D45"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871940</w:t>
            </w:r>
          </w:p>
        </w:tc>
        <w:tc>
          <w:tcPr>
            <w:tcW w:w="1418" w:type="dxa"/>
            <w:tcBorders>
              <w:top w:val="nil"/>
              <w:left w:val="nil"/>
              <w:bottom w:val="nil"/>
              <w:right w:val="nil"/>
            </w:tcBorders>
            <w:noWrap/>
          </w:tcPr>
          <w:p w14:paraId="7B5312EE"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PRPF6</w:t>
            </w:r>
          </w:p>
        </w:tc>
        <w:tc>
          <w:tcPr>
            <w:tcW w:w="992" w:type="dxa"/>
            <w:tcBorders>
              <w:top w:val="nil"/>
              <w:left w:val="nil"/>
              <w:bottom w:val="nil"/>
              <w:right w:val="nil"/>
            </w:tcBorders>
            <w:noWrap/>
          </w:tcPr>
          <w:p w14:paraId="3D0A1FC2"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3</w:t>
            </w:r>
          </w:p>
        </w:tc>
        <w:tc>
          <w:tcPr>
            <w:tcW w:w="1134" w:type="dxa"/>
            <w:tcBorders>
              <w:top w:val="nil"/>
              <w:left w:val="nil"/>
              <w:bottom w:val="nil"/>
              <w:right w:val="nil"/>
            </w:tcBorders>
            <w:noWrap/>
          </w:tcPr>
          <w:p w14:paraId="48713383"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1781.6</w:t>
            </w:r>
          </w:p>
        </w:tc>
      </w:tr>
      <w:tr w:rsidR="00D86489" w14:paraId="702DF6D3" w14:textId="77777777">
        <w:trPr>
          <w:trHeight w:val="270"/>
          <w:jc w:val="center"/>
        </w:trPr>
        <w:tc>
          <w:tcPr>
            <w:tcW w:w="1526" w:type="dxa"/>
            <w:tcBorders>
              <w:top w:val="nil"/>
              <w:left w:val="nil"/>
              <w:bottom w:val="nil"/>
              <w:right w:val="nil"/>
            </w:tcBorders>
            <w:noWrap/>
          </w:tcPr>
          <w:p w14:paraId="4877AA59"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DDX17</w:t>
            </w:r>
          </w:p>
        </w:tc>
        <w:tc>
          <w:tcPr>
            <w:tcW w:w="992" w:type="dxa"/>
            <w:tcBorders>
              <w:top w:val="nil"/>
              <w:left w:val="nil"/>
              <w:bottom w:val="nil"/>
              <w:right w:val="nil"/>
            </w:tcBorders>
            <w:noWrap/>
          </w:tcPr>
          <w:p w14:paraId="31CEFB8A"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7</w:t>
            </w:r>
          </w:p>
        </w:tc>
        <w:tc>
          <w:tcPr>
            <w:tcW w:w="992" w:type="dxa"/>
            <w:tcBorders>
              <w:top w:val="nil"/>
              <w:left w:val="nil"/>
              <w:bottom w:val="nil"/>
              <w:right w:val="nil"/>
            </w:tcBorders>
            <w:noWrap/>
          </w:tcPr>
          <w:p w14:paraId="6C94A37D"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162950</w:t>
            </w:r>
          </w:p>
        </w:tc>
        <w:tc>
          <w:tcPr>
            <w:tcW w:w="1418" w:type="dxa"/>
            <w:tcBorders>
              <w:top w:val="nil"/>
              <w:left w:val="nil"/>
              <w:bottom w:val="nil"/>
              <w:right w:val="nil"/>
            </w:tcBorders>
            <w:noWrap/>
          </w:tcPr>
          <w:p w14:paraId="1D50E1C2"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PRPF8</w:t>
            </w:r>
          </w:p>
        </w:tc>
        <w:tc>
          <w:tcPr>
            <w:tcW w:w="992" w:type="dxa"/>
            <w:tcBorders>
              <w:top w:val="nil"/>
              <w:left w:val="nil"/>
              <w:bottom w:val="nil"/>
              <w:right w:val="nil"/>
            </w:tcBorders>
            <w:noWrap/>
          </w:tcPr>
          <w:p w14:paraId="42F17FF5"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3</w:t>
            </w:r>
          </w:p>
        </w:tc>
        <w:tc>
          <w:tcPr>
            <w:tcW w:w="1134" w:type="dxa"/>
            <w:tcBorders>
              <w:top w:val="nil"/>
              <w:left w:val="nil"/>
              <w:bottom w:val="nil"/>
              <w:right w:val="nil"/>
            </w:tcBorders>
            <w:noWrap/>
          </w:tcPr>
          <w:p w14:paraId="45C6A17C"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3498.1</w:t>
            </w:r>
          </w:p>
        </w:tc>
      </w:tr>
      <w:tr w:rsidR="00D86489" w14:paraId="54F032CD" w14:textId="77777777">
        <w:trPr>
          <w:trHeight w:val="270"/>
          <w:jc w:val="center"/>
        </w:trPr>
        <w:tc>
          <w:tcPr>
            <w:tcW w:w="1526" w:type="dxa"/>
            <w:tcBorders>
              <w:top w:val="nil"/>
              <w:left w:val="nil"/>
              <w:bottom w:val="nil"/>
              <w:right w:val="nil"/>
            </w:tcBorders>
            <w:noWrap/>
          </w:tcPr>
          <w:p w14:paraId="2E62E242"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EFTUD2</w:t>
            </w:r>
          </w:p>
        </w:tc>
        <w:tc>
          <w:tcPr>
            <w:tcW w:w="992" w:type="dxa"/>
            <w:tcBorders>
              <w:top w:val="nil"/>
              <w:left w:val="nil"/>
              <w:bottom w:val="nil"/>
              <w:right w:val="nil"/>
            </w:tcBorders>
            <w:noWrap/>
          </w:tcPr>
          <w:p w14:paraId="228EBD25"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11</w:t>
            </w:r>
          </w:p>
        </w:tc>
        <w:tc>
          <w:tcPr>
            <w:tcW w:w="992" w:type="dxa"/>
            <w:tcBorders>
              <w:top w:val="nil"/>
              <w:left w:val="nil"/>
              <w:bottom w:val="nil"/>
              <w:right w:val="nil"/>
            </w:tcBorders>
            <w:noWrap/>
          </w:tcPr>
          <w:p w14:paraId="58FAECA3"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101940</w:t>
            </w:r>
          </w:p>
        </w:tc>
        <w:tc>
          <w:tcPr>
            <w:tcW w:w="1418" w:type="dxa"/>
            <w:tcBorders>
              <w:top w:val="nil"/>
              <w:left w:val="nil"/>
              <w:bottom w:val="nil"/>
              <w:right w:val="nil"/>
            </w:tcBorders>
            <w:noWrap/>
          </w:tcPr>
          <w:p w14:paraId="2D550BE6"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RBM15</w:t>
            </w:r>
          </w:p>
        </w:tc>
        <w:tc>
          <w:tcPr>
            <w:tcW w:w="992" w:type="dxa"/>
            <w:tcBorders>
              <w:top w:val="nil"/>
              <w:left w:val="nil"/>
              <w:bottom w:val="nil"/>
              <w:right w:val="nil"/>
            </w:tcBorders>
            <w:noWrap/>
          </w:tcPr>
          <w:p w14:paraId="32B63280"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3</w:t>
            </w:r>
          </w:p>
        </w:tc>
        <w:tc>
          <w:tcPr>
            <w:tcW w:w="1134" w:type="dxa"/>
            <w:tcBorders>
              <w:top w:val="nil"/>
              <w:left w:val="nil"/>
              <w:bottom w:val="nil"/>
              <w:right w:val="nil"/>
            </w:tcBorders>
            <w:noWrap/>
          </w:tcPr>
          <w:p w14:paraId="12BC17F8"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11797</w:t>
            </w:r>
          </w:p>
        </w:tc>
      </w:tr>
      <w:tr w:rsidR="00D86489" w14:paraId="0A62DC4F" w14:textId="77777777">
        <w:trPr>
          <w:trHeight w:val="270"/>
          <w:jc w:val="center"/>
        </w:trPr>
        <w:tc>
          <w:tcPr>
            <w:tcW w:w="1526" w:type="dxa"/>
            <w:tcBorders>
              <w:top w:val="nil"/>
              <w:left w:val="nil"/>
              <w:bottom w:val="nil"/>
              <w:right w:val="nil"/>
            </w:tcBorders>
            <w:noWrap/>
          </w:tcPr>
          <w:p w14:paraId="1DD9B4AC"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KTN1</w:t>
            </w:r>
          </w:p>
        </w:tc>
        <w:tc>
          <w:tcPr>
            <w:tcW w:w="992" w:type="dxa"/>
            <w:tcBorders>
              <w:top w:val="nil"/>
              <w:left w:val="nil"/>
              <w:bottom w:val="nil"/>
              <w:right w:val="nil"/>
            </w:tcBorders>
            <w:noWrap/>
          </w:tcPr>
          <w:p w14:paraId="43F4E7ED"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11</w:t>
            </w:r>
          </w:p>
        </w:tc>
        <w:tc>
          <w:tcPr>
            <w:tcW w:w="992" w:type="dxa"/>
            <w:tcBorders>
              <w:top w:val="nil"/>
              <w:left w:val="nil"/>
              <w:bottom w:val="nil"/>
              <w:right w:val="nil"/>
            </w:tcBorders>
            <w:noWrap/>
          </w:tcPr>
          <w:p w14:paraId="257246D7"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64793</w:t>
            </w:r>
          </w:p>
        </w:tc>
        <w:tc>
          <w:tcPr>
            <w:tcW w:w="1418" w:type="dxa"/>
            <w:tcBorders>
              <w:top w:val="nil"/>
              <w:left w:val="nil"/>
              <w:bottom w:val="nil"/>
              <w:right w:val="nil"/>
            </w:tcBorders>
            <w:noWrap/>
          </w:tcPr>
          <w:p w14:paraId="2C14747B"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RBM27</w:t>
            </w:r>
          </w:p>
        </w:tc>
        <w:tc>
          <w:tcPr>
            <w:tcW w:w="992" w:type="dxa"/>
            <w:tcBorders>
              <w:top w:val="nil"/>
              <w:left w:val="nil"/>
              <w:bottom w:val="nil"/>
              <w:right w:val="nil"/>
            </w:tcBorders>
            <w:noWrap/>
          </w:tcPr>
          <w:p w14:paraId="27C56C60"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2</w:t>
            </w:r>
          </w:p>
        </w:tc>
        <w:tc>
          <w:tcPr>
            <w:tcW w:w="1134" w:type="dxa"/>
            <w:tcBorders>
              <w:top w:val="nil"/>
              <w:left w:val="nil"/>
              <w:bottom w:val="nil"/>
              <w:right w:val="nil"/>
            </w:tcBorders>
            <w:noWrap/>
          </w:tcPr>
          <w:p w14:paraId="5BDB629C"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13316</w:t>
            </w:r>
          </w:p>
        </w:tc>
      </w:tr>
      <w:tr w:rsidR="00D86489" w14:paraId="6E7E4927" w14:textId="77777777">
        <w:trPr>
          <w:trHeight w:val="270"/>
          <w:jc w:val="center"/>
        </w:trPr>
        <w:tc>
          <w:tcPr>
            <w:tcW w:w="1526" w:type="dxa"/>
            <w:tcBorders>
              <w:top w:val="nil"/>
              <w:left w:val="nil"/>
              <w:bottom w:val="nil"/>
              <w:right w:val="nil"/>
            </w:tcBorders>
            <w:noWrap/>
          </w:tcPr>
          <w:p w14:paraId="0DAA69D1"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PNN</w:t>
            </w:r>
          </w:p>
        </w:tc>
        <w:tc>
          <w:tcPr>
            <w:tcW w:w="992" w:type="dxa"/>
            <w:tcBorders>
              <w:top w:val="nil"/>
              <w:left w:val="nil"/>
              <w:bottom w:val="nil"/>
              <w:right w:val="nil"/>
            </w:tcBorders>
            <w:noWrap/>
          </w:tcPr>
          <w:p w14:paraId="5DAA235B"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11</w:t>
            </w:r>
          </w:p>
        </w:tc>
        <w:tc>
          <w:tcPr>
            <w:tcW w:w="992" w:type="dxa"/>
            <w:tcBorders>
              <w:top w:val="nil"/>
              <w:left w:val="nil"/>
              <w:bottom w:val="nil"/>
              <w:right w:val="nil"/>
            </w:tcBorders>
            <w:noWrap/>
          </w:tcPr>
          <w:p w14:paraId="631B4F3F"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179350</w:t>
            </w:r>
          </w:p>
        </w:tc>
        <w:tc>
          <w:tcPr>
            <w:tcW w:w="1418" w:type="dxa"/>
            <w:tcBorders>
              <w:top w:val="nil"/>
              <w:left w:val="nil"/>
              <w:bottom w:val="nil"/>
              <w:right w:val="nil"/>
            </w:tcBorders>
            <w:noWrap/>
          </w:tcPr>
          <w:p w14:paraId="29BC0106"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RPL11</w:t>
            </w:r>
          </w:p>
        </w:tc>
        <w:tc>
          <w:tcPr>
            <w:tcW w:w="992" w:type="dxa"/>
            <w:tcBorders>
              <w:top w:val="nil"/>
              <w:left w:val="nil"/>
              <w:bottom w:val="nil"/>
              <w:right w:val="nil"/>
            </w:tcBorders>
            <w:noWrap/>
          </w:tcPr>
          <w:p w14:paraId="2C80148E"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3</w:t>
            </w:r>
          </w:p>
        </w:tc>
        <w:tc>
          <w:tcPr>
            <w:tcW w:w="1134" w:type="dxa"/>
            <w:tcBorders>
              <w:top w:val="nil"/>
              <w:left w:val="nil"/>
              <w:bottom w:val="nil"/>
              <w:right w:val="nil"/>
            </w:tcBorders>
            <w:noWrap/>
          </w:tcPr>
          <w:p w14:paraId="48A1491A"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52910</w:t>
            </w:r>
          </w:p>
        </w:tc>
      </w:tr>
      <w:tr w:rsidR="00D86489" w14:paraId="14E050AD" w14:textId="77777777">
        <w:trPr>
          <w:trHeight w:val="270"/>
          <w:jc w:val="center"/>
        </w:trPr>
        <w:tc>
          <w:tcPr>
            <w:tcW w:w="1526" w:type="dxa"/>
            <w:tcBorders>
              <w:top w:val="nil"/>
              <w:left w:val="nil"/>
              <w:bottom w:val="nil"/>
              <w:right w:val="nil"/>
            </w:tcBorders>
            <w:noWrap/>
          </w:tcPr>
          <w:p w14:paraId="7DC94DC8"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PRPF40A</w:t>
            </w:r>
          </w:p>
        </w:tc>
        <w:tc>
          <w:tcPr>
            <w:tcW w:w="992" w:type="dxa"/>
            <w:tcBorders>
              <w:top w:val="nil"/>
              <w:left w:val="nil"/>
              <w:bottom w:val="nil"/>
              <w:right w:val="nil"/>
            </w:tcBorders>
            <w:noWrap/>
          </w:tcPr>
          <w:p w14:paraId="2EB9F229"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11</w:t>
            </w:r>
          </w:p>
        </w:tc>
        <w:tc>
          <w:tcPr>
            <w:tcW w:w="992" w:type="dxa"/>
            <w:tcBorders>
              <w:top w:val="nil"/>
              <w:left w:val="nil"/>
              <w:bottom w:val="nil"/>
              <w:right w:val="nil"/>
            </w:tcBorders>
            <w:noWrap/>
          </w:tcPr>
          <w:p w14:paraId="2E8BD627"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301380</w:t>
            </w:r>
          </w:p>
        </w:tc>
        <w:tc>
          <w:tcPr>
            <w:tcW w:w="1418" w:type="dxa"/>
            <w:tcBorders>
              <w:top w:val="nil"/>
              <w:left w:val="nil"/>
              <w:bottom w:val="nil"/>
              <w:right w:val="nil"/>
            </w:tcBorders>
            <w:noWrap/>
          </w:tcPr>
          <w:p w14:paraId="45A3660B"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RPL12</w:t>
            </w:r>
          </w:p>
        </w:tc>
        <w:tc>
          <w:tcPr>
            <w:tcW w:w="992" w:type="dxa"/>
            <w:tcBorders>
              <w:top w:val="nil"/>
              <w:left w:val="nil"/>
              <w:bottom w:val="nil"/>
              <w:right w:val="nil"/>
            </w:tcBorders>
            <w:noWrap/>
          </w:tcPr>
          <w:p w14:paraId="288E7F9A"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3</w:t>
            </w:r>
          </w:p>
        </w:tc>
        <w:tc>
          <w:tcPr>
            <w:tcW w:w="1134" w:type="dxa"/>
            <w:tcBorders>
              <w:top w:val="nil"/>
              <w:left w:val="nil"/>
              <w:bottom w:val="nil"/>
              <w:right w:val="nil"/>
            </w:tcBorders>
            <w:noWrap/>
          </w:tcPr>
          <w:p w14:paraId="7DC1F4FC"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93175</w:t>
            </w:r>
          </w:p>
        </w:tc>
      </w:tr>
      <w:tr w:rsidR="00D86489" w14:paraId="29D752BC" w14:textId="77777777">
        <w:trPr>
          <w:trHeight w:val="270"/>
          <w:jc w:val="center"/>
        </w:trPr>
        <w:tc>
          <w:tcPr>
            <w:tcW w:w="1526" w:type="dxa"/>
            <w:tcBorders>
              <w:top w:val="nil"/>
              <w:left w:val="nil"/>
              <w:bottom w:val="nil"/>
              <w:right w:val="nil"/>
            </w:tcBorders>
            <w:noWrap/>
          </w:tcPr>
          <w:p w14:paraId="7C83AA53"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SF3A1</w:t>
            </w:r>
          </w:p>
        </w:tc>
        <w:tc>
          <w:tcPr>
            <w:tcW w:w="992" w:type="dxa"/>
            <w:tcBorders>
              <w:top w:val="nil"/>
              <w:left w:val="nil"/>
              <w:bottom w:val="nil"/>
              <w:right w:val="nil"/>
            </w:tcBorders>
            <w:noWrap/>
          </w:tcPr>
          <w:p w14:paraId="622A3C2B"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11</w:t>
            </w:r>
          </w:p>
        </w:tc>
        <w:tc>
          <w:tcPr>
            <w:tcW w:w="992" w:type="dxa"/>
            <w:tcBorders>
              <w:top w:val="nil"/>
              <w:left w:val="nil"/>
              <w:bottom w:val="nil"/>
              <w:right w:val="nil"/>
            </w:tcBorders>
            <w:noWrap/>
          </w:tcPr>
          <w:p w14:paraId="09532DF1"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196260</w:t>
            </w:r>
          </w:p>
        </w:tc>
        <w:tc>
          <w:tcPr>
            <w:tcW w:w="1418" w:type="dxa"/>
            <w:tcBorders>
              <w:top w:val="nil"/>
              <w:left w:val="nil"/>
              <w:bottom w:val="nil"/>
              <w:right w:val="nil"/>
            </w:tcBorders>
            <w:noWrap/>
          </w:tcPr>
          <w:p w14:paraId="571634BD"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RPL13a</w:t>
            </w:r>
          </w:p>
        </w:tc>
        <w:tc>
          <w:tcPr>
            <w:tcW w:w="992" w:type="dxa"/>
            <w:tcBorders>
              <w:top w:val="nil"/>
              <w:left w:val="nil"/>
              <w:bottom w:val="nil"/>
              <w:right w:val="nil"/>
            </w:tcBorders>
            <w:noWrap/>
          </w:tcPr>
          <w:p w14:paraId="09F22DBA"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3</w:t>
            </w:r>
          </w:p>
        </w:tc>
        <w:tc>
          <w:tcPr>
            <w:tcW w:w="1134" w:type="dxa"/>
            <w:tcBorders>
              <w:top w:val="nil"/>
              <w:left w:val="nil"/>
              <w:bottom w:val="nil"/>
              <w:right w:val="nil"/>
            </w:tcBorders>
            <w:noWrap/>
          </w:tcPr>
          <w:p w14:paraId="2AD0DDBD"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722670</w:t>
            </w:r>
          </w:p>
        </w:tc>
      </w:tr>
      <w:tr w:rsidR="00D86489" w14:paraId="7975E4A8" w14:textId="77777777">
        <w:trPr>
          <w:trHeight w:val="270"/>
          <w:jc w:val="center"/>
        </w:trPr>
        <w:tc>
          <w:tcPr>
            <w:tcW w:w="1526" w:type="dxa"/>
            <w:tcBorders>
              <w:top w:val="nil"/>
              <w:left w:val="nil"/>
              <w:bottom w:val="nil"/>
              <w:right w:val="nil"/>
            </w:tcBorders>
            <w:noWrap/>
          </w:tcPr>
          <w:p w14:paraId="448DBD2E"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SUPT16H</w:t>
            </w:r>
          </w:p>
        </w:tc>
        <w:tc>
          <w:tcPr>
            <w:tcW w:w="992" w:type="dxa"/>
            <w:tcBorders>
              <w:top w:val="nil"/>
              <w:left w:val="nil"/>
              <w:bottom w:val="nil"/>
              <w:right w:val="nil"/>
            </w:tcBorders>
            <w:noWrap/>
          </w:tcPr>
          <w:p w14:paraId="0C9F611C"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11</w:t>
            </w:r>
          </w:p>
        </w:tc>
        <w:tc>
          <w:tcPr>
            <w:tcW w:w="992" w:type="dxa"/>
            <w:tcBorders>
              <w:top w:val="nil"/>
              <w:left w:val="nil"/>
              <w:bottom w:val="nil"/>
              <w:right w:val="nil"/>
            </w:tcBorders>
            <w:noWrap/>
          </w:tcPr>
          <w:p w14:paraId="595D2904"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100020</w:t>
            </w:r>
          </w:p>
        </w:tc>
        <w:tc>
          <w:tcPr>
            <w:tcW w:w="1418" w:type="dxa"/>
            <w:tcBorders>
              <w:top w:val="nil"/>
              <w:left w:val="nil"/>
              <w:bottom w:val="nil"/>
              <w:right w:val="nil"/>
            </w:tcBorders>
            <w:noWrap/>
          </w:tcPr>
          <w:p w14:paraId="65FB60FB"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RPL17</w:t>
            </w:r>
          </w:p>
        </w:tc>
        <w:tc>
          <w:tcPr>
            <w:tcW w:w="992" w:type="dxa"/>
            <w:tcBorders>
              <w:top w:val="nil"/>
              <w:left w:val="nil"/>
              <w:bottom w:val="nil"/>
              <w:right w:val="nil"/>
            </w:tcBorders>
            <w:noWrap/>
          </w:tcPr>
          <w:p w14:paraId="77C477EA"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3</w:t>
            </w:r>
          </w:p>
        </w:tc>
        <w:tc>
          <w:tcPr>
            <w:tcW w:w="1134" w:type="dxa"/>
            <w:tcBorders>
              <w:top w:val="nil"/>
              <w:left w:val="nil"/>
              <w:bottom w:val="nil"/>
              <w:right w:val="nil"/>
            </w:tcBorders>
            <w:noWrap/>
          </w:tcPr>
          <w:p w14:paraId="47393A14"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144900</w:t>
            </w:r>
          </w:p>
        </w:tc>
      </w:tr>
      <w:tr w:rsidR="00D86489" w14:paraId="5D65B43B" w14:textId="77777777">
        <w:trPr>
          <w:trHeight w:val="270"/>
          <w:jc w:val="center"/>
        </w:trPr>
        <w:tc>
          <w:tcPr>
            <w:tcW w:w="1526" w:type="dxa"/>
            <w:tcBorders>
              <w:top w:val="nil"/>
              <w:left w:val="nil"/>
              <w:bottom w:val="nil"/>
              <w:right w:val="nil"/>
            </w:tcBorders>
            <w:noWrap/>
          </w:tcPr>
          <w:p w14:paraId="3AD2079A"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DDX5</w:t>
            </w:r>
          </w:p>
        </w:tc>
        <w:tc>
          <w:tcPr>
            <w:tcW w:w="992" w:type="dxa"/>
            <w:tcBorders>
              <w:top w:val="nil"/>
              <w:left w:val="nil"/>
              <w:bottom w:val="nil"/>
              <w:right w:val="nil"/>
            </w:tcBorders>
            <w:noWrap/>
          </w:tcPr>
          <w:p w14:paraId="267A817A"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6</w:t>
            </w:r>
          </w:p>
        </w:tc>
        <w:tc>
          <w:tcPr>
            <w:tcW w:w="992" w:type="dxa"/>
            <w:tcBorders>
              <w:top w:val="nil"/>
              <w:left w:val="nil"/>
              <w:bottom w:val="nil"/>
              <w:right w:val="nil"/>
            </w:tcBorders>
            <w:noWrap/>
          </w:tcPr>
          <w:p w14:paraId="44C5F9B1"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57185</w:t>
            </w:r>
          </w:p>
        </w:tc>
        <w:tc>
          <w:tcPr>
            <w:tcW w:w="1418" w:type="dxa"/>
            <w:tcBorders>
              <w:top w:val="nil"/>
              <w:left w:val="nil"/>
              <w:bottom w:val="nil"/>
              <w:right w:val="nil"/>
            </w:tcBorders>
            <w:noWrap/>
          </w:tcPr>
          <w:p w14:paraId="7A08C301"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RPL22L1</w:t>
            </w:r>
          </w:p>
        </w:tc>
        <w:tc>
          <w:tcPr>
            <w:tcW w:w="992" w:type="dxa"/>
            <w:tcBorders>
              <w:top w:val="nil"/>
              <w:left w:val="nil"/>
              <w:bottom w:val="nil"/>
              <w:right w:val="nil"/>
            </w:tcBorders>
            <w:noWrap/>
          </w:tcPr>
          <w:p w14:paraId="3D2DF70C"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3</w:t>
            </w:r>
          </w:p>
        </w:tc>
        <w:tc>
          <w:tcPr>
            <w:tcW w:w="1134" w:type="dxa"/>
            <w:tcBorders>
              <w:top w:val="nil"/>
              <w:left w:val="nil"/>
              <w:bottom w:val="nil"/>
              <w:right w:val="nil"/>
            </w:tcBorders>
            <w:noWrap/>
          </w:tcPr>
          <w:p w14:paraId="276B609A"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98082</w:t>
            </w:r>
          </w:p>
        </w:tc>
      </w:tr>
      <w:tr w:rsidR="00D86489" w14:paraId="076C9EFE" w14:textId="77777777">
        <w:trPr>
          <w:trHeight w:val="270"/>
          <w:jc w:val="center"/>
        </w:trPr>
        <w:tc>
          <w:tcPr>
            <w:tcW w:w="1526" w:type="dxa"/>
            <w:tcBorders>
              <w:top w:val="nil"/>
              <w:left w:val="nil"/>
              <w:bottom w:val="nil"/>
              <w:right w:val="nil"/>
            </w:tcBorders>
            <w:noWrap/>
          </w:tcPr>
          <w:p w14:paraId="21C035CB"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HNRNPK</w:t>
            </w:r>
          </w:p>
        </w:tc>
        <w:tc>
          <w:tcPr>
            <w:tcW w:w="992" w:type="dxa"/>
            <w:tcBorders>
              <w:top w:val="nil"/>
              <w:left w:val="nil"/>
              <w:bottom w:val="nil"/>
              <w:right w:val="nil"/>
            </w:tcBorders>
            <w:noWrap/>
          </w:tcPr>
          <w:p w14:paraId="65DC77F9"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10</w:t>
            </w:r>
          </w:p>
        </w:tc>
        <w:tc>
          <w:tcPr>
            <w:tcW w:w="992" w:type="dxa"/>
            <w:tcBorders>
              <w:top w:val="nil"/>
              <w:left w:val="nil"/>
              <w:bottom w:val="nil"/>
              <w:right w:val="nil"/>
            </w:tcBorders>
            <w:noWrap/>
          </w:tcPr>
          <w:p w14:paraId="55F37362"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284980</w:t>
            </w:r>
          </w:p>
        </w:tc>
        <w:tc>
          <w:tcPr>
            <w:tcW w:w="1418" w:type="dxa"/>
            <w:tcBorders>
              <w:top w:val="nil"/>
              <w:left w:val="nil"/>
              <w:bottom w:val="nil"/>
              <w:right w:val="nil"/>
            </w:tcBorders>
            <w:noWrap/>
          </w:tcPr>
          <w:p w14:paraId="779E4DF7"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RPL34</w:t>
            </w:r>
          </w:p>
        </w:tc>
        <w:tc>
          <w:tcPr>
            <w:tcW w:w="992" w:type="dxa"/>
            <w:tcBorders>
              <w:top w:val="nil"/>
              <w:left w:val="nil"/>
              <w:bottom w:val="nil"/>
              <w:right w:val="nil"/>
            </w:tcBorders>
            <w:noWrap/>
          </w:tcPr>
          <w:p w14:paraId="0F21F4FE"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3</w:t>
            </w:r>
          </w:p>
        </w:tc>
        <w:tc>
          <w:tcPr>
            <w:tcW w:w="1134" w:type="dxa"/>
            <w:tcBorders>
              <w:top w:val="nil"/>
              <w:left w:val="nil"/>
              <w:bottom w:val="nil"/>
              <w:right w:val="nil"/>
            </w:tcBorders>
            <w:noWrap/>
          </w:tcPr>
          <w:p w14:paraId="24C07C48"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458130</w:t>
            </w:r>
          </w:p>
        </w:tc>
      </w:tr>
      <w:tr w:rsidR="00D86489" w14:paraId="31955B2C" w14:textId="77777777">
        <w:trPr>
          <w:trHeight w:val="270"/>
          <w:jc w:val="center"/>
        </w:trPr>
        <w:tc>
          <w:tcPr>
            <w:tcW w:w="1526" w:type="dxa"/>
            <w:tcBorders>
              <w:top w:val="nil"/>
              <w:left w:val="nil"/>
              <w:bottom w:val="nil"/>
              <w:right w:val="nil"/>
            </w:tcBorders>
            <w:noWrap/>
          </w:tcPr>
          <w:p w14:paraId="6D1C18AA"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YBX1</w:t>
            </w:r>
          </w:p>
        </w:tc>
        <w:tc>
          <w:tcPr>
            <w:tcW w:w="992" w:type="dxa"/>
            <w:tcBorders>
              <w:top w:val="nil"/>
              <w:left w:val="nil"/>
              <w:bottom w:val="nil"/>
              <w:right w:val="nil"/>
            </w:tcBorders>
            <w:noWrap/>
          </w:tcPr>
          <w:p w14:paraId="69EB19E8"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7</w:t>
            </w:r>
          </w:p>
        </w:tc>
        <w:tc>
          <w:tcPr>
            <w:tcW w:w="992" w:type="dxa"/>
            <w:tcBorders>
              <w:top w:val="nil"/>
              <w:left w:val="nil"/>
              <w:bottom w:val="nil"/>
              <w:right w:val="nil"/>
            </w:tcBorders>
            <w:noWrap/>
          </w:tcPr>
          <w:p w14:paraId="7B4DC5B3"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1526400</w:t>
            </w:r>
          </w:p>
        </w:tc>
        <w:tc>
          <w:tcPr>
            <w:tcW w:w="1418" w:type="dxa"/>
            <w:tcBorders>
              <w:top w:val="nil"/>
              <w:left w:val="nil"/>
              <w:bottom w:val="nil"/>
              <w:right w:val="nil"/>
            </w:tcBorders>
            <w:noWrap/>
          </w:tcPr>
          <w:p w14:paraId="71A65DDC"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RPL5</w:t>
            </w:r>
          </w:p>
        </w:tc>
        <w:tc>
          <w:tcPr>
            <w:tcW w:w="992" w:type="dxa"/>
            <w:tcBorders>
              <w:top w:val="nil"/>
              <w:left w:val="nil"/>
              <w:bottom w:val="nil"/>
              <w:right w:val="nil"/>
            </w:tcBorders>
            <w:noWrap/>
          </w:tcPr>
          <w:p w14:paraId="166BA840"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3</w:t>
            </w:r>
          </w:p>
        </w:tc>
        <w:tc>
          <w:tcPr>
            <w:tcW w:w="1134" w:type="dxa"/>
            <w:tcBorders>
              <w:top w:val="nil"/>
              <w:left w:val="nil"/>
              <w:bottom w:val="nil"/>
              <w:right w:val="nil"/>
            </w:tcBorders>
            <w:noWrap/>
          </w:tcPr>
          <w:p w14:paraId="3B22654F"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79607</w:t>
            </w:r>
          </w:p>
        </w:tc>
      </w:tr>
      <w:tr w:rsidR="00D86489" w14:paraId="77165942" w14:textId="77777777">
        <w:trPr>
          <w:trHeight w:val="270"/>
          <w:jc w:val="center"/>
        </w:trPr>
        <w:tc>
          <w:tcPr>
            <w:tcW w:w="1526" w:type="dxa"/>
            <w:tcBorders>
              <w:top w:val="nil"/>
              <w:left w:val="nil"/>
              <w:bottom w:val="nil"/>
              <w:right w:val="nil"/>
            </w:tcBorders>
            <w:noWrap/>
          </w:tcPr>
          <w:p w14:paraId="49D767CC"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RPL7</w:t>
            </w:r>
          </w:p>
        </w:tc>
        <w:tc>
          <w:tcPr>
            <w:tcW w:w="992" w:type="dxa"/>
            <w:tcBorders>
              <w:top w:val="nil"/>
              <w:left w:val="nil"/>
              <w:bottom w:val="nil"/>
              <w:right w:val="nil"/>
            </w:tcBorders>
            <w:noWrap/>
          </w:tcPr>
          <w:p w14:paraId="67B5DB84"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9</w:t>
            </w:r>
          </w:p>
        </w:tc>
        <w:tc>
          <w:tcPr>
            <w:tcW w:w="992" w:type="dxa"/>
            <w:tcBorders>
              <w:top w:val="nil"/>
              <w:left w:val="nil"/>
              <w:bottom w:val="nil"/>
              <w:right w:val="nil"/>
            </w:tcBorders>
            <w:noWrap/>
          </w:tcPr>
          <w:p w14:paraId="46B3520F"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928760</w:t>
            </w:r>
          </w:p>
        </w:tc>
        <w:tc>
          <w:tcPr>
            <w:tcW w:w="1418" w:type="dxa"/>
            <w:tcBorders>
              <w:top w:val="nil"/>
              <w:left w:val="nil"/>
              <w:bottom w:val="nil"/>
              <w:right w:val="nil"/>
            </w:tcBorders>
            <w:noWrap/>
          </w:tcPr>
          <w:p w14:paraId="685FF3FF"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RPS11</w:t>
            </w:r>
          </w:p>
        </w:tc>
        <w:tc>
          <w:tcPr>
            <w:tcW w:w="992" w:type="dxa"/>
            <w:tcBorders>
              <w:top w:val="nil"/>
              <w:left w:val="nil"/>
              <w:bottom w:val="nil"/>
              <w:right w:val="nil"/>
            </w:tcBorders>
            <w:noWrap/>
          </w:tcPr>
          <w:p w14:paraId="442062B7"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3</w:t>
            </w:r>
          </w:p>
        </w:tc>
        <w:tc>
          <w:tcPr>
            <w:tcW w:w="1134" w:type="dxa"/>
            <w:tcBorders>
              <w:top w:val="nil"/>
              <w:left w:val="nil"/>
              <w:bottom w:val="nil"/>
              <w:right w:val="nil"/>
            </w:tcBorders>
            <w:noWrap/>
          </w:tcPr>
          <w:p w14:paraId="2977E198"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206930</w:t>
            </w:r>
          </w:p>
        </w:tc>
      </w:tr>
      <w:tr w:rsidR="00D86489" w14:paraId="412DD05F" w14:textId="77777777">
        <w:trPr>
          <w:trHeight w:val="270"/>
          <w:jc w:val="center"/>
        </w:trPr>
        <w:tc>
          <w:tcPr>
            <w:tcW w:w="1526" w:type="dxa"/>
            <w:tcBorders>
              <w:top w:val="nil"/>
              <w:left w:val="nil"/>
              <w:bottom w:val="nil"/>
              <w:right w:val="nil"/>
            </w:tcBorders>
            <w:noWrap/>
          </w:tcPr>
          <w:p w14:paraId="2F6B3F66"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CAPRIN1</w:t>
            </w:r>
          </w:p>
        </w:tc>
        <w:tc>
          <w:tcPr>
            <w:tcW w:w="992" w:type="dxa"/>
            <w:tcBorders>
              <w:top w:val="nil"/>
              <w:left w:val="nil"/>
              <w:bottom w:val="nil"/>
              <w:right w:val="nil"/>
            </w:tcBorders>
            <w:noWrap/>
          </w:tcPr>
          <w:p w14:paraId="406C00CD"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8</w:t>
            </w:r>
          </w:p>
        </w:tc>
        <w:tc>
          <w:tcPr>
            <w:tcW w:w="992" w:type="dxa"/>
            <w:tcBorders>
              <w:top w:val="nil"/>
              <w:left w:val="nil"/>
              <w:bottom w:val="nil"/>
              <w:right w:val="nil"/>
            </w:tcBorders>
            <w:noWrap/>
          </w:tcPr>
          <w:p w14:paraId="0A677CA9"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553140</w:t>
            </w:r>
          </w:p>
        </w:tc>
        <w:tc>
          <w:tcPr>
            <w:tcW w:w="1418" w:type="dxa"/>
            <w:tcBorders>
              <w:top w:val="nil"/>
              <w:left w:val="nil"/>
              <w:bottom w:val="nil"/>
              <w:right w:val="nil"/>
            </w:tcBorders>
            <w:noWrap/>
          </w:tcPr>
          <w:p w14:paraId="3F261E1C"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RPS17</w:t>
            </w:r>
          </w:p>
        </w:tc>
        <w:tc>
          <w:tcPr>
            <w:tcW w:w="992" w:type="dxa"/>
            <w:tcBorders>
              <w:top w:val="nil"/>
              <w:left w:val="nil"/>
              <w:bottom w:val="nil"/>
              <w:right w:val="nil"/>
            </w:tcBorders>
            <w:noWrap/>
          </w:tcPr>
          <w:p w14:paraId="345DF349"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3</w:t>
            </w:r>
          </w:p>
        </w:tc>
        <w:tc>
          <w:tcPr>
            <w:tcW w:w="1134" w:type="dxa"/>
            <w:tcBorders>
              <w:top w:val="nil"/>
              <w:left w:val="nil"/>
              <w:bottom w:val="nil"/>
              <w:right w:val="nil"/>
            </w:tcBorders>
            <w:noWrap/>
          </w:tcPr>
          <w:p w14:paraId="134B0C91"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112030</w:t>
            </w:r>
          </w:p>
        </w:tc>
      </w:tr>
      <w:tr w:rsidR="00D86489" w14:paraId="7CA8DC38" w14:textId="77777777">
        <w:trPr>
          <w:trHeight w:val="270"/>
          <w:jc w:val="center"/>
        </w:trPr>
        <w:tc>
          <w:tcPr>
            <w:tcW w:w="1526" w:type="dxa"/>
            <w:tcBorders>
              <w:top w:val="nil"/>
              <w:left w:val="nil"/>
              <w:bottom w:val="nil"/>
              <w:right w:val="nil"/>
            </w:tcBorders>
            <w:noWrap/>
          </w:tcPr>
          <w:p w14:paraId="159FA11C"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DDX23</w:t>
            </w:r>
          </w:p>
        </w:tc>
        <w:tc>
          <w:tcPr>
            <w:tcW w:w="992" w:type="dxa"/>
            <w:tcBorders>
              <w:top w:val="nil"/>
              <w:left w:val="nil"/>
              <w:bottom w:val="nil"/>
              <w:right w:val="nil"/>
            </w:tcBorders>
            <w:noWrap/>
          </w:tcPr>
          <w:p w14:paraId="27F4656C"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8</w:t>
            </w:r>
          </w:p>
        </w:tc>
        <w:tc>
          <w:tcPr>
            <w:tcW w:w="992" w:type="dxa"/>
            <w:tcBorders>
              <w:top w:val="nil"/>
              <w:left w:val="nil"/>
              <w:bottom w:val="nil"/>
              <w:right w:val="nil"/>
            </w:tcBorders>
            <w:noWrap/>
          </w:tcPr>
          <w:p w14:paraId="65E3A731"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25919</w:t>
            </w:r>
          </w:p>
        </w:tc>
        <w:tc>
          <w:tcPr>
            <w:tcW w:w="1418" w:type="dxa"/>
            <w:tcBorders>
              <w:top w:val="nil"/>
              <w:left w:val="nil"/>
              <w:bottom w:val="nil"/>
              <w:right w:val="nil"/>
            </w:tcBorders>
            <w:noWrap/>
          </w:tcPr>
          <w:p w14:paraId="6991DD29"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RPS25</w:t>
            </w:r>
          </w:p>
        </w:tc>
        <w:tc>
          <w:tcPr>
            <w:tcW w:w="992" w:type="dxa"/>
            <w:tcBorders>
              <w:top w:val="nil"/>
              <w:left w:val="nil"/>
              <w:bottom w:val="nil"/>
              <w:right w:val="nil"/>
            </w:tcBorders>
            <w:noWrap/>
          </w:tcPr>
          <w:p w14:paraId="1BDE7059"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3</w:t>
            </w:r>
          </w:p>
        </w:tc>
        <w:tc>
          <w:tcPr>
            <w:tcW w:w="1134" w:type="dxa"/>
            <w:tcBorders>
              <w:top w:val="nil"/>
              <w:left w:val="nil"/>
              <w:bottom w:val="nil"/>
              <w:right w:val="nil"/>
            </w:tcBorders>
            <w:noWrap/>
          </w:tcPr>
          <w:p w14:paraId="3F88C2E0"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546080</w:t>
            </w:r>
          </w:p>
        </w:tc>
      </w:tr>
      <w:tr w:rsidR="00D86489" w14:paraId="051B4255" w14:textId="77777777">
        <w:trPr>
          <w:trHeight w:val="270"/>
          <w:jc w:val="center"/>
        </w:trPr>
        <w:tc>
          <w:tcPr>
            <w:tcW w:w="1526" w:type="dxa"/>
            <w:tcBorders>
              <w:top w:val="nil"/>
              <w:left w:val="nil"/>
              <w:bottom w:val="nil"/>
              <w:right w:val="nil"/>
            </w:tcBorders>
            <w:noWrap/>
          </w:tcPr>
          <w:p w14:paraId="7515502B"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DDX46</w:t>
            </w:r>
          </w:p>
        </w:tc>
        <w:tc>
          <w:tcPr>
            <w:tcW w:w="992" w:type="dxa"/>
            <w:tcBorders>
              <w:top w:val="nil"/>
              <w:left w:val="nil"/>
              <w:bottom w:val="nil"/>
              <w:right w:val="nil"/>
            </w:tcBorders>
            <w:noWrap/>
          </w:tcPr>
          <w:p w14:paraId="4DB17D54"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8</w:t>
            </w:r>
          </w:p>
        </w:tc>
        <w:tc>
          <w:tcPr>
            <w:tcW w:w="992" w:type="dxa"/>
            <w:tcBorders>
              <w:top w:val="nil"/>
              <w:left w:val="nil"/>
              <w:bottom w:val="nil"/>
              <w:right w:val="nil"/>
            </w:tcBorders>
            <w:noWrap/>
          </w:tcPr>
          <w:p w14:paraId="2D21D529"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38225</w:t>
            </w:r>
          </w:p>
        </w:tc>
        <w:tc>
          <w:tcPr>
            <w:tcW w:w="1418" w:type="dxa"/>
            <w:tcBorders>
              <w:top w:val="nil"/>
              <w:left w:val="nil"/>
              <w:bottom w:val="nil"/>
              <w:right w:val="nil"/>
            </w:tcBorders>
            <w:noWrap/>
          </w:tcPr>
          <w:p w14:paraId="05FB50FA"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RPS5</w:t>
            </w:r>
          </w:p>
        </w:tc>
        <w:tc>
          <w:tcPr>
            <w:tcW w:w="992" w:type="dxa"/>
            <w:tcBorders>
              <w:top w:val="nil"/>
              <w:left w:val="nil"/>
              <w:bottom w:val="nil"/>
              <w:right w:val="nil"/>
            </w:tcBorders>
            <w:noWrap/>
          </w:tcPr>
          <w:p w14:paraId="155E3A73"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3</w:t>
            </w:r>
          </w:p>
        </w:tc>
        <w:tc>
          <w:tcPr>
            <w:tcW w:w="1134" w:type="dxa"/>
            <w:tcBorders>
              <w:top w:val="nil"/>
              <w:left w:val="nil"/>
              <w:bottom w:val="nil"/>
              <w:right w:val="nil"/>
            </w:tcBorders>
            <w:noWrap/>
          </w:tcPr>
          <w:p w14:paraId="5AF50705"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108230</w:t>
            </w:r>
          </w:p>
        </w:tc>
      </w:tr>
      <w:tr w:rsidR="00D86489" w14:paraId="723DB2FC" w14:textId="77777777">
        <w:trPr>
          <w:trHeight w:val="270"/>
          <w:jc w:val="center"/>
        </w:trPr>
        <w:tc>
          <w:tcPr>
            <w:tcW w:w="1526" w:type="dxa"/>
            <w:tcBorders>
              <w:top w:val="nil"/>
              <w:left w:val="nil"/>
              <w:bottom w:val="nil"/>
              <w:right w:val="nil"/>
            </w:tcBorders>
            <w:noWrap/>
          </w:tcPr>
          <w:p w14:paraId="01CC5F7F"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HDLBP</w:t>
            </w:r>
          </w:p>
        </w:tc>
        <w:tc>
          <w:tcPr>
            <w:tcW w:w="992" w:type="dxa"/>
            <w:tcBorders>
              <w:top w:val="nil"/>
              <w:left w:val="nil"/>
              <w:bottom w:val="nil"/>
              <w:right w:val="nil"/>
            </w:tcBorders>
            <w:noWrap/>
          </w:tcPr>
          <w:p w14:paraId="1878297C"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8</w:t>
            </w:r>
          </w:p>
        </w:tc>
        <w:tc>
          <w:tcPr>
            <w:tcW w:w="992" w:type="dxa"/>
            <w:tcBorders>
              <w:top w:val="nil"/>
              <w:left w:val="nil"/>
              <w:bottom w:val="nil"/>
              <w:right w:val="nil"/>
            </w:tcBorders>
            <w:noWrap/>
          </w:tcPr>
          <w:p w14:paraId="54DC432E"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24703</w:t>
            </w:r>
          </w:p>
        </w:tc>
        <w:tc>
          <w:tcPr>
            <w:tcW w:w="1418" w:type="dxa"/>
            <w:tcBorders>
              <w:top w:val="nil"/>
              <w:left w:val="nil"/>
              <w:bottom w:val="nil"/>
              <w:right w:val="nil"/>
            </w:tcBorders>
            <w:noWrap/>
          </w:tcPr>
          <w:p w14:paraId="210A10FB"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RPSA</w:t>
            </w:r>
          </w:p>
        </w:tc>
        <w:tc>
          <w:tcPr>
            <w:tcW w:w="992" w:type="dxa"/>
            <w:tcBorders>
              <w:top w:val="nil"/>
              <w:left w:val="nil"/>
              <w:bottom w:val="nil"/>
              <w:right w:val="nil"/>
            </w:tcBorders>
            <w:noWrap/>
          </w:tcPr>
          <w:p w14:paraId="1A3A3BC9"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3</w:t>
            </w:r>
          </w:p>
        </w:tc>
        <w:tc>
          <w:tcPr>
            <w:tcW w:w="1134" w:type="dxa"/>
            <w:tcBorders>
              <w:top w:val="nil"/>
              <w:left w:val="nil"/>
              <w:bottom w:val="nil"/>
              <w:right w:val="nil"/>
            </w:tcBorders>
            <w:noWrap/>
          </w:tcPr>
          <w:p w14:paraId="47145640"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51340</w:t>
            </w:r>
          </w:p>
        </w:tc>
      </w:tr>
      <w:tr w:rsidR="00D86489" w14:paraId="4C83601A" w14:textId="77777777">
        <w:trPr>
          <w:trHeight w:val="270"/>
          <w:jc w:val="center"/>
        </w:trPr>
        <w:tc>
          <w:tcPr>
            <w:tcW w:w="1526" w:type="dxa"/>
            <w:tcBorders>
              <w:top w:val="nil"/>
              <w:left w:val="nil"/>
              <w:bottom w:val="nil"/>
              <w:right w:val="nil"/>
            </w:tcBorders>
            <w:noWrap/>
          </w:tcPr>
          <w:p w14:paraId="4408504D"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HNRNPUL2</w:t>
            </w:r>
          </w:p>
        </w:tc>
        <w:tc>
          <w:tcPr>
            <w:tcW w:w="992" w:type="dxa"/>
            <w:tcBorders>
              <w:top w:val="nil"/>
              <w:left w:val="nil"/>
              <w:bottom w:val="nil"/>
              <w:right w:val="nil"/>
            </w:tcBorders>
            <w:noWrap/>
          </w:tcPr>
          <w:p w14:paraId="0DFD8366"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8</w:t>
            </w:r>
          </w:p>
        </w:tc>
        <w:tc>
          <w:tcPr>
            <w:tcW w:w="992" w:type="dxa"/>
            <w:tcBorders>
              <w:top w:val="nil"/>
              <w:left w:val="nil"/>
              <w:bottom w:val="nil"/>
              <w:right w:val="nil"/>
            </w:tcBorders>
            <w:noWrap/>
          </w:tcPr>
          <w:p w14:paraId="51A6A955"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62974</w:t>
            </w:r>
          </w:p>
        </w:tc>
        <w:tc>
          <w:tcPr>
            <w:tcW w:w="1418" w:type="dxa"/>
            <w:tcBorders>
              <w:top w:val="nil"/>
              <w:left w:val="nil"/>
              <w:bottom w:val="nil"/>
              <w:right w:val="nil"/>
            </w:tcBorders>
            <w:noWrap/>
          </w:tcPr>
          <w:p w14:paraId="01BB1473"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SART1</w:t>
            </w:r>
          </w:p>
        </w:tc>
        <w:tc>
          <w:tcPr>
            <w:tcW w:w="992" w:type="dxa"/>
            <w:tcBorders>
              <w:top w:val="nil"/>
              <w:left w:val="nil"/>
              <w:bottom w:val="nil"/>
              <w:right w:val="nil"/>
            </w:tcBorders>
            <w:noWrap/>
          </w:tcPr>
          <w:p w14:paraId="010C28D8"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3</w:t>
            </w:r>
          </w:p>
        </w:tc>
        <w:tc>
          <w:tcPr>
            <w:tcW w:w="1134" w:type="dxa"/>
            <w:tcBorders>
              <w:top w:val="nil"/>
              <w:left w:val="nil"/>
              <w:bottom w:val="nil"/>
              <w:right w:val="nil"/>
            </w:tcBorders>
            <w:noWrap/>
          </w:tcPr>
          <w:p w14:paraId="4A878843"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10578</w:t>
            </w:r>
          </w:p>
        </w:tc>
      </w:tr>
      <w:tr w:rsidR="00D86489" w14:paraId="55559641" w14:textId="77777777">
        <w:trPr>
          <w:trHeight w:val="270"/>
          <w:jc w:val="center"/>
        </w:trPr>
        <w:tc>
          <w:tcPr>
            <w:tcW w:w="1526" w:type="dxa"/>
            <w:tcBorders>
              <w:top w:val="nil"/>
              <w:left w:val="nil"/>
              <w:bottom w:val="nil"/>
              <w:right w:val="nil"/>
            </w:tcBorders>
            <w:noWrap/>
          </w:tcPr>
          <w:p w14:paraId="670AB683"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RPL4</w:t>
            </w:r>
          </w:p>
        </w:tc>
        <w:tc>
          <w:tcPr>
            <w:tcW w:w="992" w:type="dxa"/>
            <w:tcBorders>
              <w:top w:val="nil"/>
              <w:left w:val="nil"/>
              <w:bottom w:val="nil"/>
              <w:right w:val="nil"/>
            </w:tcBorders>
            <w:noWrap/>
          </w:tcPr>
          <w:p w14:paraId="21089D1A"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8</w:t>
            </w:r>
          </w:p>
        </w:tc>
        <w:tc>
          <w:tcPr>
            <w:tcW w:w="992" w:type="dxa"/>
            <w:tcBorders>
              <w:top w:val="nil"/>
              <w:left w:val="nil"/>
              <w:bottom w:val="nil"/>
              <w:right w:val="nil"/>
            </w:tcBorders>
            <w:noWrap/>
          </w:tcPr>
          <w:p w14:paraId="627FBC4B"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153480</w:t>
            </w:r>
          </w:p>
        </w:tc>
        <w:tc>
          <w:tcPr>
            <w:tcW w:w="1418" w:type="dxa"/>
            <w:tcBorders>
              <w:top w:val="nil"/>
              <w:left w:val="nil"/>
              <w:bottom w:val="nil"/>
              <w:right w:val="nil"/>
            </w:tcBorders>
            <w:noWrap/>
          </w:tcPr>
          <w:p w14:paraId="59677EE2"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SEC63</w:t>
            </w:r>
          </w:p>
        </w:tc>
        <w:tc>
          <w:tcPr>
            <w:tcW w:w="992" w:type="dxa"/>
            <w:tcBorders>
              <w:top w:val="nil"/>
              <w:left w:val="nil"/>
              <w:bottom w:val="nil"/>
              <w:right w:val="nil"/>
            </w:tcBorders>
            <w:noWrap/>
          </w:tcPr>
          <w:p w14:paraId="727B84AE"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3</w:t>
            </w:r>
          </w:p>
        </w:tc>
        <w:tc>
          <w:tcPr>
            <w:tcW w:w="1134" w:type="dxa"/>
            <w:tcBorders>
              <w:top w:val="nil"/>
              <w:left w:val="nil"/>
              <w:bottom w:val="nil"/>
              <w:right w:val="nil"/>
            </w:tcBorders>
            <w:noWrap/>
          </w:tcPr>
          <w:p w14:paraId="079E0C96"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20060</w:t>
            </w:r>
          </w:p>
        </w:tc>
      </w:tr>
      <w:tr w:rsidR="00D86489" w14:paraId="09988DE2" w14:textId="77777777">
        <w:trPr>
          <w:trHeight w:val="270"/>
          <w:jc w:val="center"/>
        </w:trPr>
        <w:tc>
          <w:tcPr>
            <w:tcW w:w="1526" w:type="dxa"/>
            <w:tcBorders>
              <w:top w:val="nil"/>
              <w:left w:val="nil"/>
              <w:bottom w:val="nil"/>
              <w:right w:val="nil"/>
            </w:tcBorders>
            <w:noWrap/>
          </w:tcPr>
          <w:p w14:paraId="4F722B8E"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SF3B3</w:t>
            </w:r>
          </w:p>
        </w:tc>
        <w:tc>
          <w:tcPr>
            <w:tcW w:w="992" w:type="dxa"/>
            <w:tcBorders>
              <w:top w:val="nil"/>
              <w:left w:val="nil"/>
              <w:bottom w:val="nil"/>
              <w:right w:val="nil"/>
            </w:tcBorders>
            <w:noWrap/>
          </w:tcPr>
          <w:p w14:paraId="69FDCEA9"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8</w:t>
            </w:r>
          </w:p>
        </w:tc>
        <w:tc>
          <w:tcPr>
            <w:tcW w:w="992" w:type="dxa"/>
            <w:tcBorders>
              <w:top w:val="nil"/>
              <w:left w:val="nil"/>
              <w:bottom w:val="nil"/>
              <w:right w:val="nil"/>
            </w:tcBorders>
            <w:noWrap/>
          </w:tcPr>
          <w:p w14:paraId="48EE0EB3"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44688</w:t>
            </w:r>
          </w:p>
        </w:tc>
        <w:tc>
          <w:tcPr>
            <w:tcW w:w="1418" w:type="dxa"/>
            <w:tcBorders>
              <w:top w:val="nil"/>
              <w:left w:val="nil"/>
              <w:bottom w:val="nil"/>
              <w:right w:val="nil"/>
            </w:tcBorders>
            <w:noWrap/>
          </w:tcPr>
          <w:p w14:paraId="6FB6B2AE"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SLTM</w:t>
            </w:r>
          </w:p>
        </w:tc>
        <w:tc>
          <w:tcPr>
            <w:tcW w:w="992" w:type="dxa"/>
            <w:tcBorders>
              <w:top w:val="nil"/>
              <w:left w:val="nil"/>
              <w:bottom w:val="nil"/>
              <w:right w:val="nil"/>
            </w:tcBorders>
            <w:noWrap/>
          </w:tcPr>
          <w:p w14:paraId="4EF1AC41"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3</w:t>
            </w:r>
          </w:p>
        </w:tc>
        <w:tc>
          <w:tcPr>
            <w:tcW w:w="1134" w:type="dxa"/>
            <w:tcBorders>
              <w:top w:val="nil"/>
              <w:left w:val="nil"/>
              <w:bottom w:val="nil"/>
              <w:right w:val="nil"/>
            </w:tcBorders>
            <w:noWrap/>
          </w:tcPr>
          <w:p w14:paraId="286A1AF2"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29685</w:t>
            </w:r>
          </w:p>
        </w:tc>
      </w:tr>
      <w:tr w:rsidR="00D86489" w14:paraId="09557818" w14:textId="77777777">
        <w:trPr>
          <w:trHeight w:val="270"/>
          <w:jc w:val="center"/>
        </w:trPr>
        <w:tc>
          <w:tcPr>
            <w:tcW w:w="1526" w:type="dxa"/>
            <w:tcBorders>
              <w:top w:val="nil"/>
              <w:left w:val="nil"/>
              <w:bottom w:val="nil"/>
              <w:right w:val="nil"/>
            </w:tcBorders>
            <w:noWrap/>
          </w:tcPr>
          <w:p w14:paraId="3C87D405"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STT3A</w:t>
            </w:r>
          </w:p>
        </w:tc>
        <w:tc>
          <w:tcPr>
            <w:tcW w:w="992" w:type="dxa"/>
            <w:tcBorders>
              <w:top w:val="nil"/>
              <w:left w:val="nil"/>
              <w:bottom w:val="nil"/>
              <w:right w:val="nil"/>
            </w:tcBorders>
            <w:noWrap/>
          </w:tcPr>
          <w:p w14:paraId="41DD9125"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8</w:t>
            </w:r>
          </w:p>
        </w:tc>
        <w:tc>
          <w:tcPr>
            <w:tcW w:w="992" w:type="dxa"/>
            <w:tcBorders>
              <w:top w:val="nil"/>
              <w:left w:val="nil"/>
              <w:bottom w:val="nil"/>
              <w:right w:val="nil"/>
            </w:tcBorders>
            <w:noWrap/>
          </w:tcPr>
          <w:p w14:paraId="6C15FD4C"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193350</w:t>
            </w:r>
          </w:p>
        </w:tc>
        <w:tc>
          <w:tcPr>
            <w:tcW w:w="1418" w:type="dxa"/>
            <w:tcBorders>
              <w:top w:val="nil"/>
              <w:left w:val="nil"/>
              <w:bottom w:val="nil"/>
              <w:right w:val="nil"/>
            </w:tcBorders>
            <w:noWrap/>
          </w:tcPr>
          <w:p w14:paraId="22A34A0B"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SNRNP200</w:t>
            </w:r>
          </w:p>
        </w:tc>
        <w:tc>
          <w:tcPr>
            <w:tcW w:w="992" w:type="dxa"/>
            <w:tcBorders>
              <w:top w:val="nil"/>
              <w:left w:val="nil"/>
              <w:bottom w:val="nil"/>
              <w:right w:val="nil"/>
            </w:tcBorders>
            <w:noWrap/>
          </w:tcPr>
          <w:p w14:paraId="6D5C3E2B"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3</w:t>
            </w:r>
          </w:p>
        </w:tc>
        <w:tc>
          <w:tcPr>
            <w:tcW w:w="1134" w:type="dxa"/>
            <w:tcBorders>
              <w:top w:val="nil"/>
              <w:left w:val="nil"/>
              <w:bottom w:val="nil"/>
              <w:right w:val="nil"/>
            </w:tcBorders>
            <w:noWrap/>
          </w:tcPr>
          <w:p w14:paraId="06C9DDFA"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3760.4</w:t>
            </w:r>
          </w:p>
        </w:tc>
      </w:tr>
      <w:tr w:rsidR="00D86489" w14:paraId="12781177" w14:textId="77777777">
        <w:trPr>
          <w:trHeight w:val="270"/>
          <w:jc w:val="center"/>
        </w:trPr>
        <w:tc>
          <w:tcPr>
            <w:tcW w:w="1526" w:type="dxa"/>
            <w:tcBorders>
              <w:top w:val="nil"/>
              <w:left w:val="nil"/>
              <w:bottom w:val="nil"/>
              <w:right w:val="nil"/>
            </w:tcBorders>
            <w:noWrap/>
          </w:tcPr>
          <w:p w14:paraId="2EECF401"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THRAP3</w:t>
            </w:r>
          </w:p>
        </w:tc>
        <w:tc>
          <w:tcPr>
            <w:tcW w:w="992" w:type="dxa"/>
            <w:tcBorders>
              <w:top w:val="nil"/>
              <w:left w:val="nil"/>
              <w:bottom w:val="nil"/>
              <w:right w:val="nil"/>
            </w:tcBorders>
            <w:noWrap/>
          </w:tcPr>
          <w:p w14:paraId="5359A88C"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7</w:t>
            </w:r>
          </w:p>
        </w:tc>
        <w:tc>
          <w:tcPr>
            <w:tcW w:w="992" w:type="dxa"/>
            <w:tcBorders>
              <w:top w:val="nil"/>
              <w:left w:val="nil"/>
              <w:bottom w:val="nil"/>
              <w:right w:val="nil"/>
            </w:tcBorders>
            <w:noWrap/>
          </w:tcPr>
          <w:p w14:paraId="31A3E910"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44340</w:t>
            </w:r>
          </w:p>
        </w:tc>
        <w:tc>
          <w:tcPr>
            <w:tcW w:w="1418" w:type="dxa"/>
            <w:tcBorders>
              <w:top w:val="nil"/>
              <w:left w:val="nil"/>
              <w:bottom w:val="nil"/>
              <w:right w:val="nil"/>
            </w:tcBorders>
            <w:noWrap/>
          </w:tcPr>
          <w:p w14:paraId="7830DB5B"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SNRNP70</w:t>
            </w:r>
          </w:p>
        </w:tc>
        <w:tc>
          <w:tcPr>
            <w:tcW w:w="992" w:type="dxa"/>
            <w:tcBorders>
              <w:top w:val="nil"/>
              <w:left w:val="nil"/>
              <w:bottom w:val="nil"/>
              <w:right w:val="nil"/>
            </w:tcBorders>
            <w:noWrap/>
          </w:tcPr>
          <w:p w14:paraId="055C3C61"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3</w:t>
            </w:r>
          </w:p>
        </w:tc>
        <w:tc>
          <w:tcPr>
            <w:tcW w:w="1134" w:type="dxa"/>
            <w:tcBorders>
              <w:top w:val="nil"/>
              <w:left w:val="nil"/>
              <w:bottom w:val="nil"/>
              <w:right w:val="nil"/>
            </w:tcBorders>
            <w:noWrap/>
          </w:tcPr>
          <w:p w14:paraId="3E8514B4"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39146</w:t>
            </w:r>
          </w:p>
        </w:tc>
      </w:tr>
      <w:tr w:rsidR="00D86489" w14:paraId="464B1AF3" w14:textId="77777777">
        <w:trPr>
          <w:trHeight w:val="270"/>
          <w:jc w:val="center"/>
        </w:trPr>
        <w:tc>
          <w:tcPr>
            <w:tcW w:w="1526" w:type="dxa"/>
            <w:tcBorders>
              <w:top w:val="nil"/>
              <w:left w:val="nil"/>
              <w:bottom w:val="nil"/>
              <w:right w:val="nil"/>
            </w:tcBorders>
            <w:noWrap/>
          </w:tcPr>
          <w:p w14:paraId="2342AE11"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UBTF</w:t>
            </w:r>
          </w:p>
        </w:tc>
        <w:tc>
          <w:tcPr>
            <w:tcW w:w="992" w:type="dxa"/>
            <w:tcBorders>
              <w:top w:val="nil"/>
              <w:left w:val="nil"/>
              <w:bottom w:val="nil"/>
              <w:right w:val="nil"/>
            </w:tcBorders>
            <w:noWrap/>
          </w:tcPr>
          <w:p w14:paraId="501C7F9E"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8</w:t>
            </w:r>
          </w:p>
        </w:tc>
        <w:tc>
          <w:tcPr>
            <w:tcW w:w="992" w:type="dxa"/>
            <w:tcBorders>
              <w:top w:val="nil"/>
              <w:left w:val="nil"/>
              <w:bottom w:val="nil"/>
              <w:right w:val="nil"/>
            </w:tcBorders>
            <w:noWrap/>
          </w:tcPr>
          <w:p w14:paraId="7058A823"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35968</w:t>
            </w:r>
          </w:p>
        </w:tc>
        <w:tc>
          <w:tcPr>
            <w:tcW w:w="1418" w:type="dxa"/>
            <w:tcBorders>
              <w:top w:val="nil"/>
              <w:left w:val="nil"/>
              <w:bottom w:val="nil"/>
              <w:right w:val="nil"/>
            </w:tcBorders>
            <w:noWrap/>
          </w:tcPr>
          <w:p w14:paraId="14373B75"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SNRPN</w:t>
            </w:r>
          </w:p>
        </w:tc>
        <w:tc>
          <w:tcPr>
            <w:tcW w:w="992" w:type="dxa"/>
            <w:tcBorders>
              <w:top w:val="nil"/>
              <w:left w:val="nil"/>
              <w:bottom w:val="nil"/>
              <w:right w:val="nil"/>
            </w:tcBorders>
            <w:noWrap/>
          </w:tcPr>
          <w:p w14:paraId="25F0AAFB"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3</w:t>
            </w:r>
          </w:p>
        </w:tc>
        <w:tc>
          <w:tcPr>
            <w:tcW w:w="1134" w:type="dxa"/>
            <w:tcBorders>
              <w:top w:val="nil"/>
              <w:left w:val="nil"/>
              <w:bottom w:val="nil"/>
              <w:right w:val="nil"/>
            </w:tcBorders>
            <w:noWrap/>
          </w:tcPr>
          <w:p w14:paraId="1CDC30DC"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71955</w:t>
            </w:r>
          </w:p>
        </w:tc>
      </w:tr>
      <w:tr w:rsidR="00D86489" w14:paraId="122FD950" w14:textId="77777777">
        <w:trPr>
          <w:trHeight w:val="270"/>
          <w:jc w:val="center"/>
        </w:trPr>
        <w:tc>
          <w:tcPr>
            <w:tcW w:w="1526" w:type="dxa"/>
            <w:tcBorders>
              <w:top w:val="nil"/>
              <w:left w:val="nil"/>
              <w:bottom w:val="nil"/>
              <w:right w:val="nil"/>
            </w:tcBorders>
            <w:noWrap/>
          </w:tcPr>
          <w:p w14:paraId="4A55AA81"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ATP5B</w:t>
            </w:r>
          </w:p>
        </w:tc>
        <w:tc>
          <w:tcPr>
            <w:tcW w:w="992" w:type="dxa"/>
            <w:tcBorders>
              <w:top w:val="nil"/>
              <w:left w:val="nil"/>
              <w:bottom w:val="nil"/>
              <w:right w:val="nil"/>
            </w:tcBorders>
            <w:noWrap/>
          </w:tcPr>
          <w:p w14:paraId="537AE29D"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7</w:t>
            </w:r>
          </w:p>
        </w:tc>
        <w:tc>
          <w:tcPr>
            <w:tcW w:w="992" w:type="dxa"/>
            <w:tcBorders>
              <w:top w:val="nil"/>
              <w:left w:val="nil"/>
              <w:bottom w:val="nil"/>
              <w:right w:val="nil"/>
            </w:tcBorders>
            <w:noWrap/>
          </w:tcPr>
          <w:p w14:paraId="2C549361"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214160</w:t>
            </w:r>
          </w:p>
        </w:tc>
        <w:tc>
          <w:tcPr>
            <w:tcW w:w="1418" w:type="dxa"/>
            <w:tcBorders>
              <w:top w:val="nil"/>
              <w:left w:val="nil"/>
              <w:bottom w:val="nil"/>
              <w:right w:val="nil"/>
            </w:tcBorders>
            <w:noWrap/>
          </w:tcPr>
          <w:p w14:paraId="43A6AAC2"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SRSF11</w:t>
            </w:r>
          </w:p>
        </w:tc>
        <w:tc>
          <w:tcPr>
            <w:tcW w:w="992" w:type="dxa"/>
            <w:tcBorders>
              <w:top w:val="nil"/>
              <w:left w:val="nil"/>
              <w:bottom w:val="nil"/>
              <w:right w:val="nil"/>
            </w:tcBorders>
            <w:noWrap/>
          </w:tcPr>
          <w:p w14:paraId="6BF1A8FE"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3</w:t>
            </w:r>
          </w:p>
        </w:tc>
        <w:tc>
          <w:tcPr>
            <w:tcW w:w="1134" w:type="dxa"/>
            <w:tcBorders>
              <w:top w:val="nil"/>
              <w:left w:val="nil"/>
              <w:bottom w:val="nil"/>
              <w:right w:val="nil"/>
            </w:tcBorders>
            <w:noWrap/>
          </w:tcPr>
          <w:p w14:paraId="30ED1448"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98209</w:t>
            </w:r>
          </w:p>
        </w:tc>
      </w:tr>
      <w:tr w:rsidR="00D86489" w14:paraId="7EF58164" w14:textId="77777777">
        <w:trPr>
          <w:trHeight w:val="270"/>
          <w:jc w:val="center"/>
        </w:trPr>
        <w:tc>
          <w:tcPr>
            <w:tcW w:w="1526" w:type="dxa"/>
            <w:tcBorders>
              <w:top w:val="nil"/>
              <w:left w:val="nil"/>
              <w:bottom w:val="nil"/>
              <w:right w:val="nil"/>
            </w:tcBorders>
            <w:noWrap/>
          </w:tcPr>
          <w:p w14:paraId="50B08CA8"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DDX3X</w:t>
            </w:r>
          </w:p>
        </w:tc>
        <w:tc>
          <w:tcPr>
            <w:tcW w:w="992" w:type="dxa"/>
            <w:tcBorders>
              <w:top w:val="nil"/>
              <w:left w:val="nil"/>
              <w:bottom w:val="nil"/>
              <w:right w:val="nil"/>
            </w:tcBorders>
            <w:noWrap/>
          </w:tcPr>
          <w:p w14:paraId="2010E485"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6</w:t>
            </w:r>
          </w:p>
        </w:tc>
        <w:tc>
          <w:tcPr>
            <w:tcW w:w="992" w:type="dxa"/>
            <w:tcBorders>
              <w:top w:val="nil"/>
              <w:left w:val="nil"/>
              <w:bottom w:val="nil"/>
              <w:right w:val="nil"/>
            </w:tcBorders>
            <w:noWrap/>
          </w:tcPr>
          <w:p w14:paraId="431B93D7"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51039</w:t>
            </w:r>
          </w:p>
        </w:tc>
        <w:tc>
          <w:tcPr>
            <w:tcW w:w="1418" w:type="dxa"/>
            <w:tcBorders>
              <w:top w:val="nil"/>
              <w:left w:val="nil"/>
              <w:bottom w:val="nil"/>
              <w:right w:val="nil"/>
            </w:tcBorders>
            <w:noWrap/>
          </w:tcPr>
          <w:p w14:paraId="14036A90"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SRSF7</w:t>
            </w:r>
          </w:p>
        </w:tc>
        <w:tc>
          <w:tcPr>
            <w:tcW w:w="992" w:type="dxa"/>
            <w:tcBorders>
              <w:top w:val="nil"/>
              <w:left w:val="nil"/>
              <w:bottom w:val="nil"/>
              <w:right w:val="nil"/>
            </w:tcBorders>
            <w:noWrap/>
          </w:tcPr>
          <w:p w14:paraId="621BC66A"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3</w:t>
            </w:r>
          </w:p>
        </w:tc>
        <w:tc>
          <w:tcPr>
            <w:tcW w:w="1134" w:type="dxa"/>
            <w:tcBorders>
              <w:top w:val="nil"/>
              <w:left w:val="nil"/>
              <w:bottom w:val="nil"/>
              <w:right w:val="nil"/>
            </w:tcBorders>
            <w:noWrap/>
          </w:tcPr>
          <w:p w14:paraId="5E97C1DF"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302470</w:t>
            </w:r>
          </w:p>
        </w:tc>
      </w:tr>
      <w:tr w:rsidR="00D86489" w14:paraId="0D711DD3" w14:textId="77777777">
        <w:trPr>
          <w:trHeight w:val="270"/>
          <w:jc w:val="center"/>
        </w:trPr>
        <w:tc>
          <w:tcPr>
            <w:tcW w:w="1526" w:type="dxa"/>
            <w:tcBorders>
              <w:top w:val="nil"/>
              <w:left w:val="nil"/>
              <w:bottom w:val="nil"/>
              <w:right w:val="nil"/>
            </w:tcBorders>
            <w:noWrap/>
          </w:tcPr>
          <w:p w14:paraId="2B71E36C"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HNRNPA1</w:t>
            </w:r>
          </w:p>
        </w:tc>
        <w:tc>
          <w:tcPr>
            <w:tcW w:w="992" w:type="dxa"/>
            <w:tcBorders>
              <w:top w:val="nil"/>
              <w:left w:val="nil"/>
              <w:bottom w:val="nil"/>
              <w:right w:val="nil"/>
            </w:tcBorders>
            <w:noWrap/>
          </w:tcPr>
          <w:p w14:paraId="4B2E7715"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7</w:t>
            </w:r>
          </w:p>
        </w:tc>
        <w:tc>
          <w:tcPr>
            <w:tcW w:w="992" w:type="dxa"/>
            <w:tcBorders>
              <w:top w:val="nil"/>
              <w:left w:val="nil"/>
              <w:bottom w:val="nil"/>
              <w:right w:val="nil"/>
            </w:tcBorders>
            <w:noWrap/>
          </w:tcPr>
          <w:p w14:paraId="509B3A18"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325220</w:t>
            </w:r>
          </w:p>
        </w:tc>
        <w:tc>
          <w:tcPr>
            <w:tcW w:w="1418" w:type="dxa"/>
            <w:tcBorders>
              <w:top w:val="nil"/>
              <w:left w:val="nil"/>
              <w:bottom w:val="nil"/>
              <w:right w:val="nil"/>
            </w:tcBorders>
            <w:noWrap/>
          </w:tcPr>
          <w:p w14:paraId="6E107FE9"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TUBB</w:t>
            </w:r>
          </w:p>
        </w:tc>
        <w:tc>
          <w:tcPr>
            <w:tcW w:w="992" w:type="dxa"/>
            <w:tcBorders>
              <w:top w:val="nil"/>
              <w:left w:val="nil"/>
              <w:bottom w:val="nil"/>
              <w:right w:val="nil"/>
            </w:tcBorders>
            <w:noWrap/>
          </w:tcPr>
          <w:p w14:paraId="0A07FBA5"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3</w:t>
            </w:r>
          </w:p>
        </w:tc>
        <w:tc>
          <w:tcPr>
            <w:tcW w:w="1134" w:type="dxa"/>
            <w:tcBorders>
              <w:top w:val="nil"/>
              <w:left w:val="nil"/>
              <w:bottom w:val="nil"/>
              <w:right w:val="nil"/>
            </w:tcBorders>
            <w:noWrap/>
          </w:tcPr>
          <w:p w14:paraId="6F4D8EED"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43709</w:t>
            </w:r>
          </w:p>
        </w:tc>
      </w:tr>
      <w:tr w:rsidR="00D86489" w14:paraId="14DF63EC" w14:textId="77777777">
        <w:trPr>
          <w:trHeight w:val="270"/>
          <w:jc w:val="center"/>
        </w:trPr>
        <w:tc>
          <w:tcPr>
            <w:tcW w:w="1526" w:type="dxa"/>
            <w:tcBorders>
              <w:top w:val="nil"/>
              <w:left w:val="nil"/>
              <w:bottom w:val="nil"/>
              <w:right w:val="nil"/>
            </w:tcBorders>
            <w:noWrap/>
          </w:tcPr>
          <w:p w14:paraId="4791E7B7"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NCL</w:t>
            </w:r>
          </w:p>
        </w:tc>
        <w:tc>
          <w:tcPr>
            <w:tcW w:w="992" w:type="dxa"/>
            <w:tcBorders>
              <w:top w:val="nil"/>
              <w:left w:val="nil"/>
              <w:bottom w:val="nil"/>
              <w:right w:val="nil"/>
            </w:tcBorders>
            <w:noWrap/>
          </w:tcPr>
          <w:p w14:paraId="43733CEF"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7</w:t>
            </w:r>
          </w:p>
        </w:tc>
        <w:tc>
          <w:tcPr>
            <w:tcW w:w="992" w:type="dxa"/>
            <w:tcBorders>
              <w:top w:val="nil"/>
              <w:left w:val="nil"/>
              <w:bottom w:val="nil"/>
              <w:right w:val="nil"/>
            </w:tcBorders>
            <w:noWrap/>
          </w:tcPr>
          <w:p w14:paraId="36F5746B"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547660</w:t>
            </w:r>
          </w:p>
        </w:tc>
        <w:tc>
          <w:tcPr>
            <w:tcW w:w="1418" w:type="dxa"/>
            <w:tcBorders>
              <w:top w:val="nil"/>
              <w:left w:val="nil"/>
              <w:bottom w:val="nil"/>
              <w:right w:val="nil"/>
            </w:tcBorders>
            <w:noWrap/>
          </w:tcPr>
          <w:p w14:paraId="017FED50"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UBAP2L</w:t>
            </w:r>
          </w:p>
        </w:tc>
        <w:tc>
          <w:tcPr>
            <w:tcW w:w="992" w:type="dxa"/>
            <w:tcBorders>
              <w:top w:val="nil"/>
              <w:left w:val="nil"/>
              <w:bottom w:val="nil"/>
              <w:right w:val="nil"/>
            </w:tcBorders>
            <w:noWrap/>
          </w:tcPr>
          <w:p w14:paraId="23BFD1A2"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3</w:t>
            </w:r>
          </w:p>
        </w:tc>
        <w:tc>
          <w:tcPr>
            <w:tcW w:w="1134" w:type="dxa"/>
            <w:tcBorders>
              <w:top w:val="nil"/>
              <w:left w:val="nil"/>
              <w:bottom w:val="nil"/>
              <w:right w:val="nil"/>
            </w:tcBorders>
            <w:noWrap/>
          </w:tcPr>
          <w:p w14:paraId="10D9F6D8"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13128</w:t>
            </w:r>
          </w:p>
        </w:tc>
      </w:tr>
      <w:tr w:rsidR="00D86489" w14:paraId="72CC8BC8" w14:textId="77777777">
        <w:trPr>
          <w:trHeight w:val="270"/>
          <w:jc w:val="center"/>
        </w:trPr>
        <w:tc>
          <w:tcPr>
            <w:tcW w:w="1526" w:type="dxa"/>
            <w:tcBorders>
              <w:top w:val="nil"/>
              <w:left w:val="nil"/>
              <w:bottom w:val="nil"/>
              <w:right w:val="nil"/>
            </w:tcBorders>
            <w:noWrap/>
          </w:tcPr>
          <w:p w14:paraId="59090D57" w14:textId="77777777" w:rsidR="00D86489" w:rsidRDefault="00B22FD0">
            <w:pPr>
              <w:tabs>
                <w:tab w:val="left" w:pos="6361"/>
              </w:tabs>
              <w:rPr>
                <w:rFonts w:ascii="Times New Roman" w:hAnsi="Times New Roman"/>
                <w:kern w:val="0"/>
                <w:szCs w:val="21"/>
              </w:rPr>
            </w:pPr>
            <w:r>
              <w:rPr>
                <w:rFonts w:ascii="Times New Roman" w:hAnsi="Times New Roman"/>
                <w:kern w:val="0"/>
                <w:szCs w:val="21"/>
              </w:rPr>
              <w:lastRenderedPageBreak/>
              <w:t>RBMX</w:t>
            </w:r>
          </w:p>
        </w:tc>
        <w:tc>
          <w:tcPr>
            <w:tcW w:w="992" w:type="dxa"/>
            <w:tcBorders>
              <w:top w:val="nil"/>
              <w:left w:val="nil"/>
              <w:bottom w:val="nil"/>
              <w:right w:val="nil"/>
            </w:tcBorders>
            <w:noWrap/>
          </w:tcPr>
          <w:p w14:paraId="4B51B86E"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7</w:t>
            </w:r>
          </w:p>
        </w:tc>
        <w:tc>
          <w:tcPr>
            <w:tcW w:w="992" w:type="dxa"/>
            <w:tcBorders>
              <w:top w:val="nil"/>
              <w:left w:val="nil"/>
              <w:bottom w:val="nil"/>
              <w:right w:val="nil"/>
            </w:tcBorders>
            <w:noWrap/>
          </w:tcPr>
          <w:p w14:paraId="191D32D3"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133980</w:t>
            </w:r>
          </w:p>
        </w:tc>
        <w:tc>
          <w:tcPr>
            <w:tcW w:w="1418" w:type="dxa"/>
            <w:tcBorders>
              <w:top w:val="nil"/>
              <w:left w:val="nil"/>
              <w:bottom w:val="nil"/>
              <w:right w:val="nil"/>
            </w:tcBorders>
            <w:noWrap/>
          </w:tcPr>
          <w:p w14:paraId="10337A7C"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ZC3H18</w:t>
            </w:r>
          </w:p>
        </w:tc>
        <w:tc>
          <w:tcPr>
            <w:tcW w:w="992" w:type="dxa"/>
            <w:tcBorders>
              <w:top w:val="nil"/>
              <w:left w:val="nil"/>
              <w:bottom w:val="nil"/>
              <w:right w:val="nil"/>
            </w:tcBorders>
            <w:noWrap/>
          </w:tcPr>
          <w:p w14:paraId="21EE9282"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3</w:t>
            </w:r>
          </w:p>
        </w:tc>
        <w:tc>
          <w:tcPr>
            <w:tcW w:w="1134" w:type="dxa"/>
            <w:tcBorders>
              <w:top w:val="nil"/>
              <w:left w:val="nil"/>
              <w:bottom w:val="nil"/>
              <w:right w:val="nil"/>
            </w:tcBorders>
            <w:noWrap/>
          </w:tcPr>
          <w:p w14:paraId="58774630"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25420</w:t>
            </w:r>
          </w:p>
        </w:tc>
      </w:tr>
      <w:tr w:rsidR="00D86489" w14:paraId="15292425" w14:textId="77777777">
        <w:trPr>
          <w:trHeight w:val="270"/>
          <w:jc w:val="center"/>
        </w:trPr>
        <w:tc>
          <w:tcPr>
            <w:tcW w:w="1526" w:type="dxa"/>
            <w:tcBorders>
              <w:top w:val="nil"/>
              <w:left w:val="nil"/>
              <w:bottom w:val="nil"/>
              <w:right w:val="nil"/>
            </w:tcBorders>
            <w:noWrap/>
          </w:tcPr>
          <w:p w14:paraId="2C1B6A86"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RPS4X</w:t>
            </w:r>
          </w:p>
        </w:tc>
        <w:tc>
          <w:tcPr>
            <w:tcW w:w="992" w:type="dxa"/>
            <w:tcBorders>
              <w:top w:val="nil"/>
              <w:left w:val="nil"/>
              <w:bottom w:val="nil"/>
              <w:right w:val="nil"/>
            </w:tcBorders>
            <w:noWrap/>
          </w:tcPr>
          <w:p w14:paraId="32D25BB1"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7</w:t>
            </w:r>
          </w:p>
        </w:tc>
        <w:tc>
          <w:tcPr>
            <w:tcW w:w="992" w:type="dxa"/>
            <w:tcBorders>
              <w:top w:val="nil"/>
              <w:left w:val="nil"/>
              <w:bottom w:val="nil"/>
              <w:right w:val="nil"/>
            </w:tcBorders>
            <w:noWrap/>
          </w:tcPr>
          <w:p w14:paraId="4B1453F1"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107760</w:t>
            </w:r>
          </w:p>
        </w:tc>
        <w:tc>
          <w:tcPr>
            <w:tcW w:w="1418" w:type="dxa"/>
            <w:tcBorders>
              <w:top w:val="nil"/>
              <w:left w:val="nil"/>
              <w:bottom w:val="nil"/>
              <w:right w:val="nil"/>
            </w:tcBorders>
            <w:noWrap/>
          </w:tcPr>
          <w:p w14:paraId="65E518B1"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ABCF2</w:t>
            </w:r>
          </w:p>
        </w:tc>
        <w:tc>
          <w:tcPr>
            <w:tcW w:w="992" w:type="dxa"/>
            <w:tcBorders>
              <w:top w:val="nil"/>
              <w:left w:val="nil"/>
              <w:bottom w:val="nil"/>
              <w:right w:val="nil"/>
            </w:tcBorders>
            <w:noWrap/>
          </w:tcPr>
          <w:p w14:paraId="20F13DD5"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2</w:t>
            </w:r>
          </w:p>
        </w:tc>
        <w:tc>
          <w:tcPr>
            <w:tcW w:w="1134" w:type="dxa"/>
            <w:tcBorders>
              <w:top w:val="nil"/>
              <w:left w:val="nil"/>
              <w:bottom w:val="nil"/>
              <w:right w:val="nil"/>
            </w:tcBorders>
            <w:noWrap/>
          </w:tcPr>
          <w:p w14:paraId="61DDCDB3"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6152.9</w:t>
            </w:r>
          </w:p>
        </w:tc>
      </w:tr>
      <w:tr w:rsidR="00D86489" w14:paraId="46083DD2" w14:textId="77777777">
        <w:trPr>
          <w:trHeight w:val="270"/>
          <w:jc w:val="center"/>
        </w:trPr>
        <w:tc>
          <w:tcPr>
            <w:tcW w:w="1526" w:type="dxa"/>
            <w:tcBorders>
              <w:top w:val="nil"/>
              <w:left w:val="nil"/>
              <w:bottom w:val="nil"/>
              <w:right w:val="nil"/>
            </w:tcBorders>
            <w:noWrap/>
          </w:tcPr>
          <w:p w14:paraId="665C6A4B"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U2SURP</w:t>
            </w:r>
          </w:p>
        </w:tc>
        <w:tc>
          <w:tcPr>
            <w:tcW w:w="992" w:type="dxa"/>
            <w:tcBorders>
              <w:top w:val="nil"/>
              <w:left w:val="nil"/>
              <w:bottom w:val="nil"/>
              <w:right w:val="nil"/>
            </w:tcBorders>
            <w:noWrap/>
          </w:tcPr>
          <w:p w14:paraId="0266AAB3"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7</w:t>
            </w:r>
          </w:p>
        </w:tc>
        <w:tc>
          <w:tcPr>
            <w:tcW w:w="992" w:type="dxa"/>
            <w:tcBorders>
              <w:top w:val="nil"/>
              <w:left w:val="nil"/>
              <w:bottom w:val="nil"/>
              <w:right w:val="nil"/>
            </w:tcBorders>
            <w:noWrap/>
          </w:tcPr>
          <w:p w14:paraId="37AF3446"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58703</w:t>
            </w:r>
          </w:p>
        </w:tc>
        <w:tc>
          <w:tcPr>
            <w:tcW w:w="1418" w:type="dxa"/>
            <w:tcBorders>
              <w:top w:val="nil"/>
              <w:left w:val="nil"/>
              <w:bottom w:val="nil"/>
              <w:right w:val="nil"/>
            </w:tcBorders>
            <w:noWrap/>
          </w:tcPr>
          <w:p w14:paraId="57753174"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ATAD3B</w:t>
            </w:r>
          </w:p>
        </w:tc>
        <w:tc>
          <w:tcPr>
            <w:tcW w:w="992" w:type="dxa"/>
            <w:tcBorders>
              <w:top w:val="nil"/>
              <w:left w:val="nil"/>
              <w:bottom w:val="nil"/>
              <w:right w:val="nil"/>
            </w:tcBorders>
            <w:noWrap/>
          </w:tcPr>
          <w:p w14:paraId="45F71FAF"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2</w:t>
            </w:r>
          </w:p>
        </w:tc>
        <w:tc>
          <w:tcPr>
            <w:tcW w:w="1134" w:type="dxa"/>
            <w:tcBorders>
              <w:top w:val="nil"/>
              <w:left w:val="nil"/>
              <w:bottom w:val="nil"/>
              <w:right w:val="nil"/>
            </w:tcBorders>
            <w:noWrap/>
          </w:tcPr>
          <w:p w14:paraId="34874FAC"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10009</w:t>
            </w:r>
          </w:p>
        </w:tc>
      </w:tr>
      <w:tr w:rsidR="00D86489" w14:paraId="7842C348" w14:textId="77777777">
        <w:trPr>
          <w:trHeight w:val="270"/>
          <w:jc w:val="center"/>
        </w:trPr>
        <w:tc>
          <w:tcPr>
            <w:tcW w:w="1526" w:type="dxa"/>
            <w:tcBorders>
              <w:top w:val="nil"/>
              <w:left w:val="nil"/>
              <w:bottom w:val="nil"/>
              <w:right w:val="nil"/>
            </w:tcBorders>
            <w:noWrap/>
          </w:tcPr>
          <w:p w14:paraId="45386DF1"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G3BP1</w:t>
            </w:r>
          </w:p>
        </w:tc>
        <w:tc>
          <w:tcPr>
            <w:tcW w:w="992" w:type="dxa"/>
            <w:tcBorders>
              <w:top w:val="nil"/>
              <w:left w:val="nil"/>
              <w:bottom w:val="nil"/>
              <w:right w:val="nil"/>
            </w:tcBorders>
            <w:noWrap/>
          </w:tcPr>
          <w:p w14:paraId="20DE896C"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5</w:t>
            </w:r>
          </w:p>
        </w:tc>
        <w:tc>
          <w:tcPr>
            <w:tcW w:w="992" w:type="dxa"/>
            <w:tcBorders>
              <w:top w:val="nil"/>
              <w:left w:val="nil"/>
              <w:bottom w:val="nil"/>
              <w:right w:val="nil"/>
            </w:tcBorders>
            <w:noWrap/>
          </w:tcPr>
          <w:p w14:paraId="144ACA08"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65255</w:t>
            </w:r>
          </w:p>
        </w:tc>
        <w:tc>
          <w:tcPr>
            <w:tcW w:w="1418" w:type="dxa"/>
            <w:tcBorders>
              <w:top w:val="nil"/>
              <w:left w:val="nil"/>
              <w:bottom w:val="nil"/>
              <w:right w:val="nil"/>
            </w:tcBorders>
            <w:noWrap/>
          </w:tcPr>
          <w:p w14:paraId="14354790"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ATP2A2</w:t>
            </w:r>
          </w:p>
        </w:tc>
        <w:tc>
          <w:tcPr>
            <w:tcW w:w="992" w:type="dxa"/>
            <w:tcBorders>
              <w:top w:val="nil"/>
              <w:left w:val="nil"/>
              <w:bottom w:val="nil"/>
              <w:right w:val="nil"/>
            </w:tcBorders>
            <w:noWrap/>
          </w:tcPr>
          <w:p w14:paraId="5B070AB2"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2</w:t>
            </w:r>
          </w:p>
        </w:tc>
        <w:tc>
          <w:tcPr>
            <w:tcW w:w="1134" w:type="dxa"/>
            <w:tcBorders>
              <w:top w:val="nil"/>
              <w:left w:val="nil"/>
              <w:bottom w:val="nil"/>
              <w:right w:val="nil"/>
            </w:tcBorders>
            <w:noWrap/>
          </w:tcPr>
          <w:p w14:paraId="38322F06"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3366.5</w:t>
            </w:r>
          </w:p>
        </w:tc>
      </w:tr>
      <w:tr w:rsidR="00D86489" w14:paraId="132E2DF8" w14:textId="77777777">
        <w:trPr>
          <w:trHeight w:val="270"/>
          <w:jc w:val="center"/>
        </w:trPr>
        <w:tc>
          <w:tcPr>
            <w:tcW w:w="1526" w:type="dxa"/>
            <w:tcBorders>
              <w:top w:val="nil"/>
              <w:left w:val="nil"/>
              <w:bottom w:val="nil"/>
              <w:right w:val="nil"/>
            </w:tcBorders>
            <w:noWrap/>
          </w:tcPr>
          <w:p w14:paraId="344A93A6"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NOP2</w:t>
            </w:r>
          </w:p>
        </w:tc>
        <w:tc>
          <w:tcPr>
            <w:tcW w:w="992" w:type="dxa"/>
            <w:tcBorders>
              <w:top w:val="nil"/>
              <w:left w:val="nil"/>
              <w:bottom w:val="nil"/>
              <w:right w:val="nil"/>
            </w:tcBorders>
            <w:noWrap/>
          </w:tcPr>
          <w:p w14:paraId="2C0F0FC3"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6</w:t>
            </w:r>
          </w:p>
        </w:tc>
        <w:tc>
          <w:tcPr>
            <w:tcW w:w="992" w:type="dxa"/>
            <w:tcBorders>
              <w:top w:val="nil"/>
              <w:left w:val="nil"/>
              <w:bottom w:val="nil"/>
              <w:right w:val="nil"/>
            </w:tcBorders>
            <w:noWrap/>
          </w:tcPr>
          <w:p w14:paraId="58DC781E"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177830</w:t>
            </w:r>
          </w:p>
        </w:tc>
        <w:tc>
          <w:tcPr>
            <w:tcW w:w="1418" w:type="dxa"/>
            <w:tcBorders>
              <w:top w:val="nil"/>
              <w:left w:val="nil"/>
              <w:bottom w:val="nil"/>
              <w:right w:val="nil"/>
            </w:tcBorders>
            <w:noWrap/>
          </w:tcPr>
          <w:p w14:paraId="1CF8ED4B"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BAZ1A</w:t>
            </w:r>
          </w:p>
        </w:tc>
        <w:tc>
          <w:tcPr>
            <w:tcW w:w="992" w:type="dxa"/>
            <w:tcBorders>
              <w:top w:val="nil"/>
              <w:left w:val="nil"/>
              <w:bottom w:val="nil"/>
              <w:right w:val="nil"/>
            </w:tcBorders>
            <w:noWrap/>
          </w:tcPr>
          <w:p w14:paraId="14B41A49"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2</w:t>
            </w:r>
          </w:p>
        </w:tc>
        <w:tc>
          <w:tcPr>
            <w:tcW w:w="1134" w:type="dxa"/>
            <w:tcBorders>
              <w:top w:val="nil"/>
              <w:left w:val="nil"/>
              <w:bottom w:val="nil"/>
              <w:right w:val="nil"/>
            </w:tcBorders>
            <w:noWrap/>
          </w:tcPr>
          <w:p w14:paraId="5C61134C"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2643.6</w:t>
            </w:r>
          </w:p>
        </w:tc>
      </w:tr>
      <w:tr w:rsidR="00D86489" w14:paraId="0B3F7114" w14:textId="77777777">
        <w:trPr>
          <w:trHeight w:val="270"/>
          <w:jc w:val="center"/>
        </w:trPr>
        <w:tc>
          <w:tcPr>
            <w:tcW w:w="1526" w:type="dxa"/>
            <w:tcBorders>
              <w:top w:val="nil"/>
              <w:left w:val="nil"/>
              <w:bottom w:val="nil"/>
              <w:right w:val="nil"/>
            </w:tcBorders>
            <w:noWrap/>
          </w:tcPr>
          <w:p w14:paraId="6DA63106"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RPL32</w:t>
            </w:r>
          </w:p>
        </w:tc>
        <w:tc>
          <w:tcPr>
            <w:tcW w:w="992" w:type="dxa"/>
            <w:tcBorders>
              <w:top w:val="nil"/>
              <w:left w:val="nil"/>
              <w:bottom w:val="nil"/>
              <w:right w:val="nil"/>
            </w:tcBorders>
            <w:noWrap/>
          </w:tcPr>
          <w:p w14:paraId="1BB39A49"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6</w:t>
            </w:r>
          </w:p>
        </w:tc>
        <w:tc>
          <w:tcPr>
            <w:tcW w:w="992" w:type="dxa"/>
            <w:tcBorders>
              <w:top w:val="nil"/>
              <w:left w:val="nil"/>
              <w:bottom w:val="nil"/>
              <w:right w:val="nil"/>
            </w:tcBorders>
            <w:noWrap/>
          </w:tcPr>
          <w:p w14:paraId="54329399"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341510</w:t>
            </w:r>
          </w:p>
        </w:tc>
        <w:tc>
          <w:tcPr>
            <w:tcW w:w="1418" w:type="dxa"/>
            <w:tcBorders>
              <w:top w:val="nil"/>
              <w:left w:val="nil"/>
              <w:bottom w:val="nil"/>
              <w:right w:val="nil"/>
            </w:tcBorders>
            <w:noWrap/>
          </w:tcPr>
          <w:p w14:paraId="33552D73"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CANX</w:t>
            </w:r>
          </w:p>
        </w:tc>
        <w:tc>
          <w:tcPr>
            <w:tcW w:w="992" w:type="dxa"/>
            <w:tcBorders>
              <w:top w:val="nil"/>
              <w:left w:val="nil"/>
              <w:bottom w:val="nil"/>
              <w:right w:val="nil"/>
            </w:tcBorders>
            <w:noWrap/>
          </w:tcPr>
          <w:p w14:paraId="65BD5896"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2</w:t>
            </w:r>
          </w:p>
        </w:tc>
        <w:tc>
          <w:tcPr>
            <w:tcW w:w="1134" w:type="dxa"/>
            <w:tcBorders>
              <w:top w:val="nil"/>
              <w:left w:val="nil"/>
              <w:bottom w:val="nil"/>
              <w:right w:val="nil"/>
            </w:tcBorders>
            <w:noWrap/>
          </w:tcPr>
          <w:p w14:paraId="2BFC5B18"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17917</w:t>
            </w:r>
          </w:p>
        </w:tc>
      </w:tr>
      <w:tr w:rsidR="00D86489" w14:paraId="0C28540F" w14:textId="77777777">
        <w:trPr>
          <w:trHeight w:val="270"/>
          <w:jc w:val="center"/>
        </w:trPr>
        <w:tc>
          <w:tcPr>
            <w:tcW w:w="1526" w:type="dxa"/>
            <w:tcBorders>
              <w:top w:val="nil"/>
              <w:left w:val="nil"/>
              <w:bottom w:val="nil"/>
              <w:right w:val="nil"/>
            </w:tcBorders>
            <w:noWrap/>
          </w:tcPr>
          <w:p w14:paraId="1BE1B913"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RRP12</w:t>
            </w:r>
          </w:p>
        </w:tc>
        <w:tc>
          <w:tcPr>
            <w:tcW w:w="992" w:type="dxa"/>
            <w:tcBorders>
              <w:top w:val="nil"/>
              <w:left w:val="nil"/>
              <w:bottom w:val="nil"/>
              <w:right w:val="nil"/>
            </w:tcBorders>
            <w:noWrap/>
          </w:tcPr>
          <w:p w14:paraId="3D85D935"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6</w:t>
            </w:r>
          </w:p>
        </w:tc>
        <w:tc>
          <w:tcPr>
            <w:tcW w:w="992" w:type="dxa"/>
            <w:tcBorders>
              <w:top w:val="nil"/>
              <w:left w:val="nil"/>
              <w:bottom w:val="nil"/>
              <w:right w:val="nil"/>
            </w:tcBorders>
            <w:noWrap/>
          </w:tcPr>
          <w:p w14:paraId="52EA8EC9"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16204</w:t>
            </w:r>
          </w:p>
        </w:tc>
        <w:tc>
          <w:tcPr>
            <w:tcW w:w="1418" w:type="dxa"/>
            <w:tcBorders>
              <w:top w:val="nil"/>
              <w:left w:val="nil"/>
              <w:bottom w:val="nil"/>
              <w:right w:val="nil"/>
            </w:tcBorders>
            <w:noWrap/>
          </w:tcPr>
          <w:p w14:paraId="0B748845"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CCDC47</w:t>
            </w:r>
          </w:p>
        </w:tc>
        <w:tc>
          <w:tcPr>
            <w:tcW w:w="992" w:type="dxa"/>
            <w:tcBorders>
              <w:top w:val="nil"/>
              <w:left w:val="nil"/>
              <w:bottom w:val="nil"/>
              <w:right w:val="nil"/>
            </w:tcBorders>
            <w:noWrap/>
          </w:tcPr>
          <w:p w14:paraId="109C6AFA"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2</w:t>
            </w:r>
          </w:p>
        </w:tc>
        <w:tc>
          <w:tcPr>
            <w:tcW w:w="1134" w:type="dxa"/>
            <w:tcBorders>
              <w:top w:val="nil"/>
              <w:left w:val="nil"/>
              <w:bottom w:val="nil"/>
              <w:right w:val="nil"/>
            </w:tcBorders>
            <w:noWrap/>
          </w:tcPr>
          <w:p w14:paraId="5BC0BD3A"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12657</w:t>
            </w:r>
          </w:p>
        </w:tc>
      </w:tr>
      <w:tr w:rsidR="00D86489" w14:paraId="448A4CDB" w14:textId="77777777">
        <w:trPr>
          <w:trHeight w:val="270"/>
          <w:jc w:val="center"/>
        </w:trPr>
        <w:tc>
          <w:tcPr>
            <w:tcW w:w="1526" w:type="dxa"/>
            <w:tcBorders>
              <w:top w:val="nil"/>
              <w:left w:val="nil"/>
              <w:bottom w:val="nil"/>
              <w:right w:val="nil"/>
            </w:tcBorders>
            <w:noWrap/>
          </w:tcPr>
          <w:p w14:paraId="022D6BD7"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SF3B2</w:t>
            </w:r>
          </w:p>
        </w:tc>
        <w:tc>
          <w:tcPr>
            <w:tcW w:w="992" w:type="dxa"/>
            <w:tcBorders>
              <w:top w:val="nil"/>
              <w:left w:val="nil"/>
              <w:bottom w:val="nil"/>
              <w:right w:val="nil"/>
            </w:tcBorders>
            <w:noWrap/>
          </w:tcPr>
          <w:p w14:paraId="238EC6E9"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6</w:t>
            </w:r>
          </w:p>
        </w:tc>
        <w:tc>
          <w:tcPr>
            <w:tcW w:w="992" w:type="dxa"/>
            <w:tcBorders>
              <w:top w:val="nil"/>
              <w:left w:val="nil"/>
              <w:bottom w:val="nil"/>
              <w:right w:val="nil"/>
            </w:tcBorders>
            <w:noWrap/>
          </w:tcPr>
          <w:p w14:paraId="3771AE24"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95211</w:t>
            </w:r>
          </w:p>
        </w:tc>
        <w:tc>
          <w:tcPr>
            <w:tcW w:w="1418" w:type="dxa"/>
            <w:tcBorders>
              <w:top w:val="nil"/>
              <w:left w:val="nil"/>
              <w:bottom w:val="nil"/>
              <w:right w:val="nil"/>
            </w:tcBorders>
            <w:noWrap/>
          </w:tcPr>
          <w:p w14:paraId="1F326F3A"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CCNK</w:t>
            </w:r>
          </w:p>
        </w:tc>
        <w:tc>
          <w:tcPr>
            <w:tcW w:w="992" w:type="dxa"/>
            <w:tcBorders>
              <w:top w:val="nil"/>
              <w:left w:val="nil"/>
              <w:bottom w:val="nil"/>
              <w:right w:val="nil"/>
            </w:tcBorders>
            <w:noWrap/>
          </w:tcPr>
          <w:p w14:paraId="6CE1B6DF"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2</w:t>
            </w:r>
          </w:p>
        </w:tc>
        <w:tc>
          <w:tcPr>
            <w:tcW w:w="1134" w:type="dxa"/>
            <w:tcBorders>
              <w:top w:val="nil"/>
              <w:left w:val="nil"/>
              <w:bottom w:val="nil"/>
              <w:right w:val="nil"/>
            </w:tcBorders>
            <w:noWrap/>
          </w:tcPr>
          <w:p w14:paraId="2A3168B2"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21551</w:t>
            </w:r>
          </w:p>
        </w:tc>
      </w:tr>
      <w:tr w:rsidR="00D86489" w14:paraId="1DA990AF" w14:textId="77777777">
        <w:trPr>
          <w:trHeight w:val="270"/>
          <w:jc w:val="center"/>
        </w:trPr>
        <w:tc>
          <w:tcPr>
            <w:tcW w:w="1526" w:type="dxa"/>
            <w:tcBorders>
              <w:top w:val="nil"/>
              <w:left w:val="nil"/>
              <w:bottom w:val="nil"/>
              <w:right w:val="nil"/>
            </w:tcBorders>
            <w:noWrap/>
          </w:tcPr>
          <w:p w14:paraId="08B33F62"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SND1</w:t>
            </w:r>
          </w:p>
        </w:tc>
        <w:tc>
          <w:tcPr>
            <w:tcW w:w="992" w:type="dxa"/>
            <w:tcBorders>
              <w:top w:val="nil"/>
              <w:left w:val="nil"/>
              <w:bottom w:val="nil"/>
              <w:right w:val="nil"/>
            </w:tcBorders>
            <w:noWrap/>
          </w:tcPr>
          <w:p w14:paraId="5F935390"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6</w:t>
            </w:r>
          </w:p>
        </w:tc>
        <w:tc>
          <w:tcPr>
            <w:tcW w:w="992" w:type="dxa"/>
            <w:tcBorders>
              <w:top w:val="nil"/>
              <w:left w:val="nil"/>
              <w:bottom w:val="nil"/>
              <w:right w:val="nil"/>
            </w:tcBorders>
            <w:noWrap/>
          </w:tcPr>
          <w:p w14:paraId="31F9A7A9"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16807</w:t>
            </w:r>
          </w:p>
        </w:tc>
        <w:tc>
          <w:tcPr>
            <w:tcW w:w="1418" w:type="dxa"/>
            <w:tcBorders>
              <w:top w:val="nil"/>
              <w:left w:val="nil"/>
              <w:bottom w:val="nil"/>
              <w:right w:val="nil"/>
            </w:tcBorders>
            <w:noWrap/>
          </w:tcPr>
          <w:p w14:paraId="51A1CAE5"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CHTOP</w:t>
            </w:r>
          </w:p>
        </w:tc>
        <w:tc>
          <w:tcPr>
            <w:tcW w:w="992" w:type="dxa"/>
            <w:tcBorders>
              <w:top w:val="nil"/>
              <w:left w:val="nil"/>
              <w:bottom w:val="nil"/>
              <w:right w:val="nil"/>
            </w:tcBorders>
            <w:noWrap/>
          </w:tcPr>
          <w:p w14:paraId="46F19E7D"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2</w:t>
            </w:r>
          </w:p>
        </w:tc>
        <w:tc>
          <w:tcPr>
            <w:tcW w:w="1134" w:type="dxa"/>
            <w:tcBorders>
              <w:top w:val="nil"/>
              <w:left w:val="nil"/>
              <w:bottom w:val="nil"/>
              <w:right w:val="nil"/>
            </w:tcBorders>
            <w:noWrap/>
          </w:tcPr>
          <w:p w14:paraId="3E59FF72"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93282</w:t>
            </w:r>
          </w:p>
        </w:tc>
      </w:tr>
      <w:tr w:rsidR="00D86489" w14:paraId="7E320C59" w14:textId="77777777">
        <w:trPr>
          <w:trHeight w:val="270"/>
          <w:jc w:val="center"/>
        </w:trPr>
        <w:tc>
          <w:tcPr>
            <w:tcW w:w="1526" w:type="dxa"/>
            <w:tcBorders>
              <w:top w:val="nil"/>
              <w:left w:val="nil"/>
              <w:bottom w:val="nil"/>
              <w:right w:val="nil"/>
            </w:tcBorders>
            <w:noWrap/>
          </w:tcPr>
          <w:p w14:paraId="0D203C01"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YTHDC1</w:t>
            </w:r>
          </w:p>
        </w:tc>
        <w:tc>
          <w:tcPr>
            <w:tcW w:w="992" w:type="dxa"/>
            <w:tcBorders>
              <w:top w:val="nil"/>
              <w:left w:val="nil"/>
              <w:bottom w:val="nil"/>
              <w:right w:val="nil"/>
            </w:tcBorders>
            <w:noWrap/>
          </w:tcPr>
          <w:p w14:paraId="28AAAF35"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6</w:t>
            </w:r>
          </w:p>
        </w:tc>
        <w:tc>
          <w:tcPr>
            <w:tcW w:w="992" w:type="dxa"/>
            <w:tcBorders>
              <w:top w:val="nil"/>
              <w:left w:val="nil"/>
              <w:bottom w:val="nil"/>
              <w:right w:val="nil"/>
            </w:tcBorders>
            <w:noWrap/>
          </w:tcPr>
          <w:p w14:paraId="37104A9D"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66235</w:t>
            </w:r>
          </w:p>
        </w:tc>
        <w:tc>
          <w:tcPr>
            <w:tcW w:w="1418" w:type="dxa"/>
            <w:tcBorders>
              <w:top w:val="nil"/>
              <w:left w:val="nil"/>
              <w:bottom w:val="nil"/>
              <w:right w:val="nil"/>
            </w:tcBorders>
            <w:noWrap/>
          </w:tcPr>
          <w:p w14:paraId="070B3205"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COPA</w:t>
            </w:r>
          </w:p>
        </w:tc>
        <w:tc>
          <w:tcPr>
            <w:tcW w:w="992" w:type="dxa"/>
            <w:tcBorders>
              <w:top w:val="nil"/>
              <w:left w:val="nil"/>
              <w:bottom w:val="nil"/>
              <w:right w:val="nil"/>
            </w:tcBorders>
            <w:noWrap/>
          </w:tcPr>
          <w:p w14:paraId="538A9A25"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2</w:t>
            </w:r>
          </w:p>
        </w:tc>
        <w:tc>
          <w:tcPr>
            <w:tcW w:w="1134" w:type="dxa"/>
            <w:tcBorders>
              <w:top w:val="nil"/>
              <w:left w:val="nil"/>
              <w:bottom w:val="nil"/>
              <w:right w:val="nil"/>
            </w:tcBorders>
            <w:noWrap/>
          </w:tcPr>
          <w:p w14:paraId="07485D5A"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243.05</w:t>
            </w:r>
          </w:p>
        </w:tc>
      </w:tr>
      <w:tr w:rsidR="00D86489" w14:paraId="6267A424" w14:textId="77777777">
        <w:trPr>
          <w:trHeight w:val="270"/>
          <w:jc w:val="center"/>
        </w:trPr>
        <w:tc>
          <w:tcPr>
            <w:tcW w:w="1526" w:type="dxa"/>
            <w:tcBorders>
              <w:top w:val="nil"/>
              <w:left w:val="nil"/>
              <w:bottom w:val="nil"/>
              <w:right w:val="nil"/>
            </w:tcBorders>
            <w:noWrap/>
          </w:tcPr>
          <w:p w14:paraId="6110BD8C"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SLC25A5</w:t>
            </w:r>
          </w:p>
        </w:tc>
        <w:tc>
          <w:tcPr>
            <w:tcW w:w="992" w:type="dxa"/>
            <w:tcBorders>
              <w:top w:val="nil"/>
              <w:left w:val="nil"/>
              <w:bottom w:val="nil"/>
              <w:right w:val="nil"/>
            </w:tcBorders>
            <w:noWrap/>
          </w:tcPr>
          <w:p w14:paraId="5A449094"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3</w:t>
            </w:r>
          </w:p>
        </w:tc>
        <w:tc>
          <w:tcPr>
            <w:tcW w:w="992" w:type="dxa"/>
            <w:tcBorders>
              <w:top w:val="nil"/>
              <w:left w:val="nil"/>
              <w:bottom w:val="nil"/>
              <w:right w:val="nil"/>
            </w:tcBorders>
            <w:noWrap/>
          </w:tcPr>
          <w:p w14:paraId="136B6D1D"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315500</w:t>
            </w:r>
          </w:p>
        </w:tc>
        <w:tc>
          <w:tcPr>
            <w:tcW w:w="1418" w:type="dxa"/>
            <w:tcBorders>
              <w:top w:val="nil"/>
              <w:left w:val="nil"/>
              <w:bottom w:val="nil"/>
              <w:right w:val="nil"/>
            </w:tcBorders>
            <w:noWrap/>
          </w:tcPr>
          <w:p w14:paraId="1B45A1DE"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CPSF1</w:t>
            </w:r>
          </w:p>
        </w:tc>
        <w:tc>
          <w:tcPr>
            <w:tcW w:w="992" w:type="dxa"/>
            <w:tcBorders>
              <w:top w:val="nil"/>
              <w:left w:val="nil"/>
              <w:bottom w:val="nil"/>
              <w:right w:val="nil"/>
            </w:tcBorders>
            <w:noWrap/>
          </w:tcPr>
          <w:p w14:paraId="595F7B31"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2</w:t>
            </w:r>
          </w:p>
        </w:tc>
        <w:tc>
          <w:tcPr>
            <w:tcW w:w="1134" w:type="dxa"/>
            <w:tcBorders>
              <w:top w:val="nil"/>
              <w:left w:val="nil"/>
              <w:bottom w:val="nil"/>
              <w:right w:val="nil"/>
            </w:tcBorders>
            <w:noWrap/>
          </w:tcPr>
          <w:p w14:paraId="3F05F3D2"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2176</w:t>
            </w:r>
          </w:p>
        </w:tc>
      </w:tr>
      <w:tr w:rsidR="00D86489" w14:paraId="583137CF" w14:textId="77777777">
        <w:trPr>
          <w:trHeight w:val="270"/>
          <w:jc w:val="center"/>
        </w:trPr>
        <w:tc>
          <w:tcPr>
            <w:tcW w:w="1526" w:type="dxa"/>
            <w:tcBorders>
              <w:top w:val="nil"/>
              <w:left w:val="nil"/>
              <w:bottom w:val="nil"/>
              <w:right w:val="nil"/>
            </w:tcBorders>
            <w:noWrap/>
          </w:tcPr>
          <w:p w14:paraId="3D10E5A6"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ASPH</w:t>
            </w:r>
          </w:p>
        </w:tc>
        <w:tc>
          <w:tcPr>
            <w:tcW w:w="992" w:type="dxa"/>
            <w:tcBorders>
              <w:top w:val="nil"/>
              <w:left w:val="nil"/>
              <w:bottom w:val="nil"/>
              <w:right w:val="nil"/>
            </w:tcBorders>
            <w:noWrap/>
          </w:tcPr>
          <w:p w14:paraId="4C46F2B6"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5</w:t>
            </w:r>
          </w:p>
        </w:tc>
        <w:tc>
          <w:tcPr>
            <w:tcW w:w="992" w:type="dxa"/>
            <w:tcBorders>
              <w:top w:val="nil"/>
              <w:left w:val="nil"/>
              <w:bottom w:val="nil"/>
              <w:right w:val="nil"/>
            </w:tcBorders>
            <w:noWrap/>
          </w:tcPr>
          <w:p w14:paraId="58DA0F0D"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63703</w:t>
            </w:r>
          </w:p>
        </w:tc>
        <w:tc>
          <w:tcPr>
            <w:tcW w:w="1418" w:type="dxa"/>
            <w:tcBorders>
              <w:top w:val="nil"/>
              <w:left w:val="nil"/>
              <w:bottom w:val="nil"/>
              <w:right w:val="nil"/>
            </w:tcBorders>
            <w:noWrap/>
          </w:tcPr>
          <w:p w14:paraId="408044E2"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DHX37</w:t>
            </w:r>
          </w:p>
        </w:tc>
        <w:tc>
          <w:tcPr>
            <w:tcW w:w="992" w:type="dxa"/>
            <w:tcBorders>
              <w:top w:val="nil"/>
              <w:left w:val="nil"/>
              <w:bottom w:val="nil"/>
              <w:right w:val="nil"/>
            </w:tcBorders>
            <w:noWrap/>
          </w:tcPr>
          <w:p w14:paraId="13DF5FCE"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2</w:t>
            </w:r>
          </w:p>
        </w:tc>
        <w:tc>
          <w:tcPr>
            <w:tcW w:w="1134" w:type="dxa"/>
            <w:tcBorders>
              <w:top w:val="nil"/>
              <w:left w:val="nil"/>
              <w:bottom w:val="nil"/>
              <w:right w:val="nil"/>
            </w:tcBorders>
            <w:noWrap/>
          </w:tcPr>
          <w:p w14:paraId="7B6B232C"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6977.8</w:t>
            </w:r>
          </w:p>
        </w:tc>
      </w:tr>
      <w:tr w:rsidR="00D86489" w14:paraId="2619A387" w14:textId="77777777">
        <w:trPr>
          <w:trHeight w:val="270"/>
          <w:jc w:val="center"/>
        </w:trPr>
        <w:tc>
          <w:tcPr>
            <w:tcW w:w="1526" w:type="dxa"/>
            <w:tcBorders>
              <w:top w:val="nil"/>
              <w:left w:val="nil"/>
              <w:bottom w:val="nil"/>
              <w:right w:val="nil"/>
            </w:tcBorders>
            <w:noWrap/>
          </w:tcPr>
          <w:p w14:paraId="7336DE88"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G3BP2</w:t>
            </w:r>
          </w:p>
        </w:tc>
        <w:tc>
          <w:tcPr>
            <w:tcW w:w="992" w:type="dxa"/>
            <w:tcBorders>
              <w:top w:val="nil"/>
              <w:left w:val="nil"/>
              <w:bottom w:val="nil"/>
              <w:right w:val="nil"/>
            </w:tcBorders>
            <w:noWrap/>
          </w:tcPr>
          <w:p w14:paraId="1B03FB8C"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4</w:t>
            </w:r>
          </w:p>
        </w:tc>
        <w:tc>
          <w:tcPr>
            <w:tcW w:w="992" w:type="dxa"/>
            <w:tcBorders>
              <w:top w:val="nil"/>
              <w:left w:val="nil"/>
              <w:bottom w:val="nil"/>
              <w:right w:val="nil"/>
            </w:tcBorders>
            <w:noWrap/>
          </w:tcPr>
          <w:p w14:paraId="02D5F252"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85634</w:t>
            </w:r>
          </w:p>
        </w:tc>
        <w:tc>
          <w:tcPr>
            <w:tcW w:w="1418" w:type="dxa"/>
            <w:tcBorders>
              <w:top w:val="nil"/>
              <w:left w:val="nil"/>
              <w:bottom w:val="nil"/>
              <w:right w:val="nil"/>
            </w:tcBorders>
            <w:noWrap/>
          </w:tcPr>
          <w:p w14:paraId="64BDD9B3"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EIF3A</w:t>
            </w:r>
          </w:p>
        </w:tc>
        <w:tc>
          <w:tcPr>
            <w:tcW w:w="992" w:type="dxa"/>
            <w:tcBorders>
              <w:top w:val="nil"/>
              <w:left w:val="nil"/>
              <w:bottom w:val="nil"/>
              <w:right w:val="nil"/>
            </w:tcBorders>
            <w:noWrap/>
          </w:tcPr>
          <w:p w14:paraId="6255A4C9"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2</w:t>
            </w:r>
          </w:p>
        </w:tc>
        <w:tc>
          <w:tcPr>
            <w:tcW w:w="1134" w:type="dxa"/>
            <w:tcBorders>
              <w:top w:val="nil"/>
              <w:left w:val="nil"/>
              <w:bottom w:val="nil"/>
              <w:right w:val="nil"/>
            </w:tcBorders>
            <w:noWrap/>
          </w:tcPr>
          <w:p w14:paraId="0A9F8E10"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0</w:t>
            </w:r>
          </w:p>
        </w:tc>
      </w:tr>
      <w:tr w:rsidR="00D86489" w14:paraId="5D89376B" w14:textId="77777777">
        <w:trPr>
          <w:trHeight w:val="270"/>
          <w:jc w:val="center"/>
        </w:trPr>
        <w:tc>
          <w:tcPr>
            <w:tcW w:w="1526" w:type="dxa"/>
            <w:tcBorders>
              <w:top w:val="nil"/>
              <w:left w:val="nil"/>
              <w:bottom w:val="nil"/>
              <w:right w:val="nil"/>
            </w:tcBorders>
            <w:noWrap/>
          </w:tcPr>
          <w:p w14:paraId="40A32FDC"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RPL23A</w:t>
            </w:r>
          </w:p>
        </w:tc>
        <w:tc>
          <w:tcPr>
            <w:tcW w:w="992" w:type="dxa"/>
            <w:tcBorders>
              <w:top w:val="nil"/>
              <w:left w:val="nil"/>
              <w:bottom w:val="nil"/>
              <w:right w:val="nil"/>
            </w:tcBorders>
            <w:noWrap/>
          </w:tcPr>
          <w:p w14:paraId="4F6FDF24"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5</w:t>
            </w:r>
          </w:p>
        </w:tc>
        <w:tc>
          <w:tcPr>
            <w:tcW w:w="992" w:type="dxa"/>
            <w:tcBorders>
              <w:top w:val="nil"/>
              <w:left w:val="nil"/>
              <w:bottom w:val="nil"/>
              <w:right w:val="nil"/>
            </w:tcBorders>
            <w:noWrap/>
          </w:tcPr>
          <w:p w14:paraId="11D04837"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349300</w:t>
            </w:r>
          </w:p>
        </w:tc>
        <w:tc>
          <w:tcPr>
            <w:tcW w:w="1418" w:type="dxa"/>
            <w:tcBorders>
              <w:top w:val="nil"/>
              <w:left w:val="nil"/>
              <w:bottom w:val="nil"/>
              <w:right w:val="nil"/>
            </w:tcBorders>
            <w:noWrap/>
          </w:tcPr>
          <w:p w14:paraId="7E6F1B2D"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EIF3C</w:t>
            </w:r>
          </w:p>
        </w:tc>
        <w:tc>
          <w:tcPr>
            <w:tcW w:w="992" w:type="dxa"/>
            <w:tcBorders>
              <w:top w:val="nil"/>
              <w:left w:val="nil"/>
              <w:bottom w:val="nil"/>
              <w:right w:val="nil"/>
            </w:tcBorders>
            <w:noWrap/>
          </w:tcPr>
          <w:p w14:paraId="07728C34"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2</w:t>
            </w:r>
          </w:p>
        </w:tc>
        <w:tc>
          <w:tcPr>
            <w:tcW w:w="1134" w:type="dxa"/>
            <w:tcBorders>
              <w:top w:val="nil"/>
              <w:left w:val="nil"/>
              <w:bottom w:val="nil"/>
              <w:right w:val="nil"/>
            </w:tcBorders>
            <w:noWrap/>
          </w:tcPr>
          <w:p w14:paraId="50796E4C"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209.09</w:t>
            </w:r>
          </w:p>
        </w:tc>
      </w:tr>
      <w:tr w:rsidR="00D86489" w14:paraId="19126CE4" w14:textId="77777777">
        <w:trPr>
          <w:trHeight w:val="270"/>
          <w:jc w:val="center"/>
        </w:trPr>
        <w:tc>
          <w:tcPr>
            <w:tcW w:w="1526" w:type="dxa"/>
            <w:tcBorders>
              <w:top w:val="nil"/>
              <w:left w:val="nil"/>
              <w:bottom w:val="nil"/>
              <w:right w:val="nil"/>
            </w:tcBorders>
            <w:noWrap/>
          </w:tcPr>
          <w:p w14:paraId="741FED98"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RPS3A</w:t>
            </w:r>
          </w:p>
        </w:tc>
        <w:tc>
          <w:tcPr>
            <w:tcW w:w="992" w:type="dxa"/>
            <w:tcBorders>
              <w:top w:val="nil"/>
              <w:left w:val="nil"/>
              <w:bottom w:val="nil"/>
              <w:right w:val="nil"/>
            </w:tcBorders>
            <w:noWrap/>
          </w:tcPr>
          <w:p w14:paraId="07EAC560"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5</w:t>
            </w:r>
          </w:p>
        </w:tc>
        <w:tc>
          <w:tcPr>
            <w:tcW w:w="992" w:type="dxa"/>
            <w:tcBorders>
              <w:top w:val="nil"/>
              <w:left w:val="nil"/>
              <w:bottom w:val="nil"/>
              <w:right w:val="nil"/>
            </w:tcBorders>
            <w:noWrap/>
          </w:tcPr>
          <w:p w14:paraId="54A2AFBE"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352830</w:t>
            </w:r>
          </w:p>
        </w:tc>
        <w:tc>
          <w:tcPr>
            <w:tcW w:w="1418" w:type="dxa"/>
            <w:tcBorders>
              <w:top w:val="nil"/>
              <w:left w:val="nil"/>
              <w:bottom w:val="nil"/>
              <w:right w:val="nil"/>
            </w:tcBorders>
            <w:noWrap/>
          </w:tcPr>
          <w:p w14:paraId="003CEAE3"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EWSR1</w:t>
            </w:r>
          </w:p>
        </w:tc>
        <w:tc>
          <w:tcPr>
            <w:tcW w:w="992" w:type="dxa"/>
            <w:tcBorders>
              <w:top w:val="nil"/>
              <w:left w:val="nil"/>
              <w:bottom w:val="nil"/>
              <w:right w:val="nil"/>
            </w:tcBorders>
            <w:noWrap/>
          </w:tcPr>
          <w:p w14:paraId="3C0BB84B"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2</w:t>
            </w:r>
          </w:p>
        </w:tc>
        <w:tc>
          <w:tcPr>
            <w:tcW w:w="1134" w:type="dxa"/>
            <w:tcBorders>
              <w:top w:val="nil"/>
              <w:left w:val="nil"/>
              <w:bottom w:val="nil"/>
              <w:right w:val="nil"/>
            </w:tcBorders>
            <w:noWrap/>
          </w:tcPr>
          <w:p w14:paraId="28A9E712"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80264</w:t>
            </w:r>
          </w:p>
        </w:tc>
      </w:tr>
      <w:tr w:rsidR="00D86489" w14:paraId="4ED92D7F" w14:textId="77777777">
        <w:trPr>
          <w:trHeight w:val="270"/>
          <w:jc w:val="center"/>
        </w:trPr>
        <w:tc>
          <w:tcPr>
            <w:tcW w:w="1526" w:type="dxa"/>
            <w:tcBorders>
              <w:top w:val="nil"/>
              <w:left w:val="nil"/>
              <w:bottom w:val="nil"/>
              <w:right w:val="nil"/>
            </w:tcBorders>
            <w:noWrap/>
          </w:tcPr>
          <w:p w14:paraId="72E82803"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RPS6</w:t>
            </w:r>
          </w:p>
        </w:tc>
        <w:tc>
          <w:tcPr>
            <w:tcW w:w="992" w:type="dxa"/>
            <w:tcBorders>
              <w:top w:val="nil"/>
              <w:left w:val="nil"/>
              <w:bottom w:val="nil"/>
              <w:right w:val="nil"/>
            </w:tcBorders>
            <w:noWrap/>
          </w:tcPr>
          <w:p w14:paraId="4F53FC57"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5</w:t>
            </w:r>
          </w:p>
        </w:tc>
        <w:tc>
          <w:tcPr>
            <w:tcW w:w="992" w:type="dxa"/>
            <w:tcBorders>
              <w:top w:val="nil"/>
              <w:left w:val="nil"/>
              <w:bottom w:val="nil"/>
              <w:right w:val="nil"/>
            </w:tcBorders>
            <w:noWrap/>
          </w:tcPr>
          <w:p w14:paraId="64047C2E"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401620</w:t>
            </w:r>
          </w:p>
        </w:tc>
        <w:tc>
          <w:tcPr>
            <w:tcW w:w="1418" w:type="dxa"/>
            <w:tcBorders>
              <w:top w:val="nil"/>
              <w:left w:val="nil"/>
              <w:bottom w:val="nil"/>
              <w:right w:val="nil"/>
            </w:tcBorders>
            <w:noWrap/>
          </w:tcPr>
          <w:p w14:paraId="1B1CE41A"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FBL</w:t>
            </w:r>
          </w:p>
        </w:tc>
        <w:tc>
          <w:tcPr>
            <w:tcW w:w="992" w:type="dxa"/>
            <w:tcBorders>
              <w:top w:val="nil"/>
              <w:left w:val="nil"/>
              <w:bottom w:val="nil"/>
              <w:right w:val="nil"/>
            </w:tcBorders>
            <w:noWrap/>
          </w:tcPr>
          <w:p w14:paraId="3E6788CB"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2</w:t>
            </w:r>
          </w:p>
        </w:tc>
        <w:tc>
          <w:tcPr>
            <w:tcW w:w="1134" w:type="dxa"/>
            <w:tcBorders>
              <w:top w:val="nil"/>
              <w:left w:val="nil"/>
              <w:bottom w:val="nil"/>
              <w:right w:val="nil"/>
            </w:tcBorders>
            <w:noWrap/>
          </w:tcPr>
          <w:p w14:paraId="24F7BB4D"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27732</w:t>
            </w:r>
          </w:p>
        </w:tc>
      </w:tr>
      <w:tr w:rsidR="00D86489" w14:paraId="1C749C22" w14:textId="77777777">
        <w:trPr>
          <w:trHeight w:val="270"/>
          <w:jc w:val="center"/>
        </w:trPr>
        <w:tc>
          <w:tcPr>
            <w:tcW w:w="1526" w:type="dxa"/>
            <w:tcBorders>
              <w:top w:val="nil"/>
              <w:left w:val="nil"/>
              <w:bottom w:val="nil"/>
              <w:right w:val="nil"/>
            </w:tcBorders>
            <w:noWrap/>
          </w:tcPr>
          <w:p w14:paraId="7CB347A3"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SEC61A1</w:t>
            </w:r>
          </w:p>
        </w:tc>
        <w:tc>
          <w:tcPr>
            <w:tcW w:w="992" w:type="dxa"/>
            <w:tcBorders>
              <w:top w:val="nil"/>
              <w:left w:val="nil"/>
              <w:bottom w:val="nil"/>
              <w:right w:val="nil"/>
            </w:tcBorders>
            <w:noWrap/>
          </w:tcPr>
          <w:p w14:paraId="04D024A4"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5</w:t>
            </w:r>
          </w:p>
        </w:tc>
        <w:tc>
          <w:tcPr>
            <w:tcW w:w="992" w:type="dxa"/>
            <w:tcBorders>
              <w:top w:val="nil"/>
              <w:left w:val="nil"/>
              <w:bottom w:val="nil"/>
              <w:right w:val="nil"/>
            </w:tcBorders>
            <w:noWrap/>
          </w:tcPr>
          <w:p w14:paraId="401A54C3"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107720</w:t>
            </w:r>
          </w:p>
        </w:tc>
        <w:tc>
          <w:tcPr>
            <w:tcW w:w="1418" w:type="dxa"/>
            <w:tcBorders>
              <w:top w:val="nil"/>
              <w:left w:val="nil"/>
              <w:bottom w:val="nil"/>
              <w:right w:val="nil"/>
            </w:tcBorders>
            <w:noWrap/>
          </w:tcPr>
          <w:p w14:paraId="4D32849F"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FTSJ3</w:t>
            </w:r>
          </w:p>
        </w:tc>
        <w:tc>
          <w:tcPr>
            <w:tcW w:w="992" w:type="dxa"/>
            <w:tcBorders>
              <w:top w:val="nil"/>
              <w:left w:val="nil"/>
              <w:bottom w:val="nil"/>
              <w:right w:val="nil"/>
            </w:tcBorders>
            <w:noWrap/>
          </w:tcPr>
          <w:p w14:paraId="2616A20D"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2</w:t>
            </w:r>
          </w:p>
        </w:tc>
        <w:tc>
          <w:tcPr>
            <w:tcW w:w="1134" w:type="dxa"/>
            <w:tcBorders>
              <w:top w:val="nil"/>
              <w:left w:val="nil"/>
              <w:bottom w:val="nil"/>
              <w:right w:val="nil"/>
            </w:tcBorders>
            <w:noWrap/>
          </w:tcPr>
          <w:p w14:paraId="4D53A1D7"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14603</w:t>
            </w:r>
          </w:p>
        </w:tc>
      </w:tr>
      <w:tr w:rsidR="00D86489" w14:paraId="7D6377B8" w14:textId="77777777">
        <w:trPr>
          <w:trHeight w:val="270"/>
          <w:jc w:val="center"/>
        </w:trPr>
        <w:tc>
          <w:tcPr>
            <w:tcW w:w="1526" w:type="dxa"/>
            <w:tcBorders>
              <w:top w:val="nil"/>
              <w:left w:val="nil"/>
              <w:bottom w:val="nil"/>
              <w:right w:val="nil"/>
            </w:tcBorders>
            <w:noWrap/>
          </w:tcPr>
          <w:p w14:paraId="409694D3"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SPECC1L-ADORA2A</w:t>
            </w:r>
          </w:p>
        </w:tc>
        <w:tc>
          <w:tcPr>
            <w:tcW w:w="992" w:type="dxa"/>
            <w:tcBorders>
              <w:top w:val="nil"/>
              <w:left w:val="nil"/>
              <w:bottom w:val="nil"/>
              <w:right w:val="nil"/>
            </w:tcBorders>
            <w:noWrap/>
          </w:tcPr>
          <w:p w14:paraId="6BD83FA3"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5</w:t>
            </w:r>
          </w:p>
        </w:tc>
        <w:tc>
          <w:tcPr>
            <w:tcW w:w="992" w:type="dxa"/>
            <w:tcBorders>
              <w:top w:val="nil"/>
              <w:left w:val="nil"/>
              <w:bottom w:val="nil"/>
              <w:right w:val="nil"/>
            </w:tcBorders>
            <w:noWrap/>
          </w:tcPr>
          <w:p w14:paraId="620E3A03"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14535</w:t>
            </w:r>
          </w:p>
        </w:tc>
        <w:tc>
          <w:tcPr>
            <w:tcW w:w="1418" w:type="dxa"/>
            <w:tcBorders>
              <w:top w:val="nil"/>
              <w:left w:val="nil"/>
              <w:bottom w:val="nil"/>
              <w:right w:val="nil"/>
            </w:tcBorders>
            <w:noWrap/>
          </w:tcPr>
          <w:p w14:paraId="56D47136"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GTPBP4</w:t>
            </w:r>
          </w:p>
        </w:tc>
        <w:tc>
          <w:tcPr>
            <w:tcW w:w="992" w:type="dxa"/>
            <w:tcBorders>
              <w:top w:val="nil"/>
              <w:left w:val="nil"/>
              <w:bottom w:val="nil"/>
              <w:right w:val="nil"/>
            </w:tcBorders>
            <w:noWrap/>
          </w:tcPr>
          <w:p w14:paraId="2F080294"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2</w:t>
            </w:r>
          </w:p>
        </w:tc>
        <w:tc>
          <w:tcPr>
            <w:tcW w:w="1134" w:type="dxa"/>
            <w:tcBorders>
              <w:top w:val="nil"/>
              <w:left w:val="nil"/>
              <w:bottom w:val="nil"/>
              <w:right w:val="nil"/>
            </w:tcBorders>
            <w:noWrap/>
          </w:tcPr>
          <w:p w14:paraId="6157B910"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4765.3</w:t>
            </w:r>
          </w:p>
        </w:tc>
      </w:tr>
      <w:tr w:rsidR="00D86489" w14:paraId="17AEE803" w14:textId="77777777">
        <w:trPr>
          <w:trHeight w:val="270"/>
          <w:jc w:val="center"/>
        </w:trPr>
        <w:tc>
          <w:tcPr>
            <w:tcW w:w="1526" w:type="dxa"/>
            <w:tcBorders>
              <w:top w:val="nil"/>
              <w:left w:val="nil"/>
              <w:bottom w:val="nil"/>
              <w:right w:val="nil"/>
            </w:tcBorders>
            <w:noWrap/>
          </w:tcPr>
          <w:p w14:paraId="6BF4D709"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SRSF1</w:t>
            </w:r>
          </w:p>
        </w:tc>
        <w:tc>
          <w:tcPr>
            <w:tcW w:w="992" w:type="dxa"/>
            <w:tcBorders>
              <w:top w:val="nil"/>
              <w:left w:val="nil"/>
              <w:bottom w:val="nil"/>
              <w:right w:val="nil"/>
            </w:tcBorders>
            <w:noWrap/>
          </w:tcPr>
          <w:p w14:paraId="2AEA6497"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5</w:t>
            </w:r>
          </w:p>
        </w:tc>
        <w:tc>
          <w:tcPr>
            <w:tcW w:w="992" w:type="dxa"/>
            <w:tcBorders>
              <w:top w:val="nil"/>
              <w:left w:val="nil"/>
              <w:bottom w:val="nil"/>
              <w:right w:val="nil"/>
            </w:tcBorders>
            <w:noWrap/>
          </w:tcPr>
          <w:p w14:paraId="7D21B31E"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229330</w:t>
            </w:r>
          </w:p>
        </w:tc>
        <w:tc>
          <w:tcPr>
            <w:tcW w:w="1418" w:type="dxa"/>
            <w:tcBorders>
              <w:top w:val="nil"/>
              <w:left w:val="nil"/>
              <w:bottom w:val="nil"/>
              <w:right w:val="nil"/>
            </w:tcBorders>
            <w:noWrap/>
          </w:tcPr>
          <w:p w14:paraId="10E183EE"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HNRNPAB</w:t>
            </w:r>
          </w:p>
        </w:tc>
        <w:tc>
          <w:tcPr>
            <w:tcW w:w="992" w:type="dxa"/>
            <w:tcBorders>
              <w:top w:val="nil"/>
              <w:left w:val="nil"/>
              <w:bottom w:val="nil"/>
              <w:right w:val="nil"/>
            </w:tcBorders>
            <w:noWrap/>
          </w:tcPr>
          <w:p w14:paraId="368F0905"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2</w:t>
            </w:r>
          </w:p>
        </w:tc>
        <w:tc>
          <w:tcPr>
            <w:tcW w:w="1134" w:type="dxa"/>
            <w:tcBorders>
              <w:top w:val="nil"/>
              <w:left w:val="nil"/>
              <w:bottom w:val="nil"/>
              <w:right w:val="nil"/>
            </w:tcBorders>
            <w:noWrap/>
          </w:tcPr>
          <w:p w14:paraId="2859CA34"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41561</w:t>
            </w:r>
          </w:p>
        </w:tc>
      </w:tr>
      <w:tr w:rsidR="00D86489" w14:paraId="67C488E3" w14:textId="77777777">
        <w:trPr>
          <w:trHeight w:val="270"/>
          <w:jc w:val="center"/>
        </w:trPr>
        <w:tc>
          <w:tcPr>
            <w:tcW w:w="1526" w:type="dxa"/>
            <w:tcBorders>
              <w:top w:val="nil"/>
              <w:left w:val="nil"/>
              <w:bottom w:val="nil"/>
              <w:right w:val="nil"/>
            </w:tcBorders>
            <w:noWrap/>
          </w:tcPr>
          <w:p w14:paraId="2C077AA1"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SRSF3</w:t>
            </w:r>
          </w:p>
        </w:tc>
        <w:tc>
          <w:tcPr>
            <w:tcW w:w="992" w:type="dxa"/>
            <w:tcBorders>
              <w:top w:val="nil"/>
              <w:left w:val="nil"/>
              <w:bottom w:val="nil"/>
              <w:right w:val="nil"/>
            </w:tcBorders>
            <w:noWrap/>
          </w:tcPr>
          <w:p w14:paraId="35F84D87"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5</w:t>
            </w:r>
          </w:p>
        </w:tc>
        <w:tc>
          <w:tcPr>
            <w:tcW w:w="992" w:type="dxa"/>
            <w:tcBorders>
              <w:top w:val="nil"/>
              <w:left w:val="nil"/>
              <w:bottom w:val="nil"/>
              <w:right w:val="nil"/>
            </w:tcBorders>
            <w:noWrap/>
          </w:tcPr>
          <w:p w14:paraId="11C3021F"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394380</w:t>
            </w:r>
          </w:p>
        </w:tc>
        <w:tc>
          <w:tcPr>
            <w:tcW w:w="1418" w:type="dxa"/>
            <w:tcBorders>
              <w:top w:val="nil"/>
              <w:left w:val="nil"/>
              <w:bottom w:val="nil"/>
              <w:right w:val="nil"/>
            </w:tcBorders>
            <w:noWrap/>
          </w:tcPr>
          <w:p w14:paraId="01351D15"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HNRNPL</w:t>
            </w:r>
          </w:p>
        </w:tc>
        <w:tc>
          <w:tcPr>
            <w:tcW w:w="992" w:type="dxa"/>
            <w:tcBorders>
              <w:top w:val="nil"/>
              <w:left w:val="nil"/>
              <w:bottom w:val="nil"/>
              <w:right w:val="nil"/>
            </w:tcBorders>
            <w:noWrap/>
          </w:tcPr>
          <w:p w14:paraId="6DA95C7C"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2</w:t>
            </w:r>
          </w:p>
        </w:tc>
        <w:tc>
          <w:tcPr>
            <w:tcW w:w="1134" w:type="dxa"/>
            <w:tcBorders>
              <w:top w:val="nil"/>
              <w:left w:val="nil"/>
              <w:bottom w:val="nil"/>
              <w:right w:val="nil"/>
            </w:tcBorders>
            <w:noWrap/>
          </w:tcPr>
          <w:p w14:paraId="154DE12F"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18926</w:t>
            </w:r>
          </w:p>
        </w:tc>
      </w:tr>
      <w:tr w:rsidR="00D86489" w14:paraId="1587F69A" w14:textId="77777777">
        <w:trPr>
          <w:trHeight w:val="270"/>
          <w:jc w:val="center"/>
        </w:trPr>
        <w:tc>
          <w:tcPr>
            <w:tcW w:w="1526" w:type="dxa"/>
            <w:tcBorders>
              <w:top w:val="nil"/>
              <w:left w:val="nil"/>
              <w:bottom w:val="nil"/>
              <w:right w:val="nil"/>
            </w:tcBorders>
            <w:noWrap/>
          </w:tcPr>
          <w:p w14:paraId="79C44ADF"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ZFR</w:t>
            </w:r>
          </w:p>
        </w:tc>
        <w:tc>
          <w:tcPr>
            <w:tcW w:w="992" w:type="dxa"/>
            <w:tcBorders>
              <w:top w:val="nil"/>
              <w:left w:val="nil"/>
              <w:bottom w:val="nil"/>
              <w:right w:val="nil"/>
            </w:tcBorders>
            <w:noWrap/>
          </w:tcPr>
          <w:p w14:paraId="7A79481E"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5</w:t>
            </w:r>
          </w:p>
        </w:tc>
        <w:tc>
          <w:tcPr>
            <w:tcW w:w="992" w:type="dxa"/>
            <w:tcBorders>
              <w:top w:val="nil"/>
              <w:left w:val="nil"/>
              <w:bottom w:val="nil"/>
              <w:right w:val="nil"/>
            </w:tcBorders>
            <w:noWrap/>
          </w:tcPr>
          <w:p w14:paraId="19D09186"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35564</w:t>
            </w:r>
          </w:p>
        </w:tc>
        <w:tc>
          <w:tcPr>
            <w:tcW w:w="1418" w:type="dxa"/>
            <w:tcBorders>
              <w:top w:val="nil"/>
              <w:left w:val="nil"/>
              <w:bottom w:val="nil"/>
              <w:right w:val="nil"/>
            </w:tcBorders>
            <w:noWrap/>
          </w:tcPr>
          <w:p w14:paraId="716B876F"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HSP90AB1</w:t>
            </w:r>
          </w:p>
        </w:tc>
        <w:tc>
          <w:tcPr>
            <w:tcW w:w="992" w:type="dxa"/>
            <w:tcBorders>
              <w:top w:val="nil"/>
              <w:left w:val="nil"/>
              <w:bottom w:val="nil"/>
              <w:right w:val="nil"/>
            </w:tcBorders>
            <w:noWrap/>
          </w:tcPr>
          <w:p w14:paraId="4537B1A6"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2</w:t>
            </w:r>
          </w:p>
        </w:tc>
        <w:tc>
          <w:tcPr>
            <w:tcW w:w="1134" w:type="dxa"/>
            <w:tcBorders>
              <w:top w:val="nil"/>
              <w:left w:val="nil"/>
              <w:bottom w:val="nil"/>
              <w:right w:val="nil"/>
            </w:tcBorders>
            <w:noWrap/>
          </w:tcPr>
          <w:p w14:paraId="04A6FEC1"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7776.1</w:t>
            </w:r>
          </w:p>
        </w:tc>
      </w:tr>
      <w:tr w:rsidR="00D86489" w14:paraId="1755F157" w14:textId="77777777">
        <w:trPr>
          <w:trHeight w:val="270"/>
          <w:jc w:val="center"/>
        </w:trPr>
        <w:tc>
          <w:tcPr>
            <w:tcW w:w="1526" w:type="dxa"/>
            <w:tcBorders>
              <w:top w:val="nil"/>
              <w:left w:val="nil"/>
              <w:bottom w:val="nil"/>
              <w:right w:val="nil"/>
            </w:tcBorders>
            <w:noWrap/>
          </w:tcPr>
          <w:p w14:paraId="1C0C262C"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CDK11B</w:t>
            </w:r>
          </w:p>
        </w:tc>
        <w:tc>
          <w:tcPr>
            <w:tcW w:w="992" w:type="dxa"/>
            <w:tcBorders>
              <w:top w:val="nil"/>
              <w:left w:val="nil"/>
              <w:bottom w:val="nil"/>
              <w:right w:val="nil"/>
            </w:tcBorders>
            <w:noWrap/>
          </w:tcPr>
          <w:p w14:paraId="1921309E"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4</w:t>
            </w:r>
          </w:p>
        </w:tc>
        <w:tc>
          <w:tcPr>
            <w:tcW w:w="992" w:type="dxa"/>
            <w:tcBorders>
              <w:top w:val="nil"/>
              <w:left w:val="nil"/>
              <w:bottom w:val="nil"/>
              <w:right w:val="nil"/>
            </w:tcBorders>
            <w:noWrap/>
          </w:tcPr>
          <w:p w14:paraId="2952CD94"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14132</w:t>
            </w:r>
          </w:p>
        </w:tc>
        <w:tc>
          <w:tcPr>
            <w:tcW w:w="1418" w:type="dxa"/>
            <w:tcBorders>
              <w:top w:val="nil"/>
              <w:left w:val="nil"/>
              <w:bottom w:val="nil"/>
              <w:right w:val="nil"/>
            </w:tcBorders>
            <w:noWrap/>
          </w:tcPr>
          <w:p w14:paraId="68A578BC"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IGF2BP3</w:t>
            </w:r>
          </w:p>
        </w:tc>
        <w:tc>
          <w:tcPr>
            <w:tcW w:w="992" w:type="dxa"/>
            <w:tcBorders>
              <w:top w:val="nil"/>
              <w:left w:val="nil"/>
              <w:bottom w:val="nil"/>
              <w:right w:val="nil"/>
            </w:tcBorders>
            <w:noWrap/>
          </w:tcPr>
          <w:p w14:paraId="2F15B990"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2</w:t>
            </w:r>
          </w:p>
        </w:tc>
        <w:tc>
          <w:tcPr>
            <w:tcW w:w="1134" w:type="dxa"/>
            <w:tcBorders>
              <w:top w:val="nil"/>
              <w:left w:val="nil"/>
              <w:bottom w:val="nil"/>
              <w:right w:val="nil"/>
            </w:tcBorders>
            <w:noWrap/>
          </w:tcPr>
          <w:p w14:paraId="6F7C870D"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11237</w:t>
            </w:r>
          </w:p>
        </w:tc>
      </w:tr>
      <w:tr w:rsidR="00D86489" w14:paraId="71A569EB" w14:textId="77777777">
        <w:trPr>
          <w:trHeight w:val="270"/>
          <w:jc w:val="center"/>
        </w:trPr>
        <w:tc>
          <w:tcPr>
            <w:tcW w:w="1526" w:type="dxa"/>
            <w:tcBorders>
              <w:top w:val="nil"/>
              <w:left w:val="nil"/>
              <w:bottom w:val="nil"/>
              <w:right w:val="nil"/>
            </w:tcBorders>
            <w:noWrap/>
          </w:tcPr>
          <w:p w14:paraId="57185492"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CWC22</w:t>
            </w:r>
          </w:p>
        </w:tc>
        <w:tc>
          <w:tcPr>
            <w:tcW w:w="992" w:type="dxa"/>
            <w:tcBorders>
              <w:top w:val="nil"/>
              <w:left w:val="nil"/>
              <w:bottom w:val="nil"/>
              <w:right w:val="nil"/>
            </w:tcBorders>
            <w:noWrap/>
          </w:tcPr>
          <w:p w14:paraId="5B714732"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4</w:t>
            </w:r>
          </w:p>
        </w:tc>
        <w:tc>
          <w:tcPr>
            <w:tcW w:w="992" w:type="dxa"/>
            <w:tcBorders>
              <w:top w:val="nil"/>
              <w:left w:val="nil"/>
              <w:bottom w:val="nil"/>
              <w:right w:val="nil"/>
            </w:tcBorders>
            <w:noWrap/>
          </w:tcPr>
          <w:p w14:paraId="23C5210F"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19849</w:t>
            </w:r>
          </w:p>
        </w:tc>
        <w:tc>
          <w:tcPr>
            <w:tcW w:w="1418" w:type="dxa"/>
            <w:tcBorders>
              <w:top w:val="nil"/>
              <w:left w:val="nil"/>
              <w:bottom w:val="nil"/>
              <w:right w:val="nil"/>
            </w:tcBorders>
            <w:noWrap/>
          </w:tcPr>
          <w:p w14:paraId="5C91F265"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ILF3</w:t>
            </w:r>
          </w:p>
        </w:tc>
        <w:tc>
          <w:tcPr>
            <w:tcW w:w="992" w:type="dxa"/>
            <w:tcBorders>
              <w:top w:val="nil"/>
              <w:left w:val="nil"/>
              <w:bottom w:val="nil"/>
              <w:right w:val="nil"/>
            </w:tcBorders>
            <w:noWrap/>
          </w:tcPr>
          <w:p w14:paraId="660D0480"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2</w:t>
            </w:r>
          </w:p>
        </w:tc>
        <w:tc>
          <w:tcPr>
            <w:tcW w:w="1134" w:type="dxa"/>
            <w:tcBorders>
              <w:top w:val="nil"/>
              <w:left w:val="nil"/>
              <w:bottom w:val="nil"/>
              <w:right w:val="nil"/>
            </w:tcBorders>
            <w:noWrap/>
          </w:tcPr>
          <w:p w14:paraId="1C728D5A"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8526</w:t>
            </w:r>
          </w:p>
        </w:tc>
      </w:tr>
      <w:tr w:rsidR="00D86489" w14:paraId="4F33FA9D" w14:textId="77777777">
        <w:trPr>
          <w:trHeight w:val="270"/>
          <w:jc w:val="center"/>
        </w:trPr>
        <w:tc>
          <w:tcPr>
            <w:tcW w:w="1526" w:type="dxa"/>
            <w:tcBorders>
              <w:top w:val="nil"/>
              <w:left w:val="nil"/>
              <w:bottom w:val="nil"/>
              <w:right w:val="nil"/>
            </w:tcBorders>
            <w:noWrap/>
          </w:tcPr>
          <w:p w14:paraId="71DD4D5C"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DDX1</w:t>
            </w:r>
          </w:p>
        </w:tc>
        <w:tc>
          <w:tcPr>
            <w:tcW w:w="992" w:type="dxa"/>
            <w:tcBorders>
              <w:top w:val="nil"/>
              <w:left w:val="nil"/>
              <w:bottom w:val="nil"/>
              <w:right w:val="nil"/>
            </w:tcBorders>
            <w:noWrap/>
          </w:tcPr>
          <w:p w14:paraId="51EDBF54"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4</w:t>
            </w:r>
          </w:p>
        </w:tc>
        <w:tc>
          <w:tcPr>
            <w:tcW w:w="992" w:type="dxa"/>
            <w:tcBorders>
              <w:top w:val="nil"/>
              <w:left w:val="nil"/>
              <w:bottom w:val="nil"/>
              <w:right w:val="nil"/>
            </w:tcBorders>
            <w:noWrap/>
          </w:tcPr>
          <w:p w14:paraId="28D1CB90"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16816</w:t>
            </w:r>
          </w:p>
        </w:tc>
        <w:tc>
          <w:tcPr>
            <w:tcW w:w="1418" w:type="dxa"/>
            <w:tcBorders>
              <w:top w:val="nil"/>
              <w:left w:val="nil"/>
              <w:bottom w:val="nil"/>
              <w:right w:val="nil"/>
            </w:tcBorders>
            <w:noWrap/>
          </w:tcPr>
          <w:p w14:paraId="137B292F"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IMMT</w:t>
            </w:r>
          </w:p>
        </w:tc>
        <w:tc>
          <w:tcPr>
            <w:tcW w:w="992" w:type="dxa"/>
            <w:tcBorders>
              <w:top w:val="nil"/>
              <w:left w:val="nil"/>
              <w:bottom w:val="nil"/>
              <w:right w:val="nil"/>
            </w:tcBorders>
            <w:noWrap/>
          </w:tcPr>
          <w:p w14:paraId="76E7A9B1"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2</w:t>
            </w:r>
          </w:p>
        </w:tc>
        <w:tc>
          <w:tcPr>
            <w:tcW w:w="1134" w:type="dxa"/>
            <w:tcBorders>
              <w:top w:val="nil"/>
              <w:left w:val="nil"/>
              <w:bottom w:val="nil"/>
              <w:right w:val="nil"/>
            </w:tcBorders>
            <w:noWrap/>
          </w:tcPr>
          <w:p w14:paraId="3065DF4B"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6016.2</w:t>
            </w:r>
          </w:p>
        </w:tc>
      </w:tr>
      <w:tr w:rsidR="00D86489" w14:paraId="588B6795" w14:textId="77777777">
        <w:trPr>
          <w:trHeight w:val="270"/>
          <w:jc w:val="center"/>
        </w:trPr>
        <w:tc>
          <w:tcPr>
            <w:tcW w:w="1526" w:type="dxa"/>
            <w:tcBorders>
              <w:top w:val="nil"/>
              <w:left w:val="nil"/>
              <w:bottom w:val="nil"/>
              <w:right w:val="nil"/>
            </w:tcBorders>
            <w:noWrap/>
          </w:tcPr>
          <w:p w14:paraId="182245FC"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HP1BP3</w:t>
            </w:r>
          </w:p>
        </w:tc>
        <w:tc>
          <w:tcPr>
            <w:tcW w:w="992" w:type="dxa"/>
            <w:tcBorders>
              <w:top w:val="nil"/>
              <w:left w:val="nil"/>
              <w:bottom w:val="nil"/>
              <w:right w:val="nil"/>
            </w:tcBorders>
            <w:noWrap/>
          </w:tcPr>
          <w:p w14:paraId="75E38C11"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4</w:t>
            </w:r>
          </w:p>
        </w:tc>
        <w:tc>
          <w:tcPr>
            <w:tcW w:w="992" w:type="dxa"/>
            <w:tcBorders>
              <w:top w:val="nil"/>
              <w:left w:val="nil"/>
              <w:bottom w:val="nil"/>
              <w:right w:val="nil"/>
            </w:tcBorders>
            <w:noWrap/>
          </w:tcPr>
          <w:p w14:paraId="358158DE"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33285</w:t>
            </w:r>
          </w:p>
        </w:tc>
        <w:tc>
          <w:tcPr>
            <w:tcW w:w="1418" w:type="dxa"/>
            <w:tcBorders>
              <w:top w:val="nil"/>
              <w:left w:val="nil"/>
              <w:bottom w:val="nil"/>
              <w:right w:val="nil"/>
            </w:tcBorders>
            <w:noWrap/>
          </w:tcPr>
          <w:p w14:paraId="3E3B1DAE"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INTS3</w:t>
            </w:r>
          </w:p>
        </w:tc>
        <w:tc>
          <w:tcPr>
            <w:tcW w:w="992" w:type="dxa"/>
            <w:tcBorders>
              <w:top w:val="nil"/>
              <w:left w:val="nil"/>
              <w:bottom w:val="nil"/>
              <w:right w:val="nil"/>
            </w:tcBorders>
            <w:noWrap/>
          </w:tcPr>
          <w:p w14:paraId="7CEE7EAA"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2</w:t>
            </w:r>
          </w:p>
        </w:tc>
        <w:tc>
          <w:tcPr>
            <w:tcW w:w="1134" w:type="dxa"/>
            <w:tcBorders>
              <w:top w:val="nil"/>
              <w:left w:val="nil"/>
              <w:bottom w:val="nil"/>
              <w:right w:val="nil"/>
            </w:tcBorders>
            <w:noWrap/>
          </w:tcPr>
          <w:p w14:paraId="647E3385"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4431.8</w:t>
            </w:r>
          </w:p>
        </w:tc>
      </w:tr>
      <w:tr w:rsidR="00D86489" w14:paraId="36AE6031" w14:textId="77777777">
        <w:trPr>
          <w:trHeight w:val="270"/>
          <w:jc w:val="center"/>
        </w:trPr>
        <w:tc>
          <w:tcPr>
            <w:tcW w:w="1526" w:type="dxa"/>
            <w:tcBorders>
              <w:top w:val="nil"/>
              <w:left w:val="nil"/>
              <w:bottom w:val="nil"/>
              <w:right w:val="nil"/>
            </w:tcBorders>
            <w:noWrap/>
          </w:tcPr>
          <w:p w14:paraId="7711990A"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PHB</w:t>
            </w:r>
          </w:p>
        </w:tc>
        <w:tc>
          <w:tcPr>
            <w:tcW w:w="992" w:type="dxa"/>
            <w:tcBorders>
              <w:top w:val="nil"/>
              <w:left w:val="nil"/>
              <w:bottom w:val="nil"/>
              <w:right w:val="nil"/>
            </w:tcBorders>
            <w:noWrap/>
          </w:tcPr>
          <w:p w14:paraId="792913A2"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4</w:t>
            </w:r>
          </w:p>
        </w:tc>
        <w:tc>
          <w:tcPr>
            <w:tcW w:w="992" w:type="dxa"/>
            <w:tcBorders>
              <w:top w:val="nil"/>
              <w:left w:val="nil"/>
              <w:bottom w:val="nil"/>
              <w:right w:val="nil"/>
            </w:tcBorders>
            <w:noWrap/>
          </w:tcPr>
          <w:p w14:paraId="37E3298F"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470890</w:t>
            </w:r>
          </w:p>
        </w:tc>
        <w:tc>
          <w:tcPr>
            <w:tcW w:w="1418" w:type="dxa"/>
            <w:tcBorders>
              <w:top w:val="nil"/>
              <w:left w:val="nil"/>
              <w:bottom w:val="nil"/>
              <w:right w:val="nil"/>
            </w:tcBorders>
            <w:noWrap/>
          </w:tcPr>
          <w:p w14:paraId="20BE2898"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IPO7</w:t>
            </w:r>
          </w:p>
        </w:tc>
        <w:tc>
          <w:tcPr>
            <w:tcW w:w="992" w:type="dxa"/>
            <w:tcBorders>
              <w:top w:val="nil"/>
              <w:left w:val="nil"/>
              <w:bottom w:val="nil"/>
              <w:right w:val="nil"/>
            </w:tcBorders>
            <w:noWrap/>
          </w:tcPr>
          <w:p w14:paraId="3A281A4C"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2</w:t>
            </w:r>
          </w:p>
        </w:tc>
        <w:tc>
          <w:tcPr>
            <w:tcW w:w="1134" w:type="dxa"/>
            <w:tcBorders>
              <w:top w:val="nil"/>
              <w:left w:val="nil"/>
              <w:bottom w:val="nil"/>
              <w:right w:val="nil"/>
            </w:tcBorders>
            <w:noWrap/>
          </w:tcPr>
          <w:p w14:paraId="2F85AF99"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2085.7</w:t>
            </w:r>
          </w:p>
        </w:tc>
      </w:tr>
      <w:tr w:rsidR="00D86489" w14:paraId="39DBEF58" w14:textId="77777777">
        <w:trPr>
          <w:trHeight w:val="270"/>
          <w:jc w:val="center"/>
        </w:trPr>
        <w:tc>
          <w:tcPr>
            <w:tcW w:w="1526" w:type="dxa"/>
            <w:tcBorders>
              <w:top w:val="nil"/>
              <w:left w:val="nil"/>
              <w:bottom w:val="nil"/>
              <w:right w:val="nil"/>
            </w:tcBorders>
            <w:noWrap/>
          </w:tcPr>
          <w:p w14:paraId="5AAD08F2"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PPP1R12A</w:t>
            </w:r>
          </w:p>
        </w:tc>
        <w:tc>
          <w:tcPr>
            <w:tcW w:w="992" w:type="dxa"/>
            <w:tcBorders>
              <w:top w:val="nil"/>
              <w:left w:val="nil"/>
              <w:bottom w:val="nil"/>
              <w:right w:val="nil"/>
            </w:tcBorders>
            <w:noWrap/>
          </w:tcPr>
          <w:p w14:paraId="3B3D2141"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4</w:t>
            </w:r>
          </w:p>
        </w:tc>
        <w:tc>
          <w:tcPr>
            <w:tcW w:w="992" w:type="dxa"/>
            <w:tcBorders>
              <w:top w:val="nil"/>
              <w:left w:val="nil"/>
              <w:bottom w:val="nil"/>
              <w:right w:val="nil"/>
            </w:tcBorders>
            <w:noWrap/>
          </w:tcPr>
          <w:p w14:paraId="33317F53"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20478</w:t>
            </w:r>
          </w:p>
        </w:tc>
        <w:tc>
          <w:tcPr>
            <w:tcW w:w="1418" w:type="dxa"/>
            <w:tcBorders>
              <w:top w:val="nil"/>
              <w:left w:val="nil"/>
              <w:bottom w:val="nil"/>
              <w:right w:val="nil"/>
            </w:tcBorders>
            <w:noWrap/>
          </w:tcPr>
          <w:p w14:paraId="0CEE5C49"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LUC7L3</w:t>
            </w:r>
          </w:p>
        </w:tc>
        <w:tc>
          <w:tcPr>
            <w:tcW w:w="992" w:type="dxa"/>
            <w:tcBorders>
              <w:top w:val="nil"/>
              <w:left w:val="nil"/>
              <w:bottom w:val="nil"/>
              <w:right w:val="nil"/>
            </w:tcBorders>
            <w:noWrap/>
          </w:tcPr>
          <w:p w14:paraId="2F571AC9"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2</w:t>
            </w:r>
          </w:p>
        </w:tc>
        <w:tc>
          <w:tcPr>
            <w:tcW w:w="1134" w:type="dxa"/>
            <w:tcBorders>
              <w:top w:val="nil"/>
              <w:left w:val="nil"/>
              <w:bottom w:val="nil"/>
              <w:right w:val="nil"/>
            </w:tcBorders>
            <w:noWrap/>
          </w:tcPr>
          <w:p w14:paraId="3BAB68B0"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51848</w:t>
            </w:r>
          </w:p>
        </w:tc>
      </w:tr>
      <w:tr w:rsidR="00D86489" w14:paraId="13D79AF2" w14:textId="77777777">
        <w:trPr>
          <w:trHeight w:val="270"/>
          <w:jc w:val="center"/>
        </w:trPr>
        <w:tc>
          <w:tcPr>
            <w:tcW w:w="1526" w:type="dxa"/>
            <w:tcBorders>
              <w:top w:val="nil"/>
              <w:left w:val="nil"/>
              <w:bottom w:val="nil"/>
              <w:right w:val="nil"/>
            </w:tcBorders>
            <w:noWrap/>
          </w:tcPr>
          <w:p w14:paraId="4579E0C7"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PRPF38B</w:t>
            </w:r>
          </w:p>
        </w:tc>
        <w:tc>
          <w:tcPr>
            <w:tcW w:w="992" w:type="dxa"/>
            <w:tcBorders>
              <w:top w:val="nil"/>
              <w:left w:val="nil"/>
              <w:bottom w:val="nil"/>
              <w:right w:val="nil"/>
            </w:tcBorders>
            <w:noWrap/>
          </w:tcPr>
          <w:p w14:paraId="6FB11C04"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4</w:t>
            </w:r>
          </w:p>
        </w:tc>
        <w:tc>
          <w:tcPr>
            <w:tcW w:w="992" w:type="dxa"/>
            <w:tcBorders>
              <w:top w:val="nil"/>
              <w:left w:val="nil"/>
              <w:bottom w:val="nil"/>
              <w:right w:val="nil"/>
            </w:tcBorders>
            <w:noWrap/>
          </w:tcPr>
          <w:p w14:paraId="788CAA9A"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209740</w:t>
            </w:r>
          </w:p>
        </w:tc>
        <w:tc>
          <w:tcPr>
            <w:tcW w:w="1418" w:type="dxa"/>
            <w:tcBorders>
              <w:top w:val="nil"/>
              <w:left w:val="nil"/>
              <w:bottom w:val="nil"/>
              <w:right w:val="nil"/>
            </w:tcBorders>
            <w:noWrap/>
          </w:tcPr>
          <w:p w14:paraId="4779DE8A"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MPRIP</w:t>
            </w:r>
          </w:p>
        </w:tc>
        <w:tc>
          <w:tcPr>
            <w:tcW w:w="992" w:type="dxa"/>
            <w:tcBorders>
              <w:top w:val="nil"/>
              <w:left w:val="nil"/>
              <w:bottom w:val="nil"/>
              <w:right w:val="nil"/>
            </w:tcBorders>
            <w:noWrap/>
          </w:tcPr>
          <w:p w14:paraId="295B3312"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2</w:t>
            </w:r>
          </w:p>
        </w:tc>
        <w:tc>
          <w:tcPr>
            <w:tcW w:w="1134" w:type="dxa"/>
            <w:tcBorders>
              <w:top w:val="nil"/>
              <w:left w:val="nil"/>
              <w:bottom w:val="nil"/>
              <w:right w:val="nil"/>
            </w:tcBorders>
            <w:noWrap/>
          </w:tcPr>
          <w:p w14:paraId="2AC2F256"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4425.9</w:t>
            </w:r>
          </w:p>
        </w:tc>
      </w:tr>
      <w:tr w:rsidR="00D86489" w14:paraId="6EC4EF95" w14:textId="77777777">
        <w:trPr>
          <w:trHeight w:val="270"/>
          <w:jc w:val="center"/>
        </w:trPr>
        <w:tc>
          <w:tcPr>
            <w:tcW w:w="1526" w:type="dxa"/>
            <w:tcBorders>
              <w:top w:val="nil"/>
              <w:left w:val="nil"/>
              <w:bottom w:val="nil"/>
              <w:right w:val="nil"/>
            </w:tcBorders>
            <w:noWrap/>
          </w:tcPr>
          <w:p w14:paraId="515FF740"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HNRNPA3</w:t>
            </w:r>
          </w:p>
        </w:tc>
        <w:tc>
          <w:tcPr>
            <w:tcW w:w="992" w:type="dxa"/>
            <w:tcBorders>
              <w:top w:val="nil"/>
              <w:left w:val="nil"/>
              <w:bottom w:val="nil"/>
              <w:right w:val="nil"/>
            </w:tcBorders>
            <w:noWrap/>
          </w:tcPr>
          <w:p w14:paraId="699D3B13"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2</w:t>
            </w:r>
          </w:p>
        </w:tc>
        <w:tc>
          <w:tcPr>
            <w:tcW w:w="992" w:type="dxa"/>
            <w:tcBorders>
              <w:top w:val="nil"/>
              <w:left w:val="nil"/>
              <w:bottom w:val="nil"/>
              <w:right w:val="nil"/>
            </w:tcBorders>
            <w:noWrap/>
          </w:tcPr>
          <w:p w14:paraId="4FF02629"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269270</w:t>
            </w:r>
          </w:p>
        </w:tc>
        <w:tc>
          <w:tcPr>
            <w:tcW w:w="1418" w:type="dxa"/>
            <w:tcBorders>
              <w:top w:val="nil"/>
              <w:left w:val="nil"/>
              <w:bottom w:val="nil"/>
              <w:right w:val="nil"/>
            </w:tcBorders>
            <w:noWrap/>
          </w:tcPr>
          <w:p w14:paraId="4AF4E011"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MYBBP1A</w:t>
            </w:r>
          </w:p>
        </w:tc>
        <w:tc>
          <w:tcPr>
            <w:tcW w:w="992" w:type="dxa"/>
            <w:tcBorders>
              <w:top w:val="nil"/>
              <w:left w:val="nil"/>
              <w:bottom w:val="nil"/>
              <w:right w:val="nil"/>
            </w:tcBorders>
            <w:noWrap/>
          </w:tcPr>
          <w:p w14:paraId="2F44B89B"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2</w:t>
            </w:r>
          </w:p>
        </w:tc>
        <w:tc>
          <w:tcPr>
            <w:tcW w:w="1134" w:type="dxa"/>
            <w:tcBorders>
              <w:top w:val="nil"/>
              <w:left w:val="nil"/>
              <w:bottom w:val="nil"/>
              <w:right w:val="nil"/>
            </w:tcBorders>
            <w:noWrap/>
          </w:tcPr>
          <w:p w14:paraId="7A6AD045"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115660</w:t>
            </w:r>
          </w:p>
        </w:tc>
      </w:tr>
      <w:tr w:rsidR="00D86489" w14:paraId="1B9798A4" w14:textId="77777777">
        <w:trPr>
          <w:trHeight w:val="270"/>
          <w:jc w:val="center"/>
        </w:trPr>
        <w:tc>
          <w:tcPr>
            <w:tcW w:w="1526" w:type="dxa"/>
            <w:tcBorders>
              <w:top w:val="nil"/>
              <w:left w:val="nil"/>
              <w:bottom w:val="nil"/>
              <w:right w:val="nil"/>
            </w:tcBorders>
            <w:noWrap/>
          </w:tcPr>
          <w:p w14:paraId="14282589"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PSPC1</w:t>
            </w:r>
          </w:p>
        </w:tc>
        <w:tc>
          <w:tcPr>
            <w:tcW w:w="992" w:type="dxa"/>
            <w:tcBorders>
              <w:top w:val="nil"/>
              <w:left w:val="nil"/>
              <w:bottom w:val="nil"/>
              <w:right w:val="nil"/>
            </w:tcBorders>
            <w:noWrap/>
          </w:tcPr>
          <w:p w14:paraId="6334BCBA"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4</w:t>
            </w:r>
          </w:p>
        </w:tc>
        <w:tc>
          <w:tcPr>
            <w:tcW w:w="992" w:type="dxa"/>
            <w:tcBorders>
              <w:top w:val="nil"/>
              <w:left w:val="nil"/>
              <w:bottom w:val="nil"/>
              <w:right w:val="nil"/>
            </w:tcBorders>
            <w:noWrap/>
          </w:tcPr>
          <w:p w14:paraId="7939221B"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121950</w:t>
            </w:r>
          </w:p>
        </w:tc>
        <w:tc>
          <w:tcPr>
            <w:tcW w:w="1418" w:type="dxa"/>
            <w:tcBorders>
              <w:top w:val="nil"/>
              <w:left w:val="nil"/>
              <w:bottom w:val="nil"/>
              <w:right w:val="nil"/>
            </w:tcBorders>
            <w:noWrap/>
          </w:tcPr>
          <w:p w14:paraId="1FDE4D49"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NEXN</w:t>
            </w:r>
          </w:p>
        </w:tc>
        <w:tc>
          <w:tcPr>
            <w:tcW w:w="992" w:type="dxa"/>
            <w:tcBorders>
              <w:top w:val="nil"/>
              <w:left w:val="nil"/>
              <w:bottom w:val="nil"/>
              <w:right w:val="nil"/>
            </w:tcBorders>
            <w:noWrap/>
          </w:tcPr>
          <w:p w14:paraId="2E47BD84"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2</w:t>
            </w:r>
          </w:p>
        </w:tc>
        <w:tc>
          <w:tcPr>
            <w:tcW w:w="1134" w:type="dxa"/>
            <w:tcBorders>
              <w:top w:val="nil"/>
              <w:left w:val="nil"/>
              <w:bottom w:val="nil"/>
              <w:right w:val="nil"/>
            </w:tcBorders>
            <w:noWrap/>
          </w:tcPr>
          <w:p w14:paraId="113E3C2F"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53617</w:t>
            </w:r>
          </w:p>
        </w:tc>
      </w:tr>
      <w:tr w:rsidR="00D86489" w14:paraId="4A697568" w14:textId="77777777">
        <w:trPr>
          <w:trHeight w:val="270"/>
          <w:jc w:val="center"/>
        </w:trPr>
        <w:tc>
          <w:tcPr>
            <w:tcW w:w="1526" w:type="dxa"/>
            <w:tcBorders>
              <w:top w:val="nil"/>
              <w:left w:val="nil"/>
              <w:bottom w:val="nil"/>
              <w:right w:val="nil"/>
            </w:tcBorders>
            <w:noWrap/>
          </w:tcPr>
          <w:p w14:paraId="21C77C95"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RBM6</w:t>
            </w:r>
          </w:p>
        </w:tc>
        <w:tc>
          <w:tcPr>
            <w:tcW w:w="992" w:type="dxa"/>
            <w:tcBorders>
              <w:top w:val="nil"/>
              <w:left w:val="nil"/>
              <w:bottom w:val="nil"/>
              <w:right w:val="nil"/>
            </w:tcBorders>
            <w:noWrap/>
          </w:tcPr>
          <w:p w14:paraId="7D033206"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4</w:t>
            </w:r>
          </w:p>
        </w:tc>
        <w:tc>
          <w:tcPr>
            <w:tcW w:w="992" w:type="dxa"/>
            <w:tcBorders>
              <w:top w:val="nil"/>
              <w:left w:val="nil"/>
              <w:bottom w:val="nil"/>
              <w:right w:val="nil"/>
            </w:tcBorders>
            <w:noWrap/>
          </w:tcPr>
          <w:p w14:paraId="7EA2FE78"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11619</w:t>
            </w:r>
          </w:p>
        </w:tc>
        <w:tc>
          <w:tcPr>
            <w:tcW w:w="1418" w:type="dxa"/>
            <w:tcBorders>
              <w:top w:val="nil"/>
              <w:left w:val="nil"/>
              <w:bottom w:val="nil"/>
              <w:right w:val="nil"/>
            </w:tcBorders>
            <w:noWrap/>
          </w:tcPr>
          <w:p w14:paraId="4E09502F"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NOMO3</w:t>
            </w:r>
          </w:p>
        </w:tc>
        <w:tc>
          <w:tcPr>
            <w:tcW w:w="992" w:type="dxa"/>
            <w:tcBorders>
              <w:top w:val="nil"/>
              <w:left w:val="nil"/>
              <w:bottom w:val="nil"/>
              <w:right w:val="nil"/>
            </w:tcBorders>
            <w:noWrap/>
          </w:tcPr>
          <w:p w14:paraId="5655E806"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2</w:t>
            </w:r>
          </w:p>
        </w:tc>
        <w:tc>
          <w:tcPr>
            <w:tcW w:w="1134" w:type="dxa"/>
            <w:tcBorders>
              <w:top w:val="nil"/>
              <w:left w:val="nil"/>
              <w:bottom w:val="nil"/>
              <w:right w:val="nil"/>
            </w:tcBorders>
            <w:noWrap/>
          </w:tcPr>
          <w:p w14:paraId="38B31CED"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10774</w:t>
            </w:r>
          </w:p>
        </w:tc>
      </w:tr>
      <w:tr w:rsidR="00D86489" w14:paraId="1762793E" w14:textId="77777777">
        <w:trPr>
          <w:trHeight w:val="270"/>
          <w:jc w:val="center"/>
        </w:trPr>
        <w:tc>
          <w:tcPr>
            <w:tcW w:w="1526" w:type="dxa"/>
            <w:tcBorders>
              <w:top w:val="nil"/>
              <w:left w:val="nil"/>
              <w:bottom w:val="nil"/>
              <w:right w:val="nil"/>
            </w:tcBorders>
            <w:noWrap/>
          </w:tcPr>
          <w:p w14:paraId="4AC9F14B"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RPS16</w:t>
            </w:r>
          </w:p>
        </w:tc>
        <w:tc>
          <w:tcPr>
            <w:tcW w:w="992" w:type="dxa"/>
            <w:tcBorders>
              <w:top w:val="nil"/>
              <w:left w:val="nil"/>
              <w:bottom w:val="nil"/>
              <w:right w:val="nil"/>
            </w:tcBorders>
            <w:noWrap/>
          </w:tcPr>
          <w:p w14:paraId="403AB445"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4</w:t>
            </w:r>
          </w:p>
        </w:tc>
        <w:tc>
          <w:tcPr>
            <w:tcW w:w="992" w:type="dxa"/>
            <w:tcBorders>
              <w:top w:val="nil"/>
              <w:left w:val="nil"/>
              <w:bottom w:val="nil"/>
              <w:right w:val="nil"/>
            </w:tcBorders>
            <w:noWrap/>
          </w:tcPr>
          <w:p w14:paraId="272295BB"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53319</w:t>
            </w:r>
          </w:p>
        </w:tc>
        <w:tc>
          <w:tcPr>
            <w:tcW w:w="1418" w:type="dxa"/>
            <w:tcBorders>
              <w:top w:val="nil"/>
              <w:left w:val="nil"/>
              <w:bottom w:val="nil"/>
              <w:right w:val="nil"/>
            </w:tcBorders>
            <w:noWrap/>
          </w:tcPr>
          <w:p w14:paraId="74D6F887"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NOP14</w:t>
            </w:r>
          </w:p>
        </w:tc>
        <w:tc>
          <w:tcPr>
            <w:tcW w:w="992" w:type="dxa"/>
            <w:tcBorders>
              <w:top w:val="nil"/>
              <w:left w:val="nil"/>
              <w:bottom w:val="nil"/>
              <w:right w:val="nil"/>
            </w:tcBorders>
            <w:noWrap/>
          </w:tcPr>
          <w:p w14:paraId="76094BD3"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2</w:t>
            </w:r>
          </w:p>
        </w:tc>
        <w:tc>
          <w:tcPr>
            <w:tcW w:w="1134" w:type="dxa"/>
            <w:tcBorders>
              <w:top w:val="nil"/>
              <w:left w:val="nil"/>
              <w:bottom w:val="nil"/>
              <w:right w:val="nil"/>
            </w:tcBorders>
            <w:noWrap/>
          </w:tcPr>
          <w:p w14:paraId="5DAED65C"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2941.4</w:t>
            </w:r>
          </w:p>
        </w:tc>
      </w:tr>
      <w:tr w:rsidR="00D86489" w14:paraId="511DFC4B" w14:textId="77777777">
        <w:trPr>
          <w:trHeight w:val="270"/>
          <w:jc w:val="center"/>
        </w:trPr>
        <w:tc>
          <w:tcPr>
            <w:tcW w:w="1526" w:type="dxa"/>
            <w:tcBorders>
              <w:top w:val="nil"/>
              <w:left w:val="nil"/>
              <w:bottom w:val="nil"/>
              <w:right w:val="nil"/>
            </w:tcBorders>
            <w:noWrap/>
          </w:tcPr>
          <w:p w14:paraId="37D1EFA1"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RPS2</w:t>
            </w:r>
          </w:p>
        </w:tc>
        <w:tc>
          <w:tcPr>
            <w:tcW w:w="992" w:type="dxa"/>
            <w:tcBorders>
              <w:top w:val="nil"/>
              <w:left w:val="nil"/>
              <w:bottom w:val="nil"/>
              <w:right w:val="nil"/>
            </w:tcBorders>
            <w:noWrap/>
          </w:tcPr>
          <w:p w14:paraId="0BE2BE7F"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4</w:t>
            </w:r>
          </w:p>
        </w:tc>
        <w:tc>
          <w:tcPr>
            <w:tcW w:w="992" w:type="dxa"/>
            <w:tcBorders>
              <w:top w:val="nil"/>
              <w:left w:val="nil"/>
              <w:bottom w:val="nil"/>
              <w:right w:val="nil"/>
            </w:tcBorders>
            <w:noWrap/>
          </w:tcPr>
          <w:p w14:paraId="14B2BACC"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153040</w:t>
            </w:r>
          </w:p>
        </w:tc>
        <w:tc>
          <w:tcPr>
            <w:tcW w:w="1418" w:type="dxa"/>
            <w:tcBorders>
              <w:top w:val="nil"/>
              <w:left w:val="nil"/>
              <w:bottom w:val="nil"/>
              <w:right w:val="nil"/>
            </w:tcBorders>
            <w:noWrap/>
          </w:tcPr>
          <w:p w14:paraId="27B4E17A"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PARP1</w:t>
            </w:r>
          </w:p>
        </w:tc>
        <w:tc>
          <w:tcPr>
            <w:tcW w:w="992" w:type="dxa"/>
            <w:tcBorders>
              <w:top w:val="nil"/>
              <w:left w:val="nil"/>
              <w:bottom w:val="nil"/>
              <w:right w:val="nil"/>
            </w:tcBorders>
            <w:noWrap/>
          </w:tcPr>
          <w:p w14:paraId="613AD617"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2</w:t>
            </w:r>
          </w:p>
        </w:tc>
        <w:tc>
          <w:tcPr>
            <w:tcW w:w="1134" w:type="dxa"/>
            <w:tcBorders>
              <w:top w:val="nil"/>
              <w:left w:val="nil"/>
              <w:bottom w:val="nil"/>
              <w:right w:val="nil"/>
            </w:tcBorders>
            <w:noWrap/>
          </w:tcPr>
          <w:p w14:paraId="29342937"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1278.9</w:t>
            </w:r>
          </w:p>
        </w:tc>
      </w:tr>
      <w:tr w:rsidR="00D86489" w14:paraId="3FFFDE0B" w14:textId="77777777">
        <w:trPr>
          <w:trHeight w:val="270"/>
          <w:jc w:val="center"/>
        </w:trPr>
        <w:tc>
          <w:tcPr>
            <w:tcW w:w="1526" w:type="dxa"/>
            <w:tcBorders>
              <w:top w:val="nil"/>
              <w:left w:val="nil"/>
              <w:bottom w:val="nil"/>
              <w:right w:val="nil"/>
            </w:tcBorders>
            <w:noWrap/>
          </w:tcPr>
          <w:p w14:paraId="0664B6DF"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SMC2</w:t>
            </w:r>
          </w:p>
        </w:tc>
        <w:tc>
          <w:tcPr>
            <w:tcW w:w="992" w:type="dxa"/>
            <w:tcBorders>
              <w:top w:val="nil"/>
              <w:left w:val="nil"/>
              <w:bottom w:val="nil"/>
              <w:right w:val="nil"/>
            </w:tcBorders>
            <w:noWrap/>
          </w:tcPr>
          <w:p w14:paraId="60C83285"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4</w:t>
            </w:r>
          </w:p>
        </w:tc>
        <w:tc>
          <w:tcPr>
            <w:tcW w:w="992" w:type="dxa"/>
            <w:tcBorders>
              <w:top w:val="nil"/>
              <w:left w:val="nil"/>
              <w:bottom w:val="nil"/>
              <w:right w:val="nil"/>
            </w:tcBorders>
            <w:noWrap/>
          </w:tcPr>
          <w:p w14:paraId="7B470A47"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11234</w:t>
            </w:r>
          </w:p>
        </w:tc>
        <w:tc>
          <w:tcPr>
            <w:tcW w:w="1418" w:type="dxa"/>
            <w:tcBorders>
              <w:top w:val="nil"/>
              <w:left w:val="nil"/>
              <w:bottom w:val="nil"/>
              <w:right w:val="nil"/>
            </w:tcBorders>
            <w:noWrap/>
          </w:tcPr>
          <w:p w14:paraId="6F62508F"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PAXBP1</w:t>
            </w:r>
          </w:p>
        </w:tc>
        <w:tc>
          <w:tcPr>
            <w:tcW w:w="992" w:type="dxa"/>
            <w:tcBorders>
              <w:top w:val="nil"/>
              <w:left w:val="nil"/>
              <w:bottom w:val="nil"/>
              <w:right w:val="nil"/>
            </w:tcBorders>
            <w:noWrap/>
          </w:tcPr>
          <w:p w14:paraId="29B96713"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2</w:t>
            </w:r>
          </w:p>
        </w:tc>
        <w:tc>
          <w:tcPr>
            <w:tcW w:w="1134" w:type="dxa"/>
            <w:tcBorders>
              <w:top w:val="nil"/>
              <w:left w:val="nil"/>
              <w:bottom w:val="nil"/>
              <w:right w:val="nil"/>
            </w:tcBorders>
            <w:noWrap/>
          </w:tcPr>
          <w:p w14:paraId="48B417BF"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11893</w:t>
            </w:r>
          </w:p>
        </w:tc>
      </w:tr>
      <w:tr w:rsidR="00D86489" w14:paraId="5C6FF917" w14:textId="77777777">
        <w:trPr>
          <w:trHeight w:val="270"/>
          <w:jc w:val="center"/>
        </w:trPr>
        <w:tc>
          <w:tcPr>
            <w:tcW w:w="1526" w:type="dxa"/>
            <w:tcBorders>
              <w:top w:val="nil"/>
              <w:left w:val="nil"/>
              <w:bottom w:val="nil"/>
              <w:right w:val="nil"/>
            </w:tcBorders>
            <w:noWrap/>
          </w:tcPr>
          <w:p w14:paraId="55F615CD"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SRRM1</w:t>
            </w:r>
          </w:p>
        </w:tc>
        <w:tc>
          <w:tcPr>
            <w:tcW w:w="992" w:type="dxa"/>
            <w:tcBorders>
              <w:top w:val="nil"/>
              <w:left w:val="nil"/>
              <w:bottom w:val="nil"/>
              <w:right w:val="nil"/>
            </w:tcBorders>
            <w:noWrap/>
          </w:tcPr>
          <w:p w14:paraId="5CAF3017"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4</w:t>
            </w:r>
          </w:p>
        </w:tc>
        <w:tc>
          <w:tcPr>
            <w:tcW w:w="992" w:type="dxa"/>
            <w:tcBorders>
              <w:top w:val="nil"/>
              <w:left w:val="nil"/>
              <w:bottom w:val="nil"/>
              <w:right w:val="nil"/>
            </w:tcBorders>
            <w:noWrap/>
          </w:tcPr>
          <w:p w14:paraId="47D4BB4C"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63756</w:t>
            </w:r>
          </w:p>
        </w:tc>
        <w:tc>
          <w:tcPr>
            <w:tcW w:w="1418" w:type="dxa"/>
            <w:tcBorders>
              <w:top w:val="nil"/>
              <w:left w:val="nil"/>
              <w:bottom w:val="nil"/>
              <w:right w:val="nil"/>
            </w:tcBorders>
            <w:noWrap/>
          </w:tcPr>
          <w:p w14:paraId="47221D63"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PDS5B</w:t>
            </w:r>
          </w:p>
        </w:tc>
        <w:tc>
          <w:tcPr>
            <w:tcW w:w="992" w:type="dxa"/>
            <w:tcBorders>
              <w:top w:val="nil"/>
              <w:left w:val="nil"/>
              <w:bottom w:val="nil"/>
              <w:right w:val="nil"/>
            </w:tcBorders>
            <w:noWrap/>
          </w:tcPr>
          <w:p w14:paraId="02CE4373"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2</w:t>
            </w:r>
          </w:p>
        </w:tc>
        <w:tc>
          <w:tcPr>
            <w:tcW w:w="1134" w:type="dxa"/>
            <w:tcBorders>
              <w:top w:val="nil"/>
              <w:left w:val="nil"/>
              <w:bottom w:val="nil"/>
              <w:right w:val="nil"/>
            </w:tcBorders>
            <w:noWrap/>
          </w:tcPr>
          <w:p w14:paraId="3DFE3625"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1730.7</w:t>
            </w:r>
          </w:p>
        </w:tc>
      </w:tr>
      <w:tr w:rsidR="00D86489" w14:paraId="65B23C30" w14:textId="77777777">
        <w:trPr>
          <w:trHeight w:val="270"/>
          <w:jc w:val="center"/>
        </w:trPr>
        <w:tc>
          <w:tcPr>
            <w:tcW w:w="1526" w:type="dxa"/>
            <w:tcBorders>
              <w:top w:val="nil"/>
              <w:left w:val="nil"/>
              <w:bottom w:val="nil"/>
              <w:right w:val="nil"/>
            </w:tcBorders>
            <w:noWrap/>
          </w:tcPr>
          <w:p w14:paraId="4EB3DB6B"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SRRT</w:t>
            </w:r>
          </w:p>
        </w:tc>
        <w:tc>
          <w:tcPr>
            <w:tcW w:w="992" w:type="dxa"/>
            <w:tcBorders>
              <w:top w:val="nil"/>
              <w:left w:val="nil"/>
              <w:bottom w:val="nil"/>
              <w:right w:val="nil"/>
            </w:tcBorders>
            <w:noWrap/>
          </w:tcPr>
          <w:p w14:paraId="64F57F92"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4</w:t>
            </w:r>
          </w:p>
        </w:tc>
        <w:tc>
          <w:tcPr>
            <w:tcW w:w="992" w:type="dxa"/>
            <w:tcBorders>
              <w:top w:val="nil"/>
              <w:left w:val="nil"/>
              <w:bottom w:val="nil"/>
              <w:right w:val="nil"/>
            </w:tcBorders>
            <w:noWrap/>
          </w:tcPr>
          <w:p w14:paraId="392BECDD"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32763</w:t>
            </w:r>
          </w:p>
        </w:tc>
        <w:tc>
          <w:tcPr>
            <w:tcW w:w="1418" w:type="dxa"/>
            <w:tcBorders>
              <w:top w:val="nil"/>
              <w:left w:val="nil"/>
              <w:bottom w:val="nil"/>
              <w:right w:val="nil"/>
            </w:tcBorders>
            <w:noWrap/>
          </w:tcPr>
          <w:p w14:paraId="652AB88B"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PUF60</w:t>
            </w:r>
          </w:p>
        </w:tc>
        <w:tc>
          <w:tcPr>
            <w:tcW w:w="992" w:type="dxa"/>
            <w:tcBorders>
              <w:top w:val="nil"/>
              <w:left w:val="nil"/>
              <w:bottom w:val="nil"/>
              <w:right w:val="nil"/>
            </w:tcBorders>
            <w:noWrap/>
          </w:tcPr>
          <w:p w14:paraId="32F699AB"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2</w:t>
            </w:r>
          </w:p>
        </w:tc>
        <w:tc>
          <w:tcPr>
            <w:tcW w:w="1134" w:type="dxa"/>
            <w:tcBorders>
              <w:top w:val="nil"/>
              <w:left w:val="nil"/>
              <w:bottom w:val="nil"/>
              <w:right w:val="nil"/>
            </w:tcBorders>
            <w:noWrap/>
          </w:tcPr>
          <w:p w14:paraId="3972018C"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19677</w:t>
            </w:r>
          </w:p>
        </w:tc>
      </w:tr>
      <w:tr w:rsidR="00D86489" w14:paraId="347B3D93" w14:textId="77777777">
        <w:trPr>
          <w:trHeight w:val="270"/>
          <w:jc w:val="center"/>
        </w:trPr>
        <w:tc>
          <w:tcPr>
            <w:tcW w:w="1526" w:type="dxa"/>
            <w:tcBorders>
              <w:top w:val="nil"/>
              <w:left w:val="nil"/>
              <w:bottom w:val="nil"/>
              <w:right w:val="nil"/>
            </w:tcBorders>
            <w:noWrap/>
          </w:tcPr>
          <w:p w14:paraId="01BBDF99"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SRSF2</w:t>
            </w:r>
          </w:p>
        </w:tc>
        <w:tc>
          <w:tcPr>
            <w:tcW w:w="992" w:type="dxa"/>
            <w:tcBorders>
              <w:top w:val="nil"/>
              <w:left w:val="nil"/>
              <w:bottom w:val="nil"/>
              <w:right w:val="nil"/>
            </w:tcBorders>
            <w:noWrap/>
          </w:tcPr>
          <w:p w14:paraId="1F7DA21D"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4</w:t>
            </w:r>
          </w:p>
        </w:tc>
        <w:tc>
          <w:tcPr>
            <w:tcW w:w="992" w:type="dxa"/>
            <w:tcBorders>
              <w:top w:val="nil"/>
              <w:left w:val="nil"/>
              <w:bottom w:val="nil"/>
              <w:right w:val="nil"/>
            </w:tcBorders>
            <w:noWrap/>
          </w:tcPr>
          <w:p w14:paraId="31C0E87D"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2129300</w:t>
            </w:r>
          </w:p>
        </w:tc>
        <w:tc>
          <w:tcPr>
            <w:tcW w:w="1418" w:type="dxa"/>
            <w:tcBorders>
              <w:top w:val="nil"/>
              <w:left w:val="nil"/>
              <w:bottom w:val="nil"/>
              <w:right w:val="nil"/>
            </w:tcBorders>
            <w:noWrap/>
          </w:tcPr>
          <w:p w14:paraId="50A3C57F"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RALY</w:t>
            </w:r>
          </w:p>
        </w:tc>
        <w:tc>
          <w:tcPr>
            <w:tcW w:w="992" w:type="dxa"/>
            <w:tcBorders>
              <w:top w:val="nil"/>
              <w:left w:val="nil"/>
              <w:bottom w:val="nil"/>
              <w:right w:val="nil"/>
            </w:tcBorders>
            <w:noWrap/>
          </w:tcPr>
          <w:p w14:paraId="35DC7AEB"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2</w:t>
            </w:r>
          </w:p>
        </w:tc>
        <w:tc>
          <w:tcPr>
            <w:tcW w:w="1134" w:type="dxa"/>
            <w:tcBorders>
              <w:top w:val="nil"/>
              <w:left w:val="nil"/>
              <w:bottom w:val="nil"/>
              <w:right w:val="nil"/>
            </w:tcBorders>
            <w:noWrap/>
          </w:tcPr>
          <w:p w14:paraId="666464C8"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54821</w:t>
            </w:r>
          </w:p>
        </w:tc>
      </w:tr>
      <w:tr w:rsidR="00D86489" w14:paraId="14EB4A62" w14:textId="77777777">
        <w:trPr>
          <w:trHeight w:val="270"/>
          <w:jc w:val="center"/>
        </w:trPr>
        <w:tc>
          <w:tcPr>
            <w:tcW w:w="1526" w:type="dxa"/>
            <w:tcBorders>
              <w:top w:val="nil"/>
              <w:left w:val="nil"/>
              <w:bottom w:val="nil"/>
              <w:right w:val="nil"/>
            </w:tcBorders>
            <w:noWrap/>
          </w:tcPr>
          <w:p w14:paraId="76F5FFF9"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SSRP1</w:t>
            </w:r>
          </w:p>
        </w:tc>
        <w:tc>
          <w:tcPr>
            <w:tcW w:w="992" w:type="dxa"/>
            <w:tcBorders>
              <w:top w:val="nil"/>
              <w:left w:val="nil"/>
              <w:bottom w:val="nil"/>
              <w:right w:val="nil"/>
            </w:tcBorders>
            <w:noWrap/>
          </w:tcPr>
          <w:p w14:paraId="5669EFE9"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4</w:t>
            </w:r>
          </w:p>
        </w:tc>
        <w:tc>
          <w:tcPr>
            <w:tcW w:w="992" w:type="dxa"/>
            <w:tcBorders>
              <w:top w:val="nil"/>
              <w:left w:val="nil"/>
              <w:bottom w:val="nil"/>
              <w:right w:val="nil"/>
            </w:tcBorders>
            <w:noWrap/>
          </w:tcPr>
          <w:p w14:paraId="3925B29C"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31480</w:t>
            </w:r>
          </w:p>
        </w:tc>
        <w:tc>
          <w:tcPr>
            <w:tcW w:w="1418" w:type="dxa"/>
            <w:tcBorders>
              <w:top w:val="nil"/>
              <w:left w:val="nil"/>
              <w:bottom w:val="nil"/>
              <w:right w:val="nil"/>
            </w:tcBorders>
            <w:noWrap/>
          </w:tcPr>
          <w:p w14:paraId="7641D2E6"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RBM28</w:t>
            </w:r>
          </w:p>
        </w:tc>
        <w:tc>
          <w:tcPr>
            <w:tcW w:w="992" w:type="dxa"/>
            <w:tcBorders>
              <w:top w:val="nil"/>
              <w:left w:val="nil"/>
              <w:bottom w:val="nil"/>
              <w:right w:val="nil"/>
            </w:tcBorders>
            <w:noWrap/>
          </w:tcPr>
          <w:p w14:paraId="5644C5A7"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2</w:t>
            </w:r>
          </w:p>
        </w:tc>
        <w:tc>
          <w:tcPr>
            <w:tcW w:w="1134" w:type="dxa"/>
            <w:tcBorders>
              <w:top w:val="nil"/>
              <w:left w:val="nil"/>
              <w:bottom w:val="nil"/>
              <w:right w:val="nil"/>
            </w:tcBorders>
            <w:noWrap/>
          </w:tcPr>
          <w:p w14:paraId="275F7A80"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15855</w:t>
            </w:r>
          </w:p>
        </w:tc>
      </w:tr>
      <w:tr w:rsidR="00D86489" w14:paraId="58949D4E" w14:textId="77777777">
        <w:trPr>
          <w:trHeight w:val="270"/>
          <w:jc w:val="center"/>
        </w:trPr>
        <w:tc>
          <w:tcPr>
            <w:tcW w:w="1526" w:type="dxa"/>
            <w:tcBorders>
              <w:top w:val="nil"/>
              <w:left w:val="nil"/>
              <w:bottom w:val="nil"/>
              <w:right w:val="nil"/>
            </w:tcBorders>
            <w:noWrap/>
          </w:tcPr>
          <w:p w14:paraId="219148D3"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YBX3</w:t>
            </w:r>
          </w:p>
        </w:tc>
        <w:tc>
          <w:tcPr>
            <w:tcW w:w="992" w:type="dxa"/>
            <w:tcBorders>
              <w:top w:val="nil"/>
              <w:left w:val="nil"/>
              <w:bottom w:val="nil"/>
              <w:right w:val="nil"/>
            </w:tcBorders>
            <w:noWrap/>
          </w:tcPr>
          <w:p w14:paraId="5DA39B78"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2</w:t>
            </w:r>
          </w:p>
        </w:tc>
        <w:tc>
          <w:tcPr>
            <w:tcW w:w="992" w:type="dxa"/>
            <w:tcBorders>
              <w:top w:val="nil"/>
              <w:left w:val="nil"/>
              <w:bottom w:val="nil"/>
              <w:right w:val="nil"/>
            </w:tcBorders>
            <w:noWrap/>
          </w:tcPr>
          <w:p w14:paraId="68903C1C"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197990</w:t>
            </w:r>
          </w:p>
        </w:tc>
        <w:tc>
          <w:tcPr>
            <w:tcW w:w="1418" w:type="dxa"/>
            <w:tcBorders>
              <w:top w:val="nil"/>
              <w:left w:val="nil"/>
              <w:bottom w:val="nil"/>
              <w:right w:val="nil"/>
            </w:tcBorders>
            <w:noWrap/>
          </w:tcPr>
          <w:p w14:paraId="005EDF22"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RBM3</w:t>
            </w:r>
          </w:p>
        </w:tc>
        <w:tc>
          <w:tcPr>
            <w:tcW w:w="992" w:type="dxa"/>
            <w:tcBorders>
              <w:top w:val="nil"/>
              <w:left w:val="nil"/>
              <w:bottom w:val="nil"/>
              <w:right w:val="nil"/>
            </w:tcBorders>
            <w:noWrap/>
          </w:tcPr>
          <w:p w14:paraId="52A2D07A"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2</w:t>
            </w:r>
          </w:p>
        </w:tc>
        <w:tc>
          <w:tcPr>
            <w:tcW w:w="1134" w:type="dxa"/>
            <w:tcBorders>
              <w:top w:val="nil"/>
              <w:left w:val="nil"/>
              <w:bottom w:val="nil"/>
              <w:right w:val="nil"/>
            </w:tcBorders>
            <w:noWrap/>
          </w:tcPr>
          <w:p w14:paraId="4B24A9D8"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139470</w:t>
            </w:r>
          </w:p>
        </w:tc>
      </w:tr>
      <w:tr w:rsidR="00D86489" w14:paraId="493235B4" w14:textId="77777777">
        <w:trPr>
          <w:trHeight w:val="270"/>
          <w:jc w:val="center"/>
        </w:trPr>
        <w:tc>
          <w:tcPr>
            <w:tcW w:w="1526" w:type="dxa"/>
            <w:tcBorders>
              <w:top w:val="nil"/>
              <w:left w:val="nil"/>
              <w:bottom w:val="nil"/>
              <w:right w:val="nil"/>
            </w:tcBorders>
            <w:noWrap/>
          </w:tcPr>
          <w:p w14:paraId="5863B15F"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RPL7A</w:t>
            </w:r>
          </w:p>
        </w:tc>
        <w:tc>
          <w:tcPr>
            <w:tcW w:w="992" w:type="dxa"/>
            <w:tcBorders>
              <w:top w:val="nil"/>
              <w:left w:val="nil"/>
              <w:bottom w:val="nil"/>
              <w:right w:val="nil"/>
            </w:tcBorders>
            <w:noWrap/>
          </w:tcPr>
          <w:p w14:paraId="039862E8"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10</w:t>
            </w:r>
          </w:p>
        </w:tc>
        <w:tc>
          <w:tcPr>
            <w:tcW w:w="992" w:type="dxa"/>
            <w:tcBorders>
              <w:top w:val="nil"/>
              <w:left w:val="nil"/>
              <w:bottom w:val="nil"/>
              <w:right w:val="nil"/>
            </w:tcBorders>
            <w:noWrap/>
          </w:tcPr>
          <w:p w14:paraId="08170626"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1707700</w:t>
            </w:r>
          </w:p>
        </w:tc>
        <w:tc>
          <w:tcPr>
            <w:tcW w:w="1418" w:type="dxa"/>
            <w:tcBorders>
              <w:top w:val="nil"/>
              <w:left w:val="nil"/>
              <w:bottom w:val="nil"/>
              <w:right w:val="nil"/>
            </w:tcBorders>
            <w:noWrap/>
          </w:tcPr>
          <w:p w14:paraId="76538531"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RPL10A</w:t>
            </w:r>
          </w:p>
        </w:tc>
        <w:tc>
          <w:tcPr>
            <w:tcW w:w="992" w:type="dxa"/>
            <w:tcBorders>
              <w:top w:val="nil"/>
              <w:left w:val="nil"/>
              <w:bottom w:val="nil"/>
              <w:right w:val="nil"/>
            </w:tcBorders>
            <w:noWrap/>
          </w:tcPr>
          <w:p w14:paraId="7D299B23"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2</w:t>
            </w:r>
          </w:p>
        </w:tc>
        <w:tc>
          <w:tcPr>
            <w:tcW w:w="1134" w:type="dxa"/>
            <w:tcBorders>
              <w:top w:val="nil"/>
              <w:left w:val="nil"/>
              <w:bottom w:val="nil"/>
              <w:right w:val="nil"/>
            </w:tcBorders>
            <w:noWrap/>
          </w:tcPr>
          <w:p w14:paraId="4031951C"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26440</w:t>
            </w:r>
          </w:p>
        </w:tc>
      </w:tr>
      <w:tr w:rsidR="00D86489" w14:paraId="5691E679" w14:textId="77777777">
        <w:trPr>
          <w:trHeight w:val="270"/>
          <w:jc w:val="center"/>
        </w:trPr>
        <w:tc>
          <w:tcPr>
            <w:tcW w:w="1526" w:type="dxa"/>
            <w:tcBorders>
              <w:top w:val="nil"/>
              <w:left w:val="nil"/>
              <w:bottom w:val="nil"/>
              <w:right w:val="nil"/>
            </w:tcBorders>
            <w:noWrap/>
          </w:tcPr>
          <w:p w14:paraId="26430EC3"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BCLAF1</w:t>
            </w:r>
          </w:p>
        </w:tc>
        <w:tc>
          <w:tcPr>
            <w:tcW w:w="992" w:type="dxa"/>
            <w:tcBorders>
              <w:top w:val="nil"/>
              <w:left w:val="nil"/>
              <w:bottom w:val="nil"/>
              <w:right w:val="nil"/>
            </w:tcBorders>
            <w:noWrap/>
          </w:tcPr>
          <w:p w14:paraId="759A168B"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3</w:t>
            </w:r>
          </w:p>
        </w:tc>
        <w:tc>
          <w:tcPr>
            <w:tcW w:w="992" w:type="dxa"/>
            <w:tcBorders>
              <w:top w:val="nil"/>
              <w:left w:val="nil"/>
              <w:bottom w:val="nil"/>
              <w:right w:val="nil"/>
            </w:tcBorders>
            <w:noWrap/>
          </w:tcPr>
          <w:p w14:paraId="335FCC2E"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25726</w:t>
            </w:r>
          </w:p>
        </w:tc>
        <w:tc>
          <w:tcPr>
            <w:tcW w:w="1418" w:type="dxa"/>
            <w:tcBorders>
              <w:top w:val="nil"/>
              <w:left w:val="nil"/>
              <w:bottom w:val="nil"/>
              <w:right w:val="nil"/>
            </w:tcBorders>
            <w:noWrap/>
          </w:tcPr>
          <w:p w14:paraId="7D28D9F2"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RPL18A</w:t>
            </w:r>
          </w:p>
        </w:tc>
        <w:tc>
          <w:tcPr>
            <w:tcW w:w="992" w:type="dxa"/>
            <w:tcBorders>
              <w:top w:val="nil"/>
              <w:left w:val="nil"/>
              <w:bottom w:val="nil"/>
              <w:right w:val="nil"/>
            </w:tcBorders>
            <w:noWrap/>
          </w:tcPr>
          <w:p w14:paraId="233E25EE"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2</w:t>
            </w:r>
          </w:p>
        </w:tc>
        <w:tc>
          <w:tcPr>
            <w:tcW w:w="1134" w:type="dxa"/>
            <w:tcBorders>
              <w:top w:val="nil"/>
              <w:left w:val="nil"/>
              <w:bottom w:val="nil"/>
              <w:right w:val="nil"/>
            </w:tcBorders>
            <w:noWrap/>
          </w:tcPr>
          <w:p w14:paraId="2241EF9C"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269240</w:t>
            </w:r>
          </w:p>
        </w:tc>
      </w:tr>
      <w:tr w:rsidR="00D86489" w14:paraId="7FAFC936" w14:textId="77777777">
        <w:trPr>
          <w:trHeight w:val="270"/>
          <w:jc w:val="center"/>
        </w:trPr>
        <w:tc>
          <w:tcPr>
            <w:tcW w:w="1526" w:type="dxa"/>
            <w:tcBorders>
              <w:top w:val="nil"/>
              <w:left w:val="nil"/>
              <w:bottom w:val="nil"/>
              <w:right w:val="nil"/>
            </w:tcBorders>
            <w:noWrap/>
          </w:tcPr>
          <w:p w14:paraId="36438FA4"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RPS3</w:t>
            </w:r>
          </w:p>
        </w:tc>
        <w:tc>
          <w:tcPr>
            <w:tcW w:w="992" w:type="dxa"/>
            <w:tcBorders>
              <w:top w:val="nil"/>
              <w:left w:val="nil"/>
              <w:bottom w:val="nil"/>
              <w:right w:val="nil"/>
            </w:tcBorders>
            <w:noWrap/>
          </w:tcPr>
          <w:p w14:paraId="58EA5EB1"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11</w:t>
            </w:r>
          </w:p>
        </w:tc>
        <w:tc>
          <w:tcPr>
            <w:tcW w:w="992" w:type="dxa"/>
            <w:tcBorders>
              <w:top w:val="nil"/>
              <w:left w:val="nil"/>
              <w:bottom w:val="nil"/>
              <w:right w:val="nil"/>
            </w:tcBorders>
            <w:noWrap/>
          </w:tcPr>
          <w:p w14:paraId="323F9D85"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355780</w:t>
            </w:r>
          </w:p>
        </w:tc>
        <w:tc>
          <w:tcPr>
            <w:tcW w:w="1418" w:type="dxa"/>
            <w:tcBorders>
              <w:top w:val="nil"/>
              <w:left w:val="nil"/>
              <w:bottom w:val="nil"/>
              <w:right w:val="nil"/>
            </w:tcBorders>
            <w:noWrap/>
          </w:tcPr>
          <w:p w14:paraId="4D8ABC66"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RPL27</w:t>
            </w:r>
          </w:p>
        </w:tc>
        <w:tc>
          <w:tcPr>
            <w:tcW w:w="992" w:type="dxa"/>
            <w:tcBorders>
              <w:top w:val="nil"/>
              <w:left w:val="nil"/>
              <w:bottom w:val="nil"/>
              <w:right w:val="nil"/>
            </w:tcBorders>
            <w:noWrap/>
          </w:tcPr>
          <w:p w14:paraId="5E6A8106"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2</w:t>
            </w:r>
          </w:p>
        </w:tc>
        <w:tc>
          <w:tcPr>
            <w:tcW w:w="1134" w:type="dxa"/>
            <w:tcBorders>
              <w:top w:val="nil"/>
              <w:left w:val="nil"/>
              <w:bottom w:val="nil"/>
              <w:right w:val="nil"/>
            </w:tcBorders>
            <w:noWrap/>
          </w:tcPr>
          <w:p w14:paraId="36E4B991"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2419000</w:t>
            </w:r>
          </w:p>
        </w:tc>
      </w:tr>
      <w:tr w:rsidR="00D86489" w14:paraId="5D19435A" w14:textId="77777777">
        <w:trPr>
          <w:trHeight w:val="270"/>
          <w:jc w:val="center"/>
        </w:trPr>
        <w:tc>
          <w:tcPr>
            <w:tcW w:w="1526" w:type="dxa"/>
            <w:tcBorders>
              <w:top w:val="nil"/>
              <w:left w:val="nil"/>
              <w:bottom w:val="nil"/>
              <w:right w:val="nil"/>
            </w:tcBorders>
            <w:noWrap/>
          </w:tcPr>
          <w:p w14:paraId="15C71F25"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ACTG1</w:t>
            </w:r>
          </w:p>
        </w:tc>
        <w:tc>
          <w:tcPr>
            <w:tcW w:w="992" w:type="dxa"/>
            <w:tcBorders>
              <w:top w:val="nil"/>
              <w:left w:val="nil"/>
              <w:bottom w:val="nil"/>
              <w:right w:val="nil"/>
            </w:tcBorders>
            <w:noWrap/>
          </w:tcPr>
          <w:p w14:paraId="1302921B"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6</w:t>
            </w:r>
          </w:p>
        </w:tc>
        <w:tc>
          <w:tcPr>
            <w:tcW w:w="992" w:type="dxa"/>
            <w:tcBorders>
              <w:top w:val="nil"/>
              <w:left w:val="nil"/>
              <w:bottom w:val="nil"/>
              <w:right w:val="nil"/>
            </w:tcBorders>
            <w:noWrap/>
          </w:tcPr>
          <w:p w14:paraId="64ABCA1B"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823690</w:t>
            </w:r>
          </w:p>
        </w:tc>
        <w:tc>
          <w:tcPr>
            <w:tcW w:w="1418" w:type="dxa"/>
            <w:tcBorders>
              <w:top w:val="nil"/>
              <w:left w:val="nil"/>
              <w:bottom w:val="nil"/>
              <w:right w:val="nil"/>
            </w:tcBorders>
            <w:noWrap/>
          </w:tcPr>
          <w:p w14:paraId="2D7565C5"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RPL27A</w:t>
            </w:r>
          </w:p>
        </w:tc>
        <w:tc>
          <w:tcPr>
            <w:tcW w:w="992" w:type="dxa"/>
            <w:tcBorders>
              <w:top w:val="nil"/>
              <w:left w:val="nil"/>
              <w:bottom w:val="nil"/>
              <w:right w:val="nil"/>
            </w:tcBorders>
            <w:noWrap/>
          </w:tcPr>
          <w:p w14:paraId="0BCE08FE"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2</w:t>
            </w:r>
          </w:p>
        </w:tc>
        <w:tc>
          <w:tcPr>
            <w:tcW w:w="1134" w:type="dxa"/>
            <w:tcBorders>
              <w:top w:val="nil"/>
              <w:left w:val="nil"/>
              <w:bottom w:val="nil"/>
              <w:right w:val="nil"/>
            </w:tcBorders>
            <w:noWrap/>
          </w:tcPr>
          <w:p w14:paraId="7A3BA441"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170230</w:t>
            </w:r>
          </w:p>
        </w:tc>
      </w:tr>
      <w:tr w:rsidR="00D86489" w14:paraId="0E1B84B4" w14:textId="77777777">
        <w:trPr>
          <w:trHeight w:val="270"/>
          <w:jc w:val="center"/>
        </w:trPr>
        <w:tc>
          <w:tcPr>
            <w:tcW w:w="1526" w:type="dxa"/>
            <w:tcBorders>
              <w:top w:val="nil"/>
              <w:left w:val="nil"/>
              <w:bottom w:val="nil"/>
              <w:right w:val="nil"/>
            </w:tcBorders>
            <w:noWrap/>
          </w:tcPr>
          <w:p w14:paraId="2D39C9B5" w14:textId="77777777" w:rsidR="00D86489" w:rsidRDefault="00B22FD0">
            <w:pPr>
              <w:tabs>
                <w:tab w:val="left" w:pos="6361"/>
              </w:tabs>
              <w:rPr>
                <w:rFonts w:ascii="Times New Roman" w:hAnsi="Times New Roman"/>
                <w:kern w:val="0"/>
                <w:szCs w:val="21"/>
              </w:rPr>
            </w:pPr>
            <w:r>
              <w:rPr>
                <w:rFonts w:ascii="Times New Roman" w:hAnsi="Times New Roman"/>
                <w:kern w:val="0"/>
                <w:szCs w:val="21"/>
              </w:rPr>
              <w:lastRenderedPageBreak/>
              <w:t>RPL6</w:t>
            </w:r>
          </w:p>
        </w:tc>
        <w:tc>
          <w:tcPr>
            <w:tcW w:w="992" w:type="dxa"/>
            <w:tcBorders>
              <w:top w:val="nil"/>
              <w:left w:val="nil"/>
              <w:bottom w:val="nil"/>
              <w:right w:val="nil"/>
            </w:tcBorders>
            <w:noWrap/>
          </w:tcPr>
          <w:p w14:paraId="1CFC01D1"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6</w:t>
            </w:r>
          </w:p>
        </w:tc>
        <w:tc>
          <w:tcPr>
            <w:tcW w:w="992" w:type="dxa"/>
            <w:tcBorders>
              <w:top w:val="nil"/>
              <w:left w:val="nil"/>
              <w:bottom w:val="nil"/>
              <w:right w:val="nil"/>
            </w:tcBorders>
            <w:noWrap/>
          </w:tcPr>
          <w:p w14:paraId="0ADE7955"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1015500</w:t>
            </w:r>
          </w:p>
        </w:tc>
        <w:tc>
          <w:tcPr>
            <w:tcW w:w="1418" w:type="dxa"/>
            <w:tcBorders>
              <w:top w:val="nil"/>
              <w:left w:val="nil"/>
              <w:bottom w:val="nil"/>
              <w:right w:val="nil"/>
            </w:tcBorders>
            <w:noWrap/>
          </w:tcPr>
          <w:p w14:paraId="13E17385"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RPL31</w:t>
            </w:r>
          </w:p>
        </w:tc>
        <w:tc>
          <w:tcPr>
            <w:tcW w:w="992" w:type="dxa"/>
            <w:tcBorders>
              <w:top w:val="nil"/>
              <w:left w:val="nil"/>
              <w:bottom w:val="nil"/>
              <w:right w:val="nil"/>
            </w:tcBorders>
            <w:noWrap/>
          </w:tcPr>
          <w:p w14:paraId="4B196D4A"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2</w:t>
            </w:r>
          </w:p>
        </w:tc>
        <w:tc>
          <w:tcPr>
            <w:tcW w:w="1134" w:type="dxa"/>
            <w:tcBorders>
              <w:top w:val="nil"/>
              <w:left w:val="nil"/>
              <w:bottom w:val="nil"/>
              <w:right w:val="nil"/>
            </w:tcBorders>
            <w:noWrap/>
          </w:tcPr>
          <w:p w14:paraId="29827DA9"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201180</w:t>
            </w:r>
          </w:p>
        </w:tc>
      </w:tr>
      <w:tr w:rsidR="00D86489" w14:paraId="233BF453" w14:textId="77777777">
        <w:trPr>
          <w:trHeight w:val="270"/>
          <w:jc w:val="center"/>
        </w:trPr>
        <w:tc>
          <w:tcPr>
            <w:tcW w:w="1526" w:type="dxa"/>
            <w:tcBorders>
              <w:top w:val="nil"/>
              <w:left w:val="nil"/>
              <w:bottom w:val="nil"/>
              <w:right w:val="nil"/>
            </w:tcBorders>
            <w:noWrap/>
          </w:tcPr>
          <w:p w14:paraId="50BEABBB"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RPL18</w:t>
            </w:r>
          </w:p>
        </w:tc>
        <w:tc>
          <w:tcPr>
            <w:tcW w:w="992" w:type="dxa"/>
            <w:tcBorders>
              <w:top w:val="nil"/>
              <w:left w:val="nil"/>
              <w:bottom w:val="nil"/>
              <w:right w:val="nil"/>
            </w:tcBorders>
            <w:noWrap/>
          </w:tcPr>
          <w:p w14:paraId="3DCF0392"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5</w:t>
            </w:r>
          </w:p>
        </w:tc>
        <w:tc>
          <w:tcPr>
            <w:tcW w:w="992" w:type="dxa"/>
            <w:tcBorders>
              <w:top w:val="nil"/>
              <w:left w:val="nil"/>
              <w:bottom w:val="nil"/>
              <w:right w:val="nil"/>
            </w:tcBorders>
            <w:noWrap/>
          </w:tcPr>
          <w:p w14:paraId="49C8BB53"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1799000</w:t>
            </w:r>
          </w:p>
        </w:tc>
        <w:tc>
          <w:tcPr>
            <w:tcW w:w="1418" w:type="dxa"/>
            <w:tcBorders>
              <w:top w:val="nil"/>
              <w:left w:val="nil"/>
              <w:bottom w:val="nil"/>
              <w:right w:val="nil"/>
            </w:tcBorders>
            <w:noWrap/>
          </w:tcPr>
          <w:p w14:paraId="34C73D57"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RPL36A</w:t>
            </w:r>
          </w:p>
        </w:tc>
        <w:tc>
          <w:tcPr>
            <w:tcW w:w="992" w:type="dxa"/>
            <w:tcBorders>
              <w:top w:val="nil"/>
              <w:left w:val="nil"/>
              <w:bottom w:val="nil"/>
              <w:right w:val="nil"/>
            </w:tcBorders>
            <w:noWrap/>
          </w:tcPr>
          <w:p w14:paraId="5A88F271"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2</w:t>
            </w:r>
          </w:p>
        </w:tc>
        <w:tc>
          <w:tcPr>
            <w:tcW w:w="1134" w:type="dxa"/>
            <w:tcBorders>
              <w:top w:val="nil"/>
              <w:left w:val="nil"/>
              <w:bottom w:val="nil"/>
              <w:right w:val="nil"/>
            </w:tcBorders>
            <w:noWrap/>
          </w:tcPr>
          <w:p w14:paraId="52C9CFF6"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340300</w:t>
            </w:r>
          </w:p>
        </w:tc>
      </w:tr>
      <w:tr w:rsidR="00D86489" w14:paraId="67E4EF5F" w14:textId="77777777">
        <w:trPr>
          <w:trHeight w:val="270"/>
          <w:jc w:val="center"/>
        </w:trPr>
        <w:tc>
          <w:tcPr>
            <w:tcW w:w="1526" w:type="dxa"/>
            <w:tcBorders>
              <w:top w:val="nil"/>
              <w:left w:val="nil"/>
              <w:bottom w:val="nil"/>
              <w:right w:val="nil"/>
            </w:tcBorders>
            <w:noWrap/>
          </w:tcPr>
          <w:p w14:paraId="4E18D377"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RPS8</w:t>
            </w:r>
          </w:p>
        </w:tc>
        <w:tc>
          <w:tcPr>
            <w:tcW w:w="992" w:type="dxa"/>
            <w:tcBorders>
              <w:top w:val="nil"/>
              <w:left w:val="nil"/>
              <w:bottom w:val="nil"/>
              <w:right w:val="nil"/>
            </w:tcBorders>
            <w:noWrap/>
          </w:tcPr>
          <w:p w14:paraId="297568BA"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6</w:t>
            </w:r>
          </w:p>
        </w:tc>
        <w:tc>
          <w:tcPr>
            <w:tcW w:w="992" w:type="dxa"/>
            <w:tcBorders>
              <w:top w:val="nil"/>
              <w:left w:val="nil"/>
              <w:bottom w:val="nil"/>
              <w:right w:val="nil"/>
            </w:tcBorders>
            <w:noWrap/>
          </w:tcPr>
          <w:p w14:paraId="183F8203"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985120</w:t>
            </w:r>
          </w:p>
        </w:tc>
        <w:tc>
          <w:tcPr>
            <w:tcW w:w="1418" w:type="dxa"/>
            <w:tcBorders>
              <w:top w:val="nil"/>
              <w:left w:val="nil"/>
              <w:bottom w:val="nil"/>
              <w:right w:val="nil"/>
            </w:tcBorders>
            <w:noWrap/>
          </w:tcPr>
          <w:p w14:paraId="576B69C8"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RPL9</w:t>
            </w:r>
          </w:p>
        </w:tc>
        <w:tc>
          <w:tcPr>
            <w:tcW w:w="992" w:type="dxa"/>
            <w:tcBorders>
              <w:top w:val="nil"/>
              <w:left w:val="nil"/>
              <w:bottom w:val="nil"/>
              <w:right w:val="nil"/>
            </w:tcBorders>
            <w:noWrap/>
          </w:tcPr>
          <w:p w14:paraId="4EC5FC71"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2</w:t>
            </w:r>
          </w:p>
        </w:tc>
        <w:tc>
          <w:tcPr>
            <w:tcW w:w="1134" w:type="dxa"/>
            <w:tcBorders>
              <w:top w:val="nil"/>
              <w:left w:val="nil"/>
              <w:bottom w:val="nil"/>
              <w:right w:val="nil"/>
            </w:tcBorders>
            <w:noWrap/>
          </w:tcPr>
          <w:p w14:paraId="1C724C47"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39075</w:t>
            </w:r>
          </w:p>
        </w:tc>
      </w:tr>
      <w:tr w:rsidR="00D86489" w14:paraId="771B4D10" w14:textId="77777777">
        <w:trPr>
          <w:trHeight w:val="270"/>
          <w:jc w:val="center"/>
        </w:trPr>
        <w:tc>
          <w:tcPr>
            <w:tcW w:w="1526" w:type="dxa"/>
            <w:tcBorders>
              <w:top w:val="nil"/>
              <w:left w:val="nil"/>
              <w:bottom w:val="nil"/>
              <w:right w:val="nil"/>
            </w:tcBorders>
            <w:noWrap/>
          </w:tcPr>
          <w:p w14:paraId="54BFF676"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HSPA8</w:t>
            </w:r>
          </w:p>
        </w:tc>
        <w:tc>
          <w:tcPr>
            <w:tcW w:w="992" w:type="dxa"/>
            <w:tcBorders>
              <w:top w:val="nil"/>
              <w:left w:val="nil"/>
              <w:bottom w:val="nil"/>
              <w:right w:val="nil"/>
            </w:tcBorders>
            <w:noWrap/>
          </w:tcPr>
          <w:p w14:paraId="635EFCBC"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3</w:t>
            </w:r>
          </w:p>
        </w:tc>
        <w:tc>
          <w:tcPr>
            <w:tcW w:w="992" w:type="dxa"/>
            <w:tcBorders>
              <w:top w:val="nil"/>
              <w:left w:val="nil"/>
              <w:bottom w:val="nil"/>
              <w:right w:val="nil"/>
            </w:tcBorders>
            <w:noWrap/>
          </w:tcPr>
          <w:p w14:paraId="4E129967"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34141</w:t>
            </w:r>
          </w:p>
        </w:tc>
        <w:tc>
          <w:tcPr>
            <w:tcW w:w="1418" w:type="dxa"/>
            <w:tcBorders>
              <w:top w:val="nil"/>
              <w:left w:val="nil"/>
              <w:bottom w:val="nil"/>
              <w:right w:val="nil"/>
            </w:tcBorders>
            <w:noWrap/>
          </w:tcPr>
          <w:p w14:paraId="3A93EDD8"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RPS19</w:t>
            </w:r>
          </w:p>
        </w:tc>
        <w:tc>
          <w:tcPr>
            <w:tcW w:w="992" w:type="dxa"/>
            <w:tcBorders>
              <w:top w:val="nil"/>
              <w:left w:val="nil"/>
              <w:bottom w:val="nil"/>
              <w:right w:val="nil"/>
            </w:tcBorders>
            <w:noWrap/>
          </w:tcPr>
          <w:p w14:paraId="581840BF"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2</w:t>
            </w:r>
          </w:p>
        </w:tc>
        <w:tc>
          <w:tcPr>
            <w:tcW w:w="1134" w:type="dxa"/>
            <w:tcBorders>
              <w:top w:val="nil"/>
              <w:left w:val="nil"/>
              <w:bottom w:val="nil"/>
              <w:right w:val="nil"/>
            </w:tcBorders>
            <w:noWrap/>
          </w:tcPr>
          <w:p w14:paraId="3578D1F4"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32975</w:t>
            </w:r>
          </w:p>
        </w:tc>
      </w:tr>
      <w:tr w:rsidR="00D86489" w14:paraId="0D318577" w14:textId="77777777">
        <w:trPr>
          <w:trHeight w:val="270"/>
          <w:jc w:val="center"/>
        </w:trPr>
        <w:tc>
          <w:tcPr>
            <w:tcW w:w="1526" w:type="dxa"/>
            <w:tcBorders>
              <w:top w:val="nil"/>
              <w:left w:val="nil"/>
              <w:bottom w:val="nil"/>
              <w:right w:val="nil"/>
            </w:tcBorders>
            <w:noWrap/>
          </w:tcPr>
          <w:p w14:paraId="6D684D54"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ATP5A1</w:t>
            </w:r>
          </w:p>
        </w:tc>
        <w:tc>
          <w:tcPr>
            <w:tcW w:w="992" w:type="dxa"/>
            <w:tcBorders>
              <w:top w:val="nil"/>
              <w:left w:val="nil"/>
              <w:bottom w:val="nil"/>
              <w:right w:val="nil"/>
            </w:tcBorders>
            <w:noWrap/>
          </w:tcPr>
          <w:p w14:paraId="556B8CB8"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6</w:t>
            </w:r>
          </w:p>
        </w:tc>
        <w:tc>
          <w:tcPr>
            <w:tcW w:w="992" w:type="dxa"/>
            <w:tcBorders>
              <w:top w:val="nil"/>
              <w:left w:val="nil"/>
              <w:bottom w:val="nil"/>
              <w:right w:val="nil"/>
            </w:tcBorders>
            <w:noWrap/>
          </w:tcPr>
          <w:p w14:paraId="1A025CC4"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47159</w:t>
            </w:r>
          </w:p>
        </w:tc>
        <w:tc>
          <w:tcPr>
            <w:tcW w:w="1418" w:type="dxa"/>
            <w:tcBorders>
              <w:top w:val="nil"/>
              <w:left w:val="nil"/>
              <w:bottom w:val="nil"/>
              <w:right w:val="nil"/>
            </w:tcBorders>
            <w:noWrap/>
          </w:tcPr>
          <w:p w14:paraId="67AD9096"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RPS20</w:t>
            </w:r>
          </w:p>
        </w:tc>
        <w:tc>
          <w:tcPr>
            <w:tcW w:w="992" w:type="dxa"/>
            <w:tcBorders>
              <w:top w:val="nil"/>
              <w:left w:val="nil"/>
              <w:bottom w:val="nil"/>
              <w:right w:val="nil"/>
            </w:tcBorders>
            <w:noWrap/>
          </w:tcPr>
          <w:p w14:paraId="0890ABFA"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2</w:t>
            </w:r>
          </w:p>
        </w:tc>
        <w:tc>
          <w:tcPr>
            <w:tcW w:w="1134" w:type="dxa"/>
            <w:tcBorders>
              <w:top w:val="nil"/>
              <w:left w:val="nil"/>
              <w:bottom w:val="nil"/>
              <w:right w:val="nil"/>
            </w:tcBorders>
            <w:noWrap/>
          </w:tcPr>
          <w:p w14:paraId="3122555C"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80242</w:t>
            </w:r>
          </w:p>
        </w:tc>
      </w:tr>
      <w:tr w:rsidR="00D86489" w14:paraId="444B82AC" w14:textId="77777777">
        <w:trPr>
          <w:trHeight w:val="270"/>
          <w:jc w:val="center"/>
        </w:trPr>
        <w:tc>
          <w:tcPr>
            <w:tcW w:w="1526" w:type="dxa"/>
            <w:tcBorders>
              <w:top w:val="nil"/>
              <w:left w:val="nil"/>
              <w:bottom w:val="nil"/>
              <w:right w:val="nil"/>
            </w:tcBorders>
            <w:noWrap/>
          </w:tcPr>
          <w:p w14:paraId="3FD9CDF1"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VIM</w:t>
            </w:r>
          </w:p>
        </w:tc>
        <w:tc>
          <w:tcPr>
            <w:tcW w:w="992" w:type="dxa"/>
            <w:tcBorders>
              <w:top w:val="nil"/>
              <w:left w:val="nil"/>
              <w:bottom w:val="nil"/>
              <w:right w:val="nil"/>
            </w:tcBorders>
            <w:noWrap/>
          </w:tcPr>
          <w:p w14:paraId="21BE7ABB"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17</w:t>
            </w:r>
          </w:p>
        </w:tc>
        <w:tc>
          <w:tcPr>
            <w:tcW w:w="992" w:type="dxa"/>
            <w:tcBorders>
              <w:top w:val="nil"/>
              <w:left w:val="nil"/>
              <w:bottom w:val="nil"/>
              <w:right w:val="nil"/>
            </w:tcBorders>
            <w:noWrap/>
          </w:tcPr>
          <w:p w14:paraId="23772C28"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629400</w:t>
            </w:r>
          </w:p>
        </w:tc>
        <w:tc>
          <w:tcPr>
            <w:tcW w:w="1418" w:type="dxa"/>
            <w:tcBorders>
              <w:top w:val="nil"/>
              <w:left w:val="nil"/>
              <w:bottom w:val="nil"/>
              <w:right w:val="nil"/>
            </w:tcBorders>
            <w:noWrap/>
          </w:tcPr>
          <w:p w14:paraId="2DE5B44D"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RPS27L</w:t>
            </w:r>
          </w:p>
        </w:tc>
        <w:tc>
          <w:tcPr>
            <w:tcW w:w="992" w:type="dxa"/>
            <w:tcBorders>
              <w:top w:val="nil"/>
              <w:left w:val="nil"/>
              <w:bottom w:val="nil"/>
              <w:right w:val="nil"/>
            </w:tcBorders>
            <w:noWrap/>
          </w:tcPr>
          <w:p w14:paraId="6042C989"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2</w:t>
            </w:r>
          </w:p>
        </w:tc>
        <w:tc>
          <w:tcPr>
            <w:tcW w:w="1134" w:type="dxa"/>
            <w:tcBorders>
              <w:top w:val="nil"/>
              <w:left w:val="nil"/>
              <w:bottom w:val="nil"/>
              <w:right w:val="nil"/>
            </w:tcBorders>
            <w:noWrap/>
          </w:tcPr>
          <w:p w14:paraId="7D3A6542"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116180</w:t>
            </w:r>
          </w:p>
        </w:tc>
      </w:tr>
      <w:tr w:rsidR="00D86489" w14:paraId="500FA40B" w14:textId="77777777">
        <w:trPr>
          <w:trHeight w:val="270"/>
          <w:jc w:val="center"/>
        </w:trPr>
        <w:tc>
          <w:tcPr>
            <w:tcW w:w="1526" w:type="dxa"/>
            <w:tcBorders>
              <w:top w:val="nil"/>
              <w:left w:val="nil"/>
              <w:bottom w:val="nil"/>
              <w:right w:val="nil"/>
            </w:tcBorders>
            <w:noWrap/>
          </w:tcPr>
          <w:p w14:paraId="1FE0D754"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RPL15</w:t>
            </w:r>
          </w:p>
        </w:tc>
        <w:tc>
          <w:tcPr>
            <w:tcW w:w="992" w:type="dxa"/>
            <w:tcBorders>
              <w:top w:val="nil"/>
              <w:left w:val="nil"/>
              <w:bottom w:val="nil"/>
              <w:right w:val="nil"/>
            </w:tcBorders>
            <w:noWrap/>
          </w:tcPr>
          <w:p w14:paraId="0FB17900"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8</w:t>
            </w:r>
          </w:p>
        </w:tc>
        <w:tc>
          <w:tcPr>
            <w:tcW w:w="992" w:type="dxa"/>
            <w:tcBorders>
              <w:top w:val="nil"/>
              <w:left w:val="nil"/>
              <w:bottom w:val="nil"/>
              <w:right w:val="nil"/>
            </w:tcBorders>
            <w:noWrap/>
          </w:tcPr>
          <w:p w14:paraId="267BB36B"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1183400</w:t>
            </w:r>
          </w:p>
        </w:tc>
        <w:tc>
          <w:tcPr>
            <w:tcW w:w="1418" w:type="dxa"/>
            <w:tcBorders>
              <w:top w:val="nil"/>
              <w:left w:val="nil"/>
              <w:bottom w:val="nil"/>
              <w:right w:val="nil"/>
            </w:tcBorders>
            <w:noWrap/>
          </w:tcPr>
          <w:p w14:paraId="729ECF1C"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RPS7</w:t>
            </w:r>
          </w:p>
        </w:tc>
        <w:tc>
          <w:tcPr>
            <w:tcW w:w="992" w:type="dxa"/>
            <w:tcBorders>
              <w:top w:val="nil"/>
              <w:left w:val="nil"/>
              <w:bottom w:val="nil"/>
              <w:right w:val="nil"/>
            </w:tcBorders>
            <w:noWrap/>
          </w:tcPr>
          <w:p w14:paraId="517C4AB3"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2</w:t>
            </w:r>
          </w:p>
        </w:tc>
        <w:tc>
          <w:tcPr>
            <w:tcW w:w="1134" w:type="dxa"/>
            <w:tcBorders>
              <w:top w:val="nil"/>
              <w:left w:val="nil"/>
              <w:bottom w:val="nil"/>
              <w:right w:val="nil"/>
            </w:tcBorders>
            <w:noWrap/>
          </w:tcPr>
          <w:p w14:paraId="284A93AA"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62870</w:t>
            </w:r>
          </w:p>
        </w:tc>
      </w:tr>
      <w:tr w:rsidR="00D86489" w14:paraId="46658F5A" w14:textId="77777777">
        <w:trPr>
          <w:trHeight w:val="270"/>
          <w:jc w:val="center"/>
        </w:trPr>
        <w:tc>
          <w:tcPr>
            <w:tcW w:w="1526" w:type="dxa"/>
            <w:tcBorders>
              <w:top w:val="nil"/>
              <w:left w:val="nil"/>
              <w:bottom w:val="nil"/>
              <w:right w:val="nil"/>
            </w:tcBorders>
            <w:noWrap/>
          </w:tcPr>
          <w:p w14:paraId="0315182F"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STAT1</w:t>
            </w:r>
          </w:p>
        </w:tc>
        <w:tc>
          <w:tcPr>
            <w:tcW w:w="992" w:type="dxa"/>
            <w:tcBorders>
              <w:top w:val="nil"/>
              <w:left w:val="nil"/>
              <w:bottom w:val="nil"/>
              <w:right w:val="nil"/>
            </w:tcBorders>
            <w:noWrap/>
          </w:tcPr>
          <w:p w14:paraId="5B4D82E9"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10</w:t>
            </w:r>
          </w:p>
        </w:tc>
        <w:tc>
          <w:tcPr>
            <w:tcW w:w="992" w:type="dxa"/>
            <w:tcBorders>
              <w:top w:val="nil"/>
              <w:left w:val="nil"/>
              <w:bottom w:val="nil"/>
              <w:right w:val="nil"/>
            </w:tcBorders>
            <w:noWrap/>
          </w:tcPr>
          <w:p w14:paraId="47A41B8F"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69164</w:t>
            </w:r>
          </w:p>
        </w:tc>
        <w:tc>
          <w:tcPr>
            <w:tcW w:w="1418" w:type="dxa"/>
            <w:tcBorders>
              <w:top w:val="nil"/>
              <w:left w:val="nil"/>
              <w:bottom w:val="nil"/>
              <w:right w:val="nil"/>
            </w:tcBorders>
            <w:noWrap/>
          </w:tcPr>
          <w:p w14:paraId="7DC2118A"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SAFB</w:t>
            </w:r>
          </w:p>
        </w:tc>
        <w:tc>
          <w:tcPr>
            <w:tcW w:w="992" w:type="dxa"/>
            <w:tcBorders>
              <w:top w:val="nil"/>
              <w:left w:val="nil"/>
              <w:bottom w:val="nil"/>
              <w:right w:val="nil"/>
            </w:tcBorders>
            <w:noWrap/>
          </w:tcPr>
          <w:p w14:paraId="1927DE1C"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2</w:t>
            </w:r>
          </w:p>
        </w:tc>
        <w:tc>
          <w:tcPr>
            <w:tcW w:w="1134" w:type="dxa"/>
            <w:tcBorders>
              <w:top w:val="nil"/>
              <w:left w:val="nil"/>
              <w:bottom w:val="nil"/>
              <w:right w:val="nil"/>
            </w:tcBorders>
            <w:noWrap/>
          </w:tcPr>
          <w:p w14:paraId="29809F21"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20673</w:t>
            </w:r>
          </w:p>
        </w:tc>
      </w:tr>
      <w:tr w:rsidR="00D86489" w14:paraId="62C60B42" w14:textId="77777777">
        <w:trPr>
          <w:trHeight w:val="270"/>
          <w:jc w:val="center"/>
        </w:trPr>
        <w:tc>
          <w:tcPr>
            <w:tcW w:w="1526" w:type="dxa"/>
            <w:tcBorders>
              <w:top w:val="nil"/>
              <w:left w:val="nil"/>
              <w:bottom w:val="nil"/>
              <w:right w:val="nil"/>
            </w:tcBorders>
            <w:noWrap/>
          </w:tcPr>
          <w:p w14:paraId="41394BC8"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RPL3</w:t>
            </w:r>
          </w:p>
        </w:tc>
        <w:tc>
          <w:tcPr>
            <w:tcW w:w="992" w:type="dxa"/>
            <w:tcBorders>
              <w:top w:val="nil"/>
              <w:left w:val="nil"/>
              <w:bottom w:val="nil"/>
              <w:right w:val="nil"/>
            </w:tcBorders>
            <w:noWrap/>
          </w:tcPr>
          <w:p w14:paraId="4E1D1A90"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8</w:t>
            </w:r>
          </w:p>
        </w:tc>
        <w:tc>
          <w:tcPr>
            <w:tcW w:w="992" w:type="dxa"/>
            <w:tcBorders>
              <w:top w:val="nil"/>
              <w:left w:val="nil"/>
              <w:bottom w:val="nil"/>
              <w:right w:val="nil"/>
            </w:tcBorders>
            <w:noWrap/>
          </w:tcPr>
          <w:p w14:paraId="4D90D729"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373790</w:t>
            </w:r>
          </w:p>
        </w:tc>
        <w:tc>
          <w:tcPr>
            <w:tcW w:w="1418" w:type="dxa"/>
            <w:tcBorders>
              <w:top w:val="nil"/>
              <w:left w:val="nil"/>
              <w:bottom w:val="nil"/>
              <w:right w:val="nil"/>
            </w:tcBorders>
            <w:noWrap/>
          </w:tcPr>
          <w:p w14:paraId="489B195C"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SCAF4</w:t>
            </w:r>
          </w:p>
        </w:tc>
        <w:tc>
          <w:tcPr>
            <w:tcW w:w="992" w:type="dxa"/>
            <w:tcBorders>
              <w:top w:val="nil"/>
              <w:left w:val="nil"/>
              <w:bottom w:val="nil"/>
              <w:right w:val="nil"/>
            </w:tcBorders>
            <w:noWrap/>
          </w:tcPr>
          <w:p w14:paraId="0128B39F"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2</w:t>
            </w:r>
          </w:p>
        </w:tc>
        <w:tc>
          <w:tcPr>
            <w:tcW w:w="1134" w:type="dxa"/>
            <w:tcBorders>
              <w:top w:val="nil"/>
              <w:left w:val="nil"/>
              <w:bottom w:val="nil"/>
              <w:right w:val="nil"/>
            </w:tcBorders>
            <w:noWrap/>
          </w:tcPr>
          <w:p w14:paraId="117F7C08"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3061.4</w:t>
            </w:r>
          </w:p>
        </w:tc>
      </w:tr>
      <w:tr w:rsidR="00D86489" w14:paraId="6E0BA62B" w14:textId="77777777">
        <w:trPr>
          <w:trHeight w:val="270"/>
          <w:jc w:val="center"/>
        </w:trPr>
        <w:tc>
          <w:tcPr>
            <w:tcW w:w="1526" w:type="dxa"/>
            <w:tcBorders>
              <w:top w:val="nil"/>
              <w:left w:val="nil"/>
              <w:bottom w:val="nil"/>
              <w:right w:val="nil"/>
            </w:tcBorders>
            <w:noWrap/>
          </w:tcPr>
          <w:p w14:paraId="62AACBD6"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RPL13</w:t>
            </w:r>
          </w:p>
        </w:tc>
        <w:tc>
          <w:tcPr>
            <w:tcW w:w="992" w:type="dxa"/>
            <w:tcBorders>
              <w:top w:val="nil"/>
              <w:left w:val="nil"/>
              <w:bottom w:val="nil"/>
              <w:right w:val="nil"/>
            </w:tcBorders>
            <w:noWrap/>
          </w:tcPr>
          <w:p w14:paraId="4D5AC5A1"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5</w:t>
            </w:r>
          </w:p>
        </w:tc>
        <w:tc>
          <w:tcPr>
            <w:tcW w:w="992" w:type="dxa"/>
            <w:tcBorders>
              <w:top w:val="nil"/>
              <w:left w:val="nil"/>
              <w:bottom w:val="nil"/>
              <w:right w:val="nil"/>
            </w:tcBorders>
            <w:noWrap/>
          </w:tcPr>
          <w:p w14:paraId="2E5C991E"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1483700</w:t>
            </w:r>
          </w:p>
        </w:tc>
        <w:tc>
          <w:tcPr>
            <w:tcW w:w="1418" w:type="dxa"/>
            <w:tcBorders>
              <w:top w:val="nil"/>
              <w:left w:val="nil"/>
              <w:bottom w:val="nil"/>
              <w:right w:val="nil"/>
            </w:tcBorders>
            <w:noWrap/>
          </w:tcPr>
          <w:p w14:paraId="316ACF65"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SERBP1</w:t>
            </w:r>
          </w:p>
        </w:tc>
        <w:tc>
          <w:tcPr>
            <w:tcW w:w="992" w:type="dxa"/>
            <w:tcBorders>
              <w:top w:val="nil"/>
              <w:left w:val="nil"/>
              <w:bottom w:val="nil"/>
              <w:right w:val="nil"/>
            </w:tcBorders>
            <w:noWrap/>
          </w:tcPr>
          <w:p w14:paraId="69A311B5"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2</w:t>
            </w:r>
          </w:p>
        </w:tc>
        <w:tc>
          <w:tcPr>
            <w:tcW w:w="1134" w:type="dxa"/>
            <w:tcBorders>
              <w:top w:val="nil"/>
              <w:left w:val="nil"/>
              <w:bottom w:val="nil"/>
              <w:right w:val="nil"/>
            </w:tcBorders>
            <w:noWrap/>
          </w:tcPr>
          <w:p w14:paraId="2FEB398D"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24924</w:t>
            </w:r>
          </w:p>
        </w:tc>
      </w:tr>
      <w:tr w:rsidR="00D86489" w14:paraId="70F1EAAE" w14:textId="77777777">
        <w:trPr>
          <w:trHeight w:val="270"/>
          <w:jc w:val="center"/>
        </w:trPr>
        <w:tc>
          <w:tcPr>
            <w:tcW w:w="1526" w:type="dxa"/>
            <w:tcBorders>
              <w:top w:val="nil"/>
              <w:left w:val="nil"/>
              <w:bottom w:val="nil"/>
              <w:right w:val="nil"/>
            </w:tcBorders>
            <w:noWrap/>
          </w:tcPr>
          <w:p w14:paraId="4FF2B88E"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HIST1H1E</w:t>
            </w:r>
          </w:p>
        </w:tc>
        <w:tc>
          <w:tcPr>
            <w:tcW w:w="992" w:type="dxa"/>
            <w:tcBorders>
              <w:top w:val="nil"/>
              <w:left w:val="nil"/>
              <w:bottom w:val="nil"/>
              <w:right w:val="nil"/>
            </w:tcBorders>
            <w:noWrap/>
          </w:tcPr>
          <w:p w14:paraId="2D9F0005"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10</w:t>
            </w:r>
          </w:p>
        </w:tc>
        <w:tc>
          <w:tcPr>
            <w:tcW w:w="992" w:type="dxa"/>
            <w:tcBorders>
              <w:top w:val="nil"/>
              <w:left w:val="nil"/>
              <w:bottom w:val="nil"/>
              <w:right w:val="nil"/>
            </w:tcBorders>
            <w:noWrap/>
          </w:tcPr>
          <w:p w14:paraId="47D090E3"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7643800</w:t>
            </w:r>
          </w:p>
        </w:tc>
        <w:tc>
          <w:tcPr>
            <w:tcW w:w="1418" w:type="dxa"/>
            <w:tcBorders>
              <w:top w:val="nil"/>
              <w:left w:val="nil"/>
              <w:bottom w:val="nil"/>
              <w:right w:val="nil"/>
            </w:tcBorders>
            <w:noWrap/>
          </w:tcPr>
          <w:p w14:paraId="275342D6"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SF3A2</w:t>
            </w:r>
          </w:p>
        </w:tc>
        <w:tc>
          <w:tcPr>
            <w:tcW w:w="992" w:type="dxa"/>
            <w:tcBorders>
              <w:top w:val="nil"/>
              <w:left w:val="nil"/>
              <w:bottom w:val="nil"/>
              <w:right w:val="nil"/>
            </w:tcBorders>
            <w:noWrap/>
          </w:tcPr>
          <w:p w14:paraId="4037D493"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2</w:t>
            </w:r>
          </w:p>
        </w:tc>
        <w:tc>
          <w:tcPr>
            <w:tcW w:w="1134" w:type="dxa"/>
            <w:tcBorders>
              <w:top w:val="nil"/>
              <w:left w:val="nil"/>
              <w:bottom w:val="nil"/>
              <w:right w:val="nil"/>
            </w:tcBorders>
            <w:noWrap/>
          </w:tcPr>
          <w:p w14:paraId="38E2D429"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55297</w:t>
            </w:r>
          </w:p>
        </w:tc>
      </w:tr>
      <w:tr w:rsidR="00D86489" w14:paraId="7060D97E" w14:textId="77777777">
        <w:trPr>
          <w:trHeight w:val="270"/>
          <w:jc w:val="center"/>
        </w:trPr>
        <w:tc>
          <w:tcPr>
            <w:tcW w:w="1526" w:type="dxa"/>
            <w:tcBorders>
              <w:top w:val="nil"/>
              <w:left w:val="nil"/>
              <w:bottom w:val="nil"/>
              <w:right w:val="nil"/>
            </w:tcBorders>
            <w:noWrap/>
          </w:tcPr>
          <w:p w14:paraId="0BC5017C"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H1F0</w:t>
            </w:r>
          </w:p>
        </w:tc>
        <w:tc>
          <w:tcPr>
            <w:tcW w:w="992" w:type="dxa"/>
            <w:tcBorders>
              <w:top w:val="nil"/>
              <w:left w:val="nil"/>
              <w:bottom w:val="nil"/>
              <w:right w:val="nil"/>
            </w:tcBorders>
            <w:noWrap/>
          </w:tcPr>
          <w:p w14:paraId="1FD6B7A8"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5</w:t>
            </w:r>
          </w:p>
        </w:tc>
        <w:tc>
          <w:tcPr>
            <w:tcW w:w="992" w:type="dxa"/>
            <w:tcBorders>
              <w:top w:val="nil"/>
              <w:left w:val="nil"/>
              <w:bottom w:val="nil"/>
              <w:right w:val="nil"/>
            </w:tcBorders>
            <w:noWrap/>
          </w:tcPr>
          <w:p w14:paraId="0B50780F"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569210</w:t>
            </w:r>
          </w:p>
        </w:tc>
        <w:tc>
          <w:tcPr>
            <w:tcW w:w="1418" w:type="dxa"/>
            <w:tcBorders>
              <w:top w:val="nil"/>
              <w:left w:val="nil"/>
              <w:bottom w:val="nil"/>
              <w:right w:val="nil"/>
            </w:tcBorders>
            <w:noWrap/>
          </w:tcPr>
          <w:p w14:paraId="291A8AA1"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SLC25A3</w:t>
            </w:r>
          </w:p>
        </w:tc>
        <w:tc>
          <w:tcPr>
            <w:tcW w:w="992" w:type="dxa"/>
            <w:tcBorders>
              <w:top w:val="nil"/>
              <w:left w:val="nil"/>
              <w:bottom w:val="nil"/>
              <w:right w:val="nil"/>
            </w:tcBorders>
            <w:noWrap/>
          </w:tcPr>
          <w:p w14:paraId="7A44F849"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2</w:t>
            </w:r>
          </w:p>
        </w:tc>
        <w:tc>
          <w:tcPr>
            <w:tcW w:w="1134" w:type="dxa"/>
            <w:tcBorders>
              <w:top w:val="nil"/>
              <w:left w:val="nil"/>
              <w:bottom w:val="nil"/>
              <w:right w:val="nil"/>
            </w:tcBorders>
            <w:noWrap/>
          </w:tcPr>
          <w:p w14:paraId="42F5F265"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228090</w:t>
            </w:r>
          </w:p>
        </w:tc>
      </w:tr>
      <w:tr w:rsidR="00D86489" w14:paraId="005F85F2" w14:textId="77777777">
        <w:trPr>
          <w:trHeight w:val="270"/>
          <w:jc w:val="center"/>
        </w:trPr>
        <w:tc>
          <w:tcPr>
            <w:tcW w:w="1526" w:type="dxa"/>
            <w:tcBorders>
              <w:top w:val="nil"/>
              <w:left w:val="nil"/>
              <w:bottom w:val="nil"/>
              <w:right w:val="nil"/>
            </w:tcBorders>
            <w:noWrap/>
          </w:tcPr>
          <w:p w14:paraId="4E849795"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SRSF6</w:t>
            </w:r>
          </w:p>
        </w:tc>
        <w:tc>
          <w:tcPr>
            <w:tcW w:w="992" w:type="dxa"/>
            <w:tcBorders>
              <w:top w:val="nil"/>
              <w:left w:val="nil"/>
              <w:bottom w:val="nil"/>
              <w:right w:val="nil"/>
            </w:tcBorders>
            <w:noWrap/>
          </w:tcPr>
          <w:p w14:paraId="4FB7FCAE"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3</w:t>
            </w:r>
          </w:p>
        </w:tc>
        <w:tc>
          <w:tcPr>
            <w:tcW w:w="992" w:type="dxa"/>
            <w:tcBorders>
              <w:top w:val="nil"/>
              <w:left w:val="nil"/>
              <w:bottom w:val="nil"/>
              <w:right w:val="nil"/>
            </w:tcBorders>
            <w:noWrap/>
          </w:tcPr>
          <w:p w14:paraId="606578F9"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618390</w:t>
            </w:r>
          </w:p>
        </w:tc>
        <w:tc>
          <w:tcPr>
            <w:tcW w:w="1418" w:type="dxa"/>
            <w:tcBorders>
              <w:top w:val="nil"/>
              <w:left w:val="nil"/>
              <w:bottom w:val="nil"/>
              <w:right w:val="nil"/>
            </w:tcBorders>
            <w:noWrap/>
          </w:tcPr>
          <w:p w14:paraId="2FDED986"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STT3B</w:t>
            </w:r>
          </w:p>
        </w:tc>
        <w:tc>
          <w:tcPr>
            <w:tcW w:w="992" w:type="dxa"/>
            <w:tcBorders>
              <w:top w:val="nil"/>
              <w:left w:val="nil"/>
              <w:bottom w:val="nil"/>
              <w:right w:val="nil"/>
            </w:tcBorders>
            <w:noWrap/>
          </w:tcPr>
          <w:p w14:paraId="134BC731"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2</w:t>
            </w:r>
          </w:p>
        </w:tc>
        <w:tc>
          <w:tcPr>
            <w:tcW w:w="1134" w:type="dxa"/>
            <w:tcBorders>
              <w:top w:val="nil"/>
              <w:left w:val="nil"/>
              <w:bottom w:val="nil"/>
              <w:right w:val="nil"/>
            </w:tcBorders>
            <w:noWrap/>
          </w:tcPr>
          <w:p w14:paraId="5D2570A6"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3593.2</w:t>
            </w:r>
          </w:p>
        </w:tc>
      </w:tr>
      <w:tr w:rsidR="00D86489" w14:paraId="135E6EC3" w14:textId="77777777">
        <w:trPr>
          <w:trHeight w:val="270"/>
          <w:jc w:val="center"/>
        </w:trPr>
        <w:tc>
          <w:tcPr>
            <w:tcW w:w="1526" w:type="dxa"/>
            <w:tcBorders>
              <w:top w:val="nil"/>
              <w:left w:val="nil"/>
              <w:bottom w:val="nil"/>
              <w:right w:val="nil"/>
            </w:tcBorders>
            <w:noWrap/>
          </w:tcPr>
          <w:p w14:paraId="6BA24F22"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ACIN1</w:t>
            </w:r>
          </w:p>
        </w:tc>
        <w:tc>
          <w:tcPr>
            <w:tcW w:w="992" w:type="dxa"/>
            <w:tcBorders>
              <w:top w:val="nil"/>
              <w:left w:val="nil"/>
              <w:bottom w:val="nil"/>
              <w:right w:val="nil"/>
            </w:tcBorders>
            <w:noWrap/>
          </w:tcPr>
          <w:p w14:paraId="4CC2AA5D"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3</w:t>
            </w:r>
          </w:p>
        </w:tc>
        <w:tc>
          <w:tcPr>
            <w:tcW w:w="992" w:type="dxa"/>
            <w:tcBorders>
              <w:top w:val="nil"/>
              <w:left w:val="nil"/>
              <w:bottom w:val="nil"/>
              <w:right w:val="nil"/>
            </w:tcBorders>
            <w:noWrap/>
          </w:tcPr>
          <w:p w14:paraId="630E7FEF"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18395</w:t>
            </w:r>
          </w:p>
        </w:tc>
        <w:tc>
          <w:tcPr>
            <w:tcW w:w="1418" w:type="dxa"/>
            <w:tcBorders>
              <w:top w:val="nil"/>
              <w:left w:val="nil"/>
              <w:bottom w:val="nil"/>
              <w:right w:val="nil"/>
            </w:tcBorders>
            <w:noWrap/>
          </w:tcPr>
          <w:p w14:paraId="3E4EDEF9"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TARDBP</w:t>
            </w:r>
          </w:p>
        </w:tc>
        <w:tc>
          <w:tcPr>
            <w:tcW w:w="992" w:type="dxa"/>
            <w:tcBorders>
              <w:top w:val="nil"/>
              <w:left w:val="nil"/>
              <w:bottom w:val="nil"/>
              <w:right w:val="nil"/>
            </w:tcBorders>
            <w:noWrap/>
          </w:tcPr>
          <w:p w14:paraId="72CCC68D"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2</w:t>
            </w:r>
          </w:p>
        </w:tc>
        <w:tc>
          <w:tcPr>
            <w:tcW w:w="1134" w:type="dxa"/>
            <w:tcBorders>
              <w:top w:val="nil"/>
              <w:left w:val="nil"/>
              <w:bottom w:val="nil"/>
              <w:right w:val="nil"/>
            </w:tcBorders>
            <w:noWrap/>
          </w:tcPr>
          <w:p w14:paraId="34EA1618"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51865</w:t>
            </w:r>
          </w:p>
        </w:tc>
      </w:tr>
      <w:tr w:rsidR="00D86489" w14:paraId="3A7353FC" w14:textId="77777777">
        <w:trPr>
          <w:trHeight w:val="270"/>
          <w:jc w:val="center"/>
        </w:trPr>
        <w:tc>
          <w:tcPr>
            <w:tcW w:w="1526" w:type="dxa"/>
            <w:tcBorders>
              <w:top w:val="nil"/>
              <w:left w:val="nil"/>
              <w:bottom w:val="nil"/>
              <w:right w:val="nil"/>
            </w:tcBorders>
            <w:noWrap/>
          </w:tcPr>
          <w:p w14:paraId="28CBF2BA"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AEBP1</w:t>
            </w:r>
          </w:p>
        </w:tc>
        <w:tc>
          <w:tcPr>
            <w:tcW w:w="992" w:type="dxa"/>
            <w:tcBorders>
              <w:top w:val="nil"/>
              <w:left w:val="nil"/>
              <w:bottom w:val="nil"/>
              <w:right w:val="nil"/>
            </w:tcBorders>
            <w:noWrap/>
          </w:tcPr>
          <w:p w14:paraId="332B92C7"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3</w:t>
            </w:r>
          </w:p>
        </w:tc>
        <w:tc>
          <w:tcPr>
            <w:tcW w:w="992" w:type="dxa"/>
            <w:tcBorders>
              <w:top w:val="nil"/>
              <w:left w:val="nil"/>
              <w:bottom w:val="nil"/>
              <w:right w:val="nil"/>
            </w:tcBorders>
            <w:noWrap/>
          </w:tcPr>
          <w:p w14:paraId="29AAA187"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13788</w:t>
            </w:r>
          </w:p>
        </w:tc>
        <w:tc>
          <w:tcPr>
            <w:tcW w:w="1418" w:type="dxa"/>
            <w:tcBorders>
              <w:top w:val="nil"/>
              <w:left w:val="nil"/>
              <w:bottom w:val="nil"/>
              <w:right w:val="nil"/>
            </w:tcBorders>
            <w:noWrap/>
          </w:tcPr>
          <w:p w14:paraId="12038B97"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TRIM28</w:t>
            </w:r>
          </w:p>
        </w:tc>
        <w:tc>
          <w:tcPr>
            <w:tcW w:w="992" w:type="dxa"/>
            <w:tcBorders>
              <w:top w:val="nil"/>
              <w:left w:val="nil"/>
              <w:bottom w:val="nil"/>
              <w:right w:val="nil"/>
            </w:tcBorders>
            <w:noWrap/>
          </w:tcPr>
          <w:p w14:paraId="2D0EE7A3"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2</w:t>
            </w:r>
          </w:p>
        </w:tc>
        <w:tc>
          <w:tcPr>
            <w:tcW w:w="1134" w:type="dxa"/>
            <w:tcBorders>
              <w:top w:val="nil"/>
              <w:left w:val="nil"/>
              <w:bottom w:val="nil"/>
              <w:right w:val="nil"/>
            </w:tcBorders>
            <w:noWrap/>
          </w:tcPr>
          <w:p w14:paraId="2FD93281"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22597</w:t>
            </w:r>
          </w:p>
        </w:tc>
      </w:tr>
      <w:tr w:rsidR="00D86489" w14:paraId="037E30B4" w14:textId="77777777">
        <w:trPr>
          <w:trHeight w:val="270"/>
          <w:jc w:val="center"/>
        </w:trPr>
        <w:tc>
          <w:tcPr>
            <w:tcW w:w="1526" w:type="dxa"/>
            <w:tcBorders>
              <w:top w:val="nil"/>
              <w:left w:val="nil"/>
              <w:bottom w:val="nil"/>
              <w:right w:val="nil"/>
            </w:tcBorders>
            <w:noWrap/>
          </w:tcPr>
          <w:p w14:paraId="7569AB35"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ARHGEF2</w:t>
            </w:r>
          </w:p>
        </w:tc>
        <w:tc>
          <w:tcPr>
            <w:tcW w:w="992" w:type="dxa"/>
            <w:tcBorders>
              <w:top w:val="nil"/>
              <w:left w:val="nil"/>
              <w:bottom w:val="nil"/>
              <w:right w:val="nil"/>
            </w:tcBorders>
            <w:noWrap/>
          </w:tcPr>
          <w:p w14:paraId="71DA0716"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3</w:t>
            </w:r>
          </w:p>
        </w:tc>
        <w:tc>
          <w:tcPr>
            <w:tcW w:w="992" w:type="dxa"/>
            <w:tcBorders>
              <w:top w:val="nil"/>
              <w:left w:val="nil"/>
              <w:bottom w:val="nil"/>
              <w:right w:val="nil"/>
            </w:tcBorders>
            <w:noWrap/>
          </w:tcPr>
          <w:p w14:paraId="544EDA7E"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5777.4</w:t>
            </w:r>
          </w:p>
        </w:tc>
        <w:tc>
          <w:tcPr>
            <w:tcW w:w="1418" w:type="dxa"/>
            <w:tcBorders>
              <w:top w:val="nil"/>
              <w:left w:val="nil"/>
              <w:bottom w:val="nil"/>
              <w:right w:val="nil"/>
            </w:tcBorders>
            <w:noWrap/>
          </w:tcPr>
          <w:p w14:paraId="7020E538"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U2AF1L5</w:t>
            </w:r>
          </w:p>
        </w:tc>
        <w:tc>
          <w:tcPr>
            <w:tcW w:w="992" w:type="dxa"/>
            <w:tcBorders>
              <w:top w:val="nil"/>
              <w:left w:val="nil"/>
              <w:bottom w:val="nil"/>
              <w:right w:val="nil"/>
            </w:tcBorders>
            <w:noWrap/>
          </w:tcPr>
          <w:p w14:paraId="39068031"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2</w:t>
            </w:r>
          </w:p>
        </w:tc>
        <w:tc>
          <w:tcPr>
            <w:tcW w:w="1134" w:type="dxa"/>
            <w:tcBorders>
              <w:top w:val="nil"/>
              <w:left w:val="nil"/>
              <w:bottom w:val="nil"/>
              <w:right w:val="nil"/>
            </w:tcBorders>
            <w:noWrap/>
          </w:tcPr>
          <w:p w14:paraId="4970B28A"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98860</w:t>
            </w:r>
          </w:p>
        </w:tc>
      </w:tr>
      <w:tr w:rsidR="00D86489" w14:paraId="762BA223" w14:textId="77777777">
        <w:trPr>
          <w:trHeight w:val="270"/>
          <w:jc w:val="center"/>
        </w:trPr>
        <w:tc>
          <w:tcPr>
            <w:tcW w:w="1526" w:type="dxa"/>
            <w:tcBorders>
              <w:top w:val="nil"/>
              <w:left w:val="nil"/>
              <w:bottom w:val="nil"/>
              <w:right w:val="nil"/>
            </w:tcBorders>
            <w:noWrap/>
          </w:tcPr>
          <w:p w14:paraId="1B1F1154"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CDC5L</w:t>
            </w:r>
          </w:p>
        </w:tc>
        <w:tc>
          <w:tcPr>
            <w:tcW w:w="992" w:type="dxa"/>
            <w:tcBorders>
              <w:top w:val="nil"/>
              <w:left w:val="nil"/>
              <w:bottom w:val="nil"/>
              <w:right w:val="nil"/>
            </w:tcBorders>
            <w:noWrap/>
          </w:tcPr>
          <w:p w14:paraId="11E8963D"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3</w:t>
            </w:r>
          </w:p>
        </w:tc>
        <w:tc>
          <w:tcPr>
            <w:tcW w:w="992" w:type="dxa"/>
            <w:tcBorders>
              <w:top w:val="nil"/>
              <w:left w:val="nil"/>
              <w:bottom w:val="nil"/>
              <w:right w:val="nil"/>
            </w:tcBorders>
            <w:noWrap/>
          </w:tcPr>
          <w:p w14:paraId="22D86A05"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11795</w:t>
            </w:r>
          </w:p>
        </w:tc>
        <w:tc>
          <w:tcPr>
            <w:tcW w:w="1418" w:type="dxa"/>
            <w:tcBorders>
              <w:top w:val="nil"/>
              <w:left w:val="nil"/>
              <w:bottom w:val="nil"/>
              <w:right w:val="nil"/>
            </w:tcBorders>
            <w:noWrap/>
          </w:tcPr>
          <w:p w14:paraId="6367FCB5"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UPF1</w:t>
            </w:r>
          </w:p>
        </w:tc>
        <w:tc>
          <w:tcPr>
            <w:tcW w:w="992" w:type="dxa"/>
            <w:tcBorders>
              <w:top w:val="nil"/>
              <w:left w:val="nil"/>
              <w:bottom w:val="nil"/>
              <w:right w:val="nil"/>
            </w:tcBorders>
            <w:noWrap/>
          </w:tcPr>
          <w:p w14:paraId="2756A31E"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2</w:t>
            </w:r>
          </w:p>
        </w:tc>
        <w:tc>
          <w:tcPr>
            <w:tcW w:w="1134" w:type="dxa"/>
            <w:tcBorders>
              <w:top w:val="nil"/>
              <w:left w:val="nil"/>
              <w:bottom w:val="nil"/>
              <w:right w:val="nil"/>
            </w:tcBorders>
            <w:noWrap/>
          </w:tcPr>
          <w:p w14:paraId="41BC76F0"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7050</w:t>
            </w:r>
          </w:p>
        </w:tc>
      </w:tr>
      <w:tr w:rsidR="00D86489" w14:paraId="394DAD0D" w14:textId="77777777">
        <w:trPr>
          <w:trHeight w:val="270"/>
          <w:jc w:val="center"/>
        </w:trPr>
        <w:tc>
          <w:tcPr>
            <w:tcW w:w="1526" w:type="dxa"/>
            <w:tcBorders>
              <w:top w:val="nil"/>
              <w:left w:val="nil"/>
              <w:bottom w:val="single" w:sz="4" w:space="0" w:color="auto"/>
              <w:right w:val="nil"/>
            </w:tcBorders>
            <w:noWrap/>
          </w:tcPr>
          <w:p w14:paraId="02F80777"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CHERP</w:t>
            </w:r>
          </w:p>
        </w:tc>
        <w:tc>
          <w:tcPr>
            <w:tcW w:w="992" w:type="dxa"/>
            <w:tcBorders>
              <w:top w:val="nil"/>
              <w:left w:val="nil"/>
              <w:bottom w:val="single" w:sz="4" w:space="0" w:color="auto"/>
              <w:right w:val="nil"/>
            </w:tcBorders>
            <w:noWrap/>
          </w:tcPr>
          <w:p w14:paraId="0042FF54"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3</w:t>
            </w:r>
          </w:p>
        </w:tc>
        <w:tc>
          <w:tcPr>
            <w:tcW w:w="992" w:type="dxa"/>
            <w:tcBorders>
              <w:top w:val="nil"/>
              <w:left w:val="nil"/>
              <w:bottom w:val="single" w:sz="4" w:space="0" w:color="auto"/>
              <w:right w:val="nil"/>
            </w:tcBorders>
            <w:noWrap/>
          </w:tcPr>
          <w:p w14:paraId="2549FB9B"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25735</w:t>
            </w:r>
          </w:p>
        </w:tc>
        <w:tc>
          <w:tcPr>
            <w:tcW w:w="1418" w:type="dxa"/>
            <w:tcBorders>
              <w:top w:val="nil"/>
              <w:left w:val="nil"/>
              <w:bottom w:val="single" w:sz="4" w:space="0" w:color="auto"/>
              <w:right w:val="nil"/>
            </w:tcBorders>
            <w:noWrap/>
          </w:tcPr>
          <w:p w14:paraId="22463BBA"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WDR33</w:t>
            </w:r>
          </w:p>
        </w:tc>
        <w:tc>
          <w:tcPr>
            <w:tcW w:w="992" w:type="dxa"/>
            <w:tcBorders>
              <w:top w:val="nil"/>
              <w:left w:val="nil"/>
              <w:bottom w:val="single" w:sz="4" w:space="0" w:color="auto"/>
              <w:right w:val="nil"/>
            </w:tcBorders>
            <w:noWrap/>
          </w:tcPr>
          <w:p w14:paraId="7B6E10A7"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2</w:t>
            </w:r>
          </w:p>
        </w:tc>
        <w:tc>
          <w:tcPr>
            <w:tcW w:w="1134" w:type="dxa"/>
            <w:tcBorders>
              <w:top w:val="nil"/>
              <w:left w:val="nil"/>
              <w:bottom w:val="single" w:sz="4" w:space="0" w:color="auto"/>
              <w:right w:val="nil"/>
            </w:tcBorders>
            <w:noWrap/>
          </w:tcPr>
          <w:p w14:paraId="4881DED0" w14:textId="77777777" w:rsidR="00D86489" w:rsidRDefault="00B22FD0">
            <w:pPr>
              <w:tabs>
                <w:tab w:val="left" w:pos="6361"/>
              </w:tabs>
              <w:rPr>
                <w:rFonts w:ascii="Times New Roman" w:hAnsi="Times New Roman"/>
                <w:kern w:val="0"/>
                <w:szCs w:val="21"/>
              </w:rPr>
            </w:pPr>
            <w:r>
              <w:rPr>
                <w:rFonts w:ascii="Times New Roman" w:hAnsi="Times New Roman"/>
                <w:kern w:val="0"/>
                <w:szCs w:val="21"/>
              </w:rPr>
              <w:t>23457</w:t>
            </w:r>
          </w:p>
        </w:tc>
      </w:tr>
    </w:tbl>
    <w:p w14:paraId="31AD8769" w14:textId="77777777" w:rsidR="00447CCB" w:rsidRDefault="00447CCB">
      <w:pPr>
        <w:tabs>
          <w:tab w:val="left" w:pos="6361"/>
        </w:tabs>
        <w:rPr>
          <w:rFonts w:ascii="Times New Roman" w:hAnsi="Times New Roman"/>
          <w:b/>
          <w:color w:val="222222"/>
          <w:spacing w:val="3"/>
          <w:shd w:val="clear" w:color="auto" w:fill="FFFFFF"/>
        </w:rPr>
      </w:pPr>
    </w:p>
    <w:p w14:paraId="69309119" w14:textId="77777777" w:rsidR="00447CCB" w:rsidRDefault="00447CCB">
      <w:pPr>
        <w:tabs>
          <w:tab w:val="left" w:pos="6361"/>
        </w:tabs>
        <w:rPr>
          <w:rFonts w:ascii="Times New Roman" w:hAnsi="Times New Roman"/>
          <w:b/>
          <w:color w:val="222222"/>
          <w:spacing w:val="3"/>
          <w:shd w:val="clear" w:color="auto" w:fill="FFFFFF"/>
        </w:rPr>
      </w:pPr>
    </w:p>
    <w:p w14:paraId="073B50A4" w14:textId="77777777" w:rsidR="00447CCB" w:rsidRDefault="00447CCB">
      <w:pPr>
        <w:tabs>
          <w:tab w:val="left" w:pos="6361"/>
        </w:tabs>
        <w:rPr>
          <w:rFonts w:ascii="Times New Roman" w:hAnsi="Times New Roman"/>
          <w:b/>
          <w:color w:val="222222"/>
          <w:spacing w:val="3"/>
          <w:shd w:val="clear" w:color="auto" w:fill="FFFFFF"/>
        </w:rPr>
      </w:pPr>
    </w:p>
    <w:p w14:paraId="09914DEB" w14:textId="77777777" w:rsidR="00447CCB" w:rsidRDefault="00447CCB">
      <w:pPr>
        <w:tabs>
          <w:tab w:val="left" w:pos="6361"/>
        </w:tabs>
        <w:rPr>
          <w:rFonts w:ascii="Times New Roman" w:hAnsi="Times New Roman"/>
          <w:b/>
          <w:color w:val="222222"/>
          <w:spacing w:val="3"/>
          <w:shd w:val="clear" w:color="auto" w:fill="FFFFFF"/>
        </w:rPr>
      </w:pPr>
    </w:p>
    <w:p w14:paraId="2666D58A" w14:textId="77777777" w:rsidR="00447CCB" w:rsidRDefault="00447CCB">
      <w:pPr>
        <w:tabs>
          <w:tab w:val="left" w:pos="6361"/>
        </w:tabs>
        <w:rPr>
          <w:rFonts w:ascii="Times New Roman" w:hAnsi="Times New Roman"/>
          <w:b/>
          <w:color w:val="222222"/>
          <w:spacing w:val="3"/>
          <w:shd w:val="clear" w:color="auto" w:fill="FFFFFF"/>
        </w:rPr>
      </w:pPr>
    </w:p>
    <w:p w14:paraId="521AC634" w14:textId="77777777" w:rsidR="00447CCB" w:rsidRDefault="00447CCB">
      <w:pPr>
        <w:tabs>
          <w:tab w:val="left" w:pos="6361"/>
        </w:tabs>
        <w:rPr>
          <w:rFonts w:ascii="Times New Roman" w:hAnsi="Times New Roman"/>
          <w:b/>
          <w:color w:val="222222"/>
          <w:spacing w:val="3"/>
          <w:shd w:val="clear" w:color="auto" w:fill="FFFFFF"/>
        </w:rPr>
      </w:pPr>
    </w:p>
    <w:p w14:paraId="6832A622" w14:textId="77777777" w:rsidR="00447CCB" w:rsidRDefault="00447CCB">
      <w:pPr>
        <w:tabs>
          <w:tab w:val="left" w:pos="6361"/>
        </w:tabs>
        <w:rPr>
          <w:rFonts w:ascii="Times New Roman" w:hAnsi="Times New Roman"/>
          <w:b/>
          <w:color w:val="222222"/>
          <w:spacing w:val="3"/>
          <w:shd w:val="clear" w:color="auto" w:fill="FFFFFF"/>
        </w:rPr>
      </w:pPr>
    </w:p>
    <w:p w14:paraId="7A1C601B" w14:textId="77777777" w:rsidR="00447CCB" w:rsidRDefault="00447CCB">
      <w:pPr>
        <w:tabs>
          <w:tab w:val="left" w:pos="6361"/>
        </w:tabs>
        <w:rPr>
          <w:rFonts w:ascii="Times New Roman" w:hAnsi="Times New Roman"/>
          <w:b/>
          <w:color w:val="222222"/>
          <w:spacing w:val="3"/>
          <w:shd w:val="clear" w:color="auto" w:fill="FFFFFF"/>
        </w:rPr>
      </w:pPr>
    </w:p>
    <w:p w14:paraId="2D9FF262" w14:textId="77777777" w:rsidR="00447CCB" w:rsidRDefault="00447CCB">
      <w:pPr>
        <w:tabs>
          <w:tab w:val="left" w:pos="6361"/>
        </w:tabs>
        <w:rPr>
          <w:rFonts w:ascii="Times New Roman" w:hAnsi="Times New Roman"/>
          <w:b/>
          <w:color w:val="222222"/>
          <w:spacing w:val="3"/>
          <w:shd w:val="clear" w:color="auto" w:fill="FFFFFF"/>
        </w:rPr>
      </w:pPr>
    </w:p>
    <w:p w14:paraId="6C2255C4" w14:textId="77777777" w:rsidR="00447CCB" w:rsidRDefault="00447CCB">
      <w:pPr>
        <w:tabs>
          <w:tab w:val="left" w:pos="6361"/>
        </w:tabs>
        <w:rPr>
          <w:rFonts w:ascii="Times New Roman" w:hAnsi="Times New Roman"/>
          <w:b/>
          <w:color w:val="222222"/>
          <w:spacing w:val="3"/>
          <w:shd w:val="clear" w:color="auto" w:fill="FFFFFF"/>
        </w:rPr>
      </w:pPr>
    </w:p>
    <w:p w14:paraId="7C413AEF" w14:textId="77777777" w:rsidR="00447CCB" w:rsidRDefault="00447CCB">
      <w:pPr>
        <w:tabs>
          <w:tab w:val="left" w:pos="6361"/>
        </w:tabs>
        <w:rPr>
          <w:rFonts w:ascii="Times New Roman" w:hAnsi="Times New Roman"/>
          <w:b/>
          <w:color w:val="222222"/>
          <w:spacing w:val="3"/>
          <w:shd w:val="clear" w:color="auto" w:fill="FFFFFF"/>
        </w:rPr>
      </w:pPr>
    </w:p>
    <w:p w14:paraId="6D7ED10B" w14:textId="77777777" w:rsidR="00447CCB" w:rsidRDefault="00447CCB">
      <w:pPr>
        <w:tabs>
          <w:tab w:val="left" w:pos="6361"/>
        </w:tabs>
        <w:rPr>
          <w:rFonts w:ascii="Times New Roman" w:hAnsi="Times New Roman"/>
          <w:b/>
          <w:color w:val="222222"/>
          <w:spacing w:val="3"/>
          <w:shd w:val="clear" w:color="auto" w:fill="FFFFFF"/>
        </w:rPr>
      </w:pPr>
    </w:p>
    <w:p w14:paraId="35267454" w14:textId="77777777" w:rsidR="00447CCB" w:rsidRDefault="00447CCB">
      <w:pPr>
        <w:tabs>
          <w:tab w:val="left" w:pos="6361"/>
        </w:tabs>
        <w:rPr>
          <w:rFonts w:ascii="Times New Roman" w:hAnsi="Times New Roman"/>
          <w:b/>
          <w:color w:val="222222"/>
          <w:spacing w:val="3"/>
          <w:shd w:val="clear" w:color="auto" w:fill="FFFFFF"/>
        </w:rPr>
      </w:pPr>
    </w:p>
    <w:p w14:paraId="1F49928F" w14:textId="77777777" w:rsidR="00447CCB" w:rsidRDefault="00447CCB">
      <w:pPr>
        <w:tabs>
          <w:tab w:val="left" w:pos="6361"/>
        </w:tabs>
        <w:rPr>
          <w:rFonts w:ascii="Times New Roman" w:hAnsi="Times New Roman"/>
          <w:b/>
          <w:color w:val="222222"/>
          <w:spacing w:val="3"/>
          <w:shd w:val="clear" w:color="auto" w:fill="FFFFFF"/>
        </w:rPr>
      </w:pPr>
    </w:p>
    <w:p w14:paraId="64883BD5" w14:textId="77777777" w:rsidR="00447CCB" w:rsidRDefault="00447CCB">
      <w:pPr>
        <w:tabs>
          <w:tab w:val="left" w:pos="6361"/>
        </w:tabs>
        <w:rPr>
          <w:rFonts w:ascii="Times New Roman" w:hAnsi="Times New Roman"/>
          <w:b/>
          <w:color w:val="222222"/>
          <w:spacing w:val="3"/>
          <w:shd w:val="clear" w:color="auto" w:fill="FFFFFF"/>
        </w:rPr>
      </w:pPr>
    </w:p>
    <w:p w14:paraId="596C49F2" w14:textId="77777777" w:rsidR="00447CCB" w:rsidRDefault="00447CCB">
      <w:pPr>
        <w:tabs>
          <w:tab w:val="left" w:pos="6361"/>
        </w:tabs>
        <w:rPr>
          <w:rFonts w:ascii="Times New Roman" w:hAnsi="Times New Roman"/>
          <w:b/>
          <w:color w:val="222222"/>
          <w:spacing w:val="3"/>
          <w:shd w:val="clear" w:color="auto" w:fill="FFFFFF"/>
        </w:rPr>
      </w:pPr>
    </w:p>
    <w:p w14:paraId="2A5DB483" w14:textId="77777777" w:rsidR="00447CCB" w:rsidRDefault="00447CCB">
      <w:pPr>
        <w:tabs>
          <w:tab w:val="left" w:pos="6361"/>
        </w:tabs>
        <w:rPr>
          <w:rFonts w:ascii="Times New Roman" w:hAnsi="Times New Roman"/>
          <w:b/>
          <w:color w:val="222222"/>
          <w:spacing w:val="3"/>
          <w:shd w:val="clear" w:color="auto" w:fill="FFFFFF"/>
        </w:rPr>
      </w:pPr>
    </w:p>
    <w:p w14:paraId="67E2D922" w14:textId="77777777" w:rsidR="00447CCB" w:rsidRDefault="00447CCB">
      <w:pPr>
        <w:tabs>
          <w:tab w:val="left" w:pos="6361"/>
        </w:tabs>
        <w:rPr>
          <w:rFonts w:ascii="Times New Roman" w:hAnsi="Times New Roman"/>
          <w:b/>
          <w:color w:val="222222"/>
          <w:spacing w:val="3"/>
          <w:shd w:val="clear" w:color="auto" w:fill="FFFFFF"/>
        </w:rPr>
      </w:pPr>
    </w:p>
    <w:p w14:paraId="04B0DB80" w14:textId="77777777" w:rsidR="00447CCB" w:rsidRDefault="00447CCB">
      <w:pPr>
        <w:tabs>
          <w:tab w:val="left" w:pos="6361"/>
        </w:tabs>
        <w:rPr>
          <w:rFonts w:ascii="Times New Roman" w:hAnsi="Times New Roman"/>
          <w:b/>
          <w:color w:val="222222"/>
          <w:spacing w:val="3"/>
          <w:shd w:val="clear" w:color="auto" w:fill="FFFFFF"/>
        </w:rPr>
      </w:pPr>
    </w:p>
    <w:p w14:paraId="0FE1716E" w14:textId="77777777" w:rsidR="00447CCB" w:rsidRDefault="00447CCB">
      <w:pPr>
        <w:tabs>
          <w:tab w:val="left" w:pos="6361"/>
        </w:tabs>
        <w:rPr>
          <w:rFonts w:ascii="Times New Roman" w:hAnsi="Times New Roman"/>
          <w:b/>
          <w:color w:val="222222"/>
          <w:spacing w:val="3"/>
          <w:shd w:val="clear" w:color="auto" w:fill="FFFFFF"/>
        </w:rPr>
      </w:pPr>
    </w:p>
    <w:p w14:paraId="56C937B7" w14:textId="77777777" w:rsidR="00447CCB" w:rsidRDefault="00447CCB">
      <w:pPr>
        <w:tabs>
          <w:tab w:val="left" w:pos="6361"/>
        </w:tabs>
        <w:rPr>
          <w:rFonts w:ascii="Times New Roman" w:hAnsi="Times New Roman"/>
          <w:b/>
          <w:color w:val="222222"/>
          <w:spacing w:val="3"/>
          <w:shd w:val="clear" w:color="auto" w:fill="FFFFFF"/>
        </w:rPr>
      </w:pPr>
    </w:p>
    <w:p w14:paraId="006B4E83" w14:textId="77777777" w:rsidR="00447CCB" w:rsidRDefault="00447CCB">
      <w:pPr>
        <w:tabs>
          <w:tab w:val="left" w:pos="6361"/>
        </w:tabs>
        <w:rPr>
          <w:rFonts w:ascii="Times New Roman" w:hAnsi="Times New Roman"/>
          <w:b/>
          <w:color w:val="222222"/>
          <w:spacing w:val="3"/>
          <w:shd w:val="clear" w:color="auto" w:fill="FFFFFF"/>
        </w:rPr>
      </w:pPr>
    </w:p>
    <w:p w14:paraId="2FAFA1B3" w14:textId="77777777" w:rsidR="00447CCB" w:rsidRDefault="00447CCB">
      <w:pPr>
        <w:tabs>
          <w:tab w:val="left" w:pos="6361"/>
        </w:tabs>
        <w:rPr>
          <w:rFonts w:ascii="Times New Roman" w:hAnsi="Times New Roman"/>
          <w:b/>
          <w:color w:val="222222"/>
          <w:spacing w:val="3"/>
          <w:shd w:val="clear" w:color="auto" w:fill="FFFFFF"/>
        </w:rPr>
      </w:pPr>
    </w:p>
    <w:p w14:paraId="7FDB2D03" w14:textId="77777777" w:rsidR="00447CCB" w:rsidRDefault="00447CCB">
      <w:pPr>
        <w:tabs>
          <w:tab w:val="left" w:pos="6361"/>
        </w:tabs>
        <w:rPr>
          <w:rFonts w:ascii="Times New Roman" w:hAnsi="Times New Roman"/>
          <w:b/>
          <w:color w:val="222222"/>
          <w:spacing w:val="3"/>
          <w:shd w:val="clear" w:color="auto" w:fill="FFFFFF"/>
        </w:rPr>
      </w:pPr>
    </w:p>
    <w:p w14:paraId="165AC165" w14:textId="77777777" w:rsidR="00447CCB" w:rsidRDefault="00447CCB">
      <w:pPr>
        <w:tabs>
          <w:tab w:val="left" w:pos="6361"/>
        </w:tabs>
        <w:rPr>
          <w:rFonts w:ascii="Times New Roman" w:hAnsi="Times New Roman"/>
          <w:b/>
          <w:color w:val="222222"/>
          <w:spacing w:val="3"/>
          <w:shd w:val="clear" w:color="auto" w:fill="FFFFFF"/>
        </w:rPr>
      </w:pPr>
    </w:p>
    <w:p w14:paraId="32B9EDC6" w14:textId="77777777" w:rsidR="00447CCB" w:rsidRDefault="00447CCB">
      <w:pPr>
        <w:tabs>
          <w:tab w:val="left" w:pos="6361"/>
        </w:tabs>
        <w:rPr>
          <w:rFonts w:ascii="Times New Roman" w:hAnsi="Times New Roman"/>
          <w:b/>
          <w:color w:val="222222"/>
          <w:spacing w:val="3"/>
          <w:shd w:val="clear" w:color="auto" w:fill="FFFFFF"/>
        </w:rPr>
      </w:pPr>
    </w:p>
    <w:p w14:paraId="0A414558" w14:textId="77E545A3" w:rsidR="00D86489" w:rsidRDefault="00B22FD0">
      <w:pPr>
        <w:tabs>
          <w:tab w:val="left" w:pos="6361"/>
        </w:tabs>
        <w:rPr>
          <w:rFonts w:ascii="Times New Roman" w:hAnsi="Times New Roman"/>
          <w:b/>
          <w:color w:val="222222"/>
          <w:spacing w:val="3"/>
          <w:shd w:val="clear" w:color="auto" w:fill="FFFFFF"/>
        </w:rPr>
      </w:pPr>
      <w:r>
        <w:rPr>
          <w:rFonts w:ascii="Times New Roman" w:hAnsi="Times New Roman"/>
          <w:b/>
          <w:color w:val="222222"/>
          <w:spacing w:val="3"/>
          <w:shd w:val="clear" w:color="auto" w:fill="FFFFFF"/>
        </w:rPr>
        <w:lastRenderedPageBreak/>
        <w:t xml:space="preserve">Supplementary </w:t>
      </w:r>
      <w:r w:rsidR="00FD5A47">
        <w:rPr>
          <w:rFonts w:ascii="Times New Roman" w:hAnsi="Times New Roman"/>
          <w:b/>
          <w:color w:val="222222"/>
          <w:spacing w:val="3"/>
          <w:shd w:val="clear" w:color="auto" w:fill="FFFFFF"/>
        </w:rPr>
        <w:t>T</w:t>
      </w:r>
      <w:r>
        <w:rPr>
          <w:rFonts w:ascii="Times New Roman" w:hAnsi="Times New Roman"/>
          <w:b/>
          <w:color w:val="222222"/>
          <w:spacing w:val="3"/>
          <w:shd w:val="clear" w:color="auto" w:fill="FFFFFF"/>
        </w:rPr>
        <w:t>able</w:t>
      </w:r>
      <w:r>
        <w:rPr>
          <w:rFonts w:ascii="Times New Roman" w:hAnsi="Times New Roman" w:hint="eastAsia"/>
          <w:b/>
          <w:color w:val="222222"/>
          <w:spacing w:val="3"/>
          <w:shd w:val="clear" w:color="auto" w:fill="FFFFFF"/>
        </w:rPr>
        <w:t xml:space="preserve"> 2</w:t>
      </w:r>
      <w:r>
        <w:rPr>
          <w:rFonts w:ascii="Times New Roman" w:hAnsi="Times New Roman"/>
          <w:b/>
          <w:color w:val="222222"/>
          <w:spacing w:val="3"/>
          <w:shd w:val="clear" w:color="auto" w:fill="FFFFFF"/>
        </w:rPr>
        <w:t>:</w:t>
      </w:r>
      <w:r>
        <w:rPr>
          <w:rFonts w:ascii="Times New Roman" w:hAnsi="Times New Roman" w:hint="eastAsia"/>
          <w:b/>
          <w:color w:val="222222"/>
          <w:spacing w:val="3"/>
          <w:shd w:val="clear" w:color="auto" w:fill="FFFFFF"/>
        </w:rPr>
        <w:t xml:space="preserve"> anti</w:t>
      </w:r>
      <w:r>
        <w:rPr>
          <w:rFonts w:ascii="Times New Roman" w:hAnsi="Times New Roman"/>
          <w:b/>
          <w:color w:val="222222"/>
          <w:spacing w:val="3"/>
          <w:shd w:val="clear" w:color="auto" w:fill="FFFFFF"/>
        </w:rPr>
        <w:t>body information</w:t>
      </w:r>
    </w:p>
    <w:tbl>
      <w:tblPr>
        <w:tblW w:w="0" w:type="auto"/>
        <w:jc w:val="center"/>
        <w:tblBorders>
          <w:top w:val="single" w:sz="4" w:space="0" w:color="auto"/>
        </w:tblBorders>
        <w:tblLook w:val="04A0" w:firstRow="1" w:lastRow="0" w:firstColumn="1" w:lastColumn="0" w:noHBand="0" w:noVBand="1"/>
      </w:tblPr>
      <w:tblGrid>
        <w:gridCol w:w="1622"/>
        <w:gridCol w:w="1229"/>
        <w:gridCol w:w="1231"/>
        <w:gridCol w:w="1850"/>
        <w:gridCol w:w="829"/>
        <w:gridCol w:w="717"/>
        <w:gridCol w:w="828"/>
      </w:tblGrid>
      <w:tr w:rsidR="00D86489" w14:paraId="7425F2F4" w14:textId="77777777">
        <w:trPr>
          <w:trHeight w:val="276"/>
          <w:jc w:val="center"/>
        </w:trPr>
        <w:tc>
          <w:tcPr>
            <w:tcW w:w="1668" w:type="dxa"/>
            <w:tcBorders>
              <w:top w:val="nil"/>
              <w:left w:val="nil"/>
              <w:bottom w:val="nil"/>
              <w:right w:val="nil"/>
            </w:tcBorders>
            <w:shd w:val="clear" w:color="auto" w:fill="auto"/>
            <w:noWrap/>
            <w:vAlign w:val="bottom"/>
          </w:tcPr>
          <w:p w14:paraId="050DF127" w14:textId="77777777" w:rsidR="00D86489" w:rsidRDefault="00D86489">
            <w:pPr>
              <w:widowControl/>
              <w:spacing w:line="220" w:lineRule="atLeast"/>
              <w:jc w:val="left"/>
              <w:rPr>
                <w:rFonts w:ascii="Times New Roman" w:hAnsi="Times New Roman"/>
                <w:kern w:val="0"/>
                <w:szCs w:val="21"/>
              </w:rPr>
            </w:pPr>
          </w:p>
        </w:tc>
        <w:tc>
          <w:tcPr>
            <w:tcW w:w="1261" w:type="dxa"/>
            <w:tcBorders>
              <w:top w:val="nil"/>
              <w:left w:val="nil"/>
              <w:bottom w:val="nil"/>
              <w:right w:val="nil"/>
            </w:tcBorders>
            <w:shd w:val="clear" w:color="auto" w:fill="auto"/>
            <w:noWrap/>
            <w:vAlign w:val="bottom"/>
          </w:tcPr>
          <w:p w14:paraId="02E910C8" w14:textId="77777777" w:rsidR="00D86489" w:rsidRDefault="00D86489">
            <w:pPr>
              <w:widowControl/>
              <w:spacing w:line="220" w:lineRule="atLeast"/>
              <w:jc w:val="left"/>
              <w:rPr>
                <w:rFonts w:ascii="Times New Roman" w:eastAsia="Times New Roman" w:hAnsi="Times New Roman"/>
                <w:kern w:val="0"/>
                <w:szCs w:val="21"/>
              </w:rPr>
            </w:pPr>
          </w:p>
        </w:tc>
        <w:tc>
          <w:tcPr>
            <w:tcW w:w="1263" w:type="dxa"/>
            <w:tcBorders>
              <w:top w:val="nil"/>
              <w:left w:val="nil"/>
              <w:bottom w:val="nil"/>
              <w:right w:val="nil"/>
            </w:tcBorders>
            <w:shd w:val="clear" w:color="auto" w:fill="auto"/>
            <w:noWrap/>
            <w:vAlign w:val="bottom"/>
          </w:tcPr>
          <w:p w14:paraId="42357131" w14:textId="77777777" w:rsidR="00D86489" w:rsidRDefault="00D86489">
            <w:pPr>
              <w:widowControl/>
              <w:spacing w:line="220" w:lineRule="atLeast"/>
              <w:jc w:val="left"/>
              <w:rPr>
                <w:rFonts w:ascii="Times New Roman" w:eastAsia="Times New Roman" w:hAnsi="Times New Roman"/>
                <w:kern w:val="0"/>
                <w:szCs w:val="21"/>
              </w:rPr>
            </w:pPr>
          </w:p>
        </w:tc>
        <w:tc>
          <w:tcPr>
            <w:tcW w:w="1902" w:type="dxa"/>
            <w:tcBorders>
              <w:top w:val="nil"/>
              <w:left w:val="nil"/>
              <w:bottom w:val="nil"/>
              <w:right w:val="nil"/>
            </w:tcBorders>
            <w:shd w:val="clear" w:color="auto" w:fill="auto"/>
            <w:noWrap/>
            <w:vAlign w:val="bottom"/>
          </w:tcPr>
          <w:p w14:paraId="174448E9" w14:textId="77777777" w:rsidR="00D86489" w:rsidRDefault="00D86489">
            <w:pPr>
              <w:widowControl/>
              <w:spacing w:line="220" w:lineRule="atLeast"/>
              <w:jc w:val="left"/>
              <w:rPr>
                <w:rFonts w:ascii="Times New Roman" w:eastAsia="Times New Roman" w:hAnsi="Times New Roman"/>
                <w:kern w:val="0"/>
                <w:szCs w:val="21"/>
              </w:rPr>
            </w:pPr>
          </w:p>
        </w:tc>
        <w:tc>
          <w:tcPr>
            <w:tcW w:w="2428" w:type="dxa"/>
            <w:gridSpan w:val="3"/>
            <w:tcBorders>
              <w:top w:val="nil"/>
              <w:left w:val="nil"/>
              <w:bottom w:val="single" w:sz="4" w:space="0" w:color="auto"/>
              <w:right w:val="nil"/>
            </w:tcBorders>
            <w:shd w:val="clear" w:color="auto" w:fill="auto"/>
            <w:noWrap/>
            <w:vAlign w:val="bottom"/>
          </w:tcPr>
          <w:p w14:paraId="31ADD089" w14:textId="77777777" w:rsidR="00D86489" w:rsidRDefault="00B22FD0">
            <w:pPr>
              <w:widowControl/>
              <w:spacing w:line="220" w:lineRule="atLeast"/>
              <w:jc w:val="center"/>
              <w:rPr>
                <w:rFonts w:ascii="Times New Roman" w:eastAsia="等线" w:hAnsi="Times New Roman"/>
                <w:b/>
                <w:bCs/>
                <w:color w:val="000000"/>
                <w:kern w:val="0"/>
                <w:szCs w:val="21"/>
              </w:rPr>
            </w:pPr>
            <w:r>
              <w:rPr>
                <w:rFonts w:ascii="Times New Roman" w:eastAsia="等线" w:hAnsi="Times New Roman"/>
                <w:b/>
                <w:bCs/>
                <w:color w:val="000000"/>
                <w:kern w:val="0"/>
                <w:szCs w:val="21"/>
              </w:rPr>
              <w:t>Dilution</w:t>
            </w:r>
          </w:p>
        </w:tc>
      </w:tr>
      <w:tr w:rsidR="00D86489" w14:paraId="66866334" w14:textId="77777777">
        <w:trPr>
          <w:trHeight w:val="276"/>
          <w:jc w:val="center"/>
        </w:trPr>
        <w:tc>
          <w:tcPr>
            <w:tcW w:w="1668" w:type="dxa"/>
            <w:tcBorders>
              <w:top w:val="nil"/>
              <w:left w:val="nil"/>
              <w:bottom w:val="single" w:sz="4" w:space="0" w:color="auto"/>
              <w:right w:val="nil"/>
            </w:tcBorders>
            <w:shd w:val="clear" w:color="auto" w:fill="auto"/>
            <w:noWrap/>
            <w:vAlign w:val="bottom"/>
          </w:tcPr>
          <w:p w14:paraId="6EE67D03" w14:textId="77777777" w:rsidR="00D86489" w:rsidRDefault="00B22FD0">
            <w:pPr>
              <w:widowControl/>
              <w:spacing w:line="220" w:lineRule="atLeast"/>
              <w:jc w:val="left"/>
              <w:rPr>
                <w:rFonts w:ascii="Times New Roman" w:eastAsia="等线" w:hAnsi="Times New Roman"/>
                <w:b/>
                <w:bCs/>
                <w:color w:val="000000"/>
                <w:kern w:val="0"/>
                <w:szCs w:val="21"/>
              </w:rPr>
            </w:pPr>
            <w:r>
              <w:rPr>
                <w:rFonts w:ascii="Times New Roman" w:eastAsia="等线" w:hAnsi="Times New Roman"/>
                <w:b/>
                <w:bCs/>
                <w:color w:val="000000"/>
                <w:kern w:val="0"/>
                <w:szCs w:val="21"/>
              </w:rPr>
              <w:t>Antibodies</w:t>
            </w:r>
          </w:p>
        </w:tc>
        <w:tc>
          <w:tcPr>
            <w:tcW w:w="1261" w:type="dxa"/>
            <w:tcBorders>
              <w:top w:val="nil"/>
              <w:left w:val="nil"/>
              <w:bottom w:val="single" w:sz="4" w:space="0" w:color="auto"/>
              <w:right w:val="nil"/>
            </w:tcBorders>
            <w:shd w:val="clear" w:color="auto" w:fill="auto"/>
            <w:noWrap/>
            <w:vAlign w:val="bottom"/>
          </w:tcPr>
          <w:p w14:paraId="1B56DE65" w14:textId="77777777" w:rsidR="00D86489" w:rsidRDefault="00B22FD0">
            <w:pPr>
              <w:widowControl/>
              <w:spacing w:line="220" w:lineRule="atLeast"/>
              <w:jc w:val="left"/>
              <w:rPr>
                <w:rFonts w:ascii="Times New Roman" w:eastAsia="等线" w:hAnsi="Times New Roman"/>
                <w:b/>
                <w:bCs/>
                <w:color w:val="000000"/>
                <w:kern w:val="0"/>
                <w:szCs w:val="21"/>
              </w:rPr>
            </w:pPr>
            <w:r>
              <w:rPr>
                <w:rFonts w:ascii="Times New Roman" w:eastAsia="等线" w:hAnsi="Times New Roman"/>
                <w:b/>
                <w:bCs/>
                <w:color w:val="000000"/>
                <w:kern w:val="0"/>
                <w:szCs w:val="21"/>
              </w:rPr>
              <w:t>Source</w:t>
            </w:r>
          </w:p>
        </w:tc>
        <w:tc>
          <w:tcPr>
            <w:tcW w:w="1263" w:type="dxa"/>
            <w:tcBorders>
              <w:top w:val="nil"/>
              <w:left w:val="nil"/>
              <w:bottom w:val="single" w:sz="4" w:space="0" w:color="auto"/>
              <w:right w:val="nil"/>
            </w:tcBorders>
            <w:shd w:val="clear" w:color="auto" w:fill="auto"/>
            <w:noWrap/>
            <w:vAlign w:val="bottom"/>
          </w:tcPr>
          <w:p w14:paraId="6E9E775F" w14:textId="77777777" w:rsidR="00D86489" w:rsidRDefault="00B22FD0">
            <w:pPr>
              <w:widowControl/>
              <w:spacing w:line="220" w:lineRule="atLeast"/>
              <w:jc w:val="left"/>
              <w:rPr>
                <w:rFonts w:ascii="Times New Roman" w:eastAsia="等线" w:hAnsi="Times New Roman"/>
                <w:b/>
                <w:bCs/>
                <w:color w:val="000000"/>
                <w:kern w:val="0"/>
                <w:szCs w:val="21"/>
              </w:rPr>
            </w:pPr>
            <w:r>
              <w:rPr>
                <w:rFonts w:ascii="Times New Roman" w:eastAsia="等线" w:hAnsi="Times New Roman"/>
                <w:b/>
                <w:bCs/>
                <w:color w:val="000000"/>
                <w:kern w:val="0"/>
                <w:szCs w:val="21"/>
              </w:rPr>
              <w:t>Catalog number</w:t>
            </w:r>
          </w:p>
        </w:tc>
        <w:tc>
          <w:tcPr>
            <w:tcW w:w="1902" w:type="dxa"/>
            <w:tcBorders>
              <w:top w:val="nil"/>
              <w:left w:val="nil"/>
              <w:bottom w:val="single" w:sz="4" w:space="0" w:color="auto"/>
              <w:right w:val="nil"/>
            </w:tcBorders>
            <w:shd w:val="clear" w:color="auto" w:fill="auto"/>
            <w:noWrap/>
            <w:vAlign w:val="bottom"/>
          </w:tcPr>
          <w:p w14:paraId="50565792" w14:textId="77777777" w:rsidR="00D86489" w:rsidRDefault="00B22FD0">
            <w:pPr>
              <w:widowControl/>
              <w:spacing w:line="220" w:lineRule="atLeast"/>
              <w:jc w:val="left"/>
              <w:rPr>
                <w:rFonts w:ascii="Times New Roman" w:eastAsia="等线" w:hAnsi="Times New Roman"/>
                <w:b/>
                <w:bCs/>
                <w:color w:val="000000"/>
                <w:kern w:val="0"/>
                <w:szCs w:val="21"/>
              </w:rPr>
            </w:pPr>
            <w:r>
              <w:rPr>
                <w:rFonts w:ascii="Times New Roman" w:eastAsia="等线" w:hAnsi="Times New Roman"/>
                <w:b/>
                <w:bCs/>
                <w:color w:val="000000"/>
                <w:kern w:val="0"/>
                <w:szCs w:val="21"/>
              </w:rPr>
              <w:t>Host species&amp;clone</w:t>
            </w:r>
          </w:p>
        </w:tc>
        <w:tc>
          <w:tcPr>
            <w:tcW w:w="848" w:type="dxa"/>
            <w:tcBorders>
              <w:top w:val="single" w:sz="4" w:space="0" w:color="auto"/>
              <w:left w:val="nil"/>
              <w:bottom w:val="single" w:sz="4" w:space="0" w:color="auto"/>
              <w:right w:val="nil"/>
            </w:tcBorders>
            <w:shd w:val="clear" w:color="auto" w:fill="auto"/>
            <w:noWrap/>
            <w:vAlign w:val="bottom"/>
          </w:tcPr>
          <w:p w14:paraId="1B6A50C9" w14:textId="77777777" w:rsidR="00D86489" w:rsidRDefault="00B22FD0">
            <w:pPr>
              <w:widowControl/>
              <w:spacing w:line="220" w:lineRule="atLeast"/>
              <w:jc w:val="left"/>
              <w:rPr>
                <w:rFonts w:ascii="Times New Roman" w:eastAsia="等线" w:hAnsi="Times New Roman"/>
                <w:b/>
                <w:bCs/>
                <w:color w:val="000000"/>
                <w:kern w:val="0"/>
                <w:szCs w:val="21"/>
              </w:rPr>
            </w:pPr>
            <w:r>
              <w:rPr>
                <w:rFonts w:ascii="Times New Roman" w:eastAsia="等线" w:hAnsi="Times New Roman"/>
                <w:b/>
                <w:bCs/>
                <w:color w:val="000000"/>
                <w:kern w:val="0"/>
                <w:szCs w:val="21"/>
              </w:rPr>
              <w:t>WB</w:t>
            </w:r>
          </w:p>
        </w:tc>
        <w:tc>
          <w:tcPr>
            <w:tcW w:w="733" w:type="dxa"/>
            <w:tcBorders>
              <w:top w:val="single" w:sz="4" w:space="0" w:color="auto"/>
              <w:left w:val="nil"/>
              <w:bottom w:val="single" w:sz="4" w:space="0" w:color="auto"/>
              <w:right w:val="nil"/>
            </w:tcBorders>
            <w:shd w:val="clear" w:color="auto" w:fill="auto"/>
            <w:noWrap/>
            <w:vAlign w:val="bottom"/>
          </w:tcPr>
          <w:p w14:paraId="58A9F334" w14:textId="77777777" w:rsidR="00D86489" w:rsidRDefault="00B22FD0">
            <w:pPr>
              <w:widowControl/>
              <w:spacing w:line="220" w:lineRule="atLeast"/>
              <w:jc w:val="left"/>
              <w:rPr>
                <w:rFonts w:ascii="Times New Roman" w:eastAsia="等线" w:hAnsi="Times New Roman"/>
                <w:b/>
                <w:bCs/>
                <w:color w:val="000000"/>
                <w:kern w:val="0"/>
                <w:szCs w:val="21"/>
              </w:rPr>
            </w:pPr>
            <w:r>
              <w:rPr>
                <w:rFonts w:ascii="Times New Roman" w:eastAsia="等线" w:hAnsi="Times New Roman"/>
                <w:b/>
                <w:bCs/>
                <w:color w:val="000000"/>
                <w:kern w:val="0"/>
                <w:szCs w:val="21"/>
              </w:rPr>
              <w:t>IHC</w:t>
            </w:r>
          </w:p>
        </w:tc>
        <w:tc>
          <w:tcPr>
            <w:tcW w:w="847" w:type="dxa"/>
            <w:tcBorders>
              <w:top w:val="single" w:sz="4" w:space="0" w:color="auto"/>
              <w:left w:val="nil"/>
              <w:bottom w:val="single" w:sz="4" w:space="0" w:color="auto"/>
              <w:right w:val="nil"/>
            </w:tcBorders>
            <w:shd w:val="clear" w:color="auto" w:fill="auto"/>
            <w:noWrap/>
            <w:vAlign w:val="bottom"/>
          </w:tcPr>
          <w:p w14:paraId="0AE3F6F9" w14:textId="77777777" w:rsidR="00D86489" w:rsidRDefault="00B22FD0">
            <w:pPr>
              <w:widowControl/>
              <w:spacing w:line="220" w:lineRule="atLeast"/>
              <w:jc w:val="left"/>
              <w:rPr>
                <w:rFonts w:ascii="Times New Roman" w:eastAsia="等线" w:hAnsi="Times New Roman"/>
                <w:b/>
                <w:bCs/>
                <w:color w:val="000000"/>
                <w:kern w:val="0"/>
                <w:szCs w:val="21"/>
              </w:rPr>
            </w:pPr>
            <w:r>
              <w:rPr>
                <w:rFonts w:ascii="Times New Roman" w:eastAsia="等线" w:hAnsi="Times New Roman" w:hint="eastAsia"/>
                <w:b/>
                <w:bCs/>
                <w:color w:val="000000"/>
                <w:kern w:val="0"/>
                <w:szCs w:val="21"/>
              </w:rPr>
              <w:t>Flow</w:t>
            </w:r>
          </w:p>
        </w:tc>
      </w:tr>
      <w:tr w:rsidR="00D86489" w14:paraId="54B8B030" w14:textId="77777777">
        <w:trPr>
          <w:trHeight w:val="276"/>
          <w:jc w:val="center"/>
        </w:trPr>
        <w:tc>
          <w:tcPr>
            <w:tcW w:w="1668" w:type="dxa"/>
            <w:tcBorders>
              <w:top w:val="single" w:sz="4" w:space="0" w:color="auto"/>
              <w:left w:val="nil"/>
              <w:bottom w:val="nil"/>
              <w:right w:val="nil"/>
            </w:tcBorders>
            <w:shd w:val="clear" w:color="auto" w:fill="auto"/>
            <w:noWrap/>
            <w:vAlign w:val="bottom"/>
          </w:tcPr>
          <w:p w14:paraId="4C98BD4C" w14:textId="77777777" w:rsidR="00D86489" w:rsidRDefault="00B22FD0">
            <w:pPr>
              <w:widowControl/>
              <w:spacing w:line="220" w:lineRule="atLeast"/>
              <w:jc w:val="left"/>
              <w:rPr>
                <w:rFonts w:ascii="Times New Roman" w:eastAsia="等线" w:hAnsi="Times New Roman"/>
                <w:color w:val="000000"/>
                <w:kern w:val="0"/>
                <w:szCs w:val="21"/>
              </w:rPr>
            </w:pPr>
            <w:r>
              <w:rPr>
                <w:rFonts w:ascii="Times New Roman" w:eastAsia="等线" w:hAnsi="Times New Roman" w:hint="eastAsia"/>
                <w:color w:val="000000"/>
                <w:kern w:val="0"/>
                <w:szCs w:val="21"/>
              </w:rPr>
              <w:t>CD45-FITC</w:t>
            </w:r>
          </w:p>
        </w:tc>
        <w:tc>
          <w:tcPr>
            <w:tcW w:w="1261" w:type="dxa"/>
            <w:tcBorders>
              <w:top w:val="single" w:sz="4" w:space="0" w:color="auto"/>
              <w:left w:val="nil"/>
              <w:bottom w:val="nil"/>
              <w:right w:val="nil"/>
            </w:tcBorders>
            <w:shd w:val="clear" w:color="auto" w:fill="auto"/>
            <w:noWrap/>
            <w:vAlign w:val="bottom"/>
          </w:tcPr>
          <w:p w14:paraId="1AA2ECAC" w14:textId="77777777" w:rsidR="00D86489" w:rsidRDefault="00B22FD0">
            <w:pPr>
              <w:widowControl/>
              <w:spacing w:line="220" w:lineRule="atLeast"/>
              <w:jc w:val="left"/>
              <w:rPr>
                <w:rFonts w:ascii="Times New Roman" w:eastAsia="等线" w:hAnsi="Times New Roman"/>
                <w:color w:val="000000"/>
                <w:kern w:val="0"/>
                <w:szCs w:val="21"/>
              </w:rPr>
            </w:pPr>
            <w:r>
              <w:rPr>
                <w:rFonts w:ascii="Times New Roman" w:eastAsia="等线" w:hAnsi="Times New Roman" w:hint="eastAsia"/>
                <w:color w:val="000000"/>
                <w:kern w:val="0"/>
                <w:szCs w:val="21"/>
              </w:rPr>
              <w:t>eBioscience</w:t>
            </w:r>
          </w:p>
        </w:tc>
        <w:tc>
          <w:tcPr>
            <w:tcW w:w="1263" w:type="dxa"/>
            <w:tcBorders>
              <w:top w:val="single" w:sz="4" w:space="0" w:color="auto"/>
              <w:left w:val="nil"/>
              <w:bottom w:val="nil"/>
              <w:right w:val="nil"/>
            </w:tcBorders>
            <w:shd w:val="clear" w:color="auto" w:fill="auto"/>
            <w:noWrap/>
            <w:vAlign w:val="bottom"/>
          </w:tcPr>
          <w:p w14:paraId="775E30B6" w14:textId="77777777" w:rsidR="00D86489" w:rsidRDefault="00B22FD0">
            <w:pPr>
              <w:widowControl/>
              <w:spacing w:line="220" w:lineRule="atLeast"/>
              <w:jc w:val="left"/>
              <w:rPr>
                <w:rFonts w:ascii="Times New Roman" w:eastAsia="等线" w:hAnsi="Times New Roman"/>
                <w:color w:val="000000"/>
                <w:kern w:val="0"/>
                <w:szCs w:val="21"/>
              </w:rPr>
            </w:pPr>
            <w:r>
              <w:rPr>
                <w:rFonts w:ascii="Times New Roman" w:eastAsia="等线" w:hAnsi="Times New Roman" w:hint="eastAsia"/>
                <w:color w:val="000000"/>
                <w:kern w:val="0"/>
                <w:szCs w:val="21"/>
              </w:rPr>
              <w:t>11-0451</w:t>
            </w:r>
          </w:p>
        </w:tc>
        <w:tc>
          <w:tcPr>
            <w:tcW w:w="1902" w:type="dxa"/>
            <w:tcBorders>
              <w:top w:val="single" w:sz="4" w:space="0" w:color="auto"/>
              <w:left w:val="nil"/>
              <w:bottom w:val="nil"/>
              <w:right w:val="nil"/>
            </w:tcBorders>
            <w:shd w:val="clear" w:color="auto" w:fill="auto"/>
            <w:noWrap/>
            <w:vAlign w:val="bottom"/>
          </w:tcPr>
          <w:p w14:paraId="737FB917" w14:textId="77777777" w:rsidR="00D86489" w:rsidRDefault="00B22FD0">
            <w:pPr>
              <w:widowControl/>
              <w:spacing w:line="220" w:lineRule="atLeast"/>
              <w:jc w:val="left"/>
              <w:rPr>
                <w:rFonts w:ascii="Times New Roman" w:eastAsia="等线" w:hAnsi="Times New Roman"/>
                <w:color w:val="000000"/>
                <w:kern w:val="0"/>
                <w:szCs w:val="21"/>
              </w:rPr>
            </w:pPr>
            <w:r>
              <w:rPr>
                <w:rFonts w:ascii="Times New Roman" w:eastAsia="等线" w:hAnsi="Times New Roman" w:hint="eastAsia"/>
                <w:color w:val="000000"/>
                <w:kern w:val="0"/>
                <w:szCs w:val="21"/>
              </w:rPr>
              <w:t>rat monoclonal</w:t>
            </w:r>
          </w:p>
        </w:tc>
        <w:tc>
          <w:tcPr>
            <w:tcW w:w="848" w:type="dxa"/>
            <w:tcBorders>
              <w:top w:val="single" w:sz="4" w:space="0" w:color="auto"/>
              <w:left w:val="nil"/>
              <w:bottom w:val="nil"/>
              <w:right w:val="nil"/>
            </w:tcBorders>
            <w:shd w:val="clear" w:color="auto" w:fill="auto"/>
            <w:noWrap/>
            <w:vAlign w:val="bottom"/>
          </w:tcPr>
          <w:p w14:paraId="05EC94AE" w14:textId="77777777" w:rsidR="00D86489" w:rsidRDefault="00D86489">
            <w:pPr>
              <w:widowControl/>
              <w:spacing w:line="220" w:lineRule="atLeast"/>
              <w:jc w:val="left"/>
              <w:rPr>
                <w:rFonts w:ascii="Times New Roman" w:eastAsia="等线" w:hAnsi="Times New Roman"/>
                <w:color w:val="000000"/>
                <w:kern w:val="0"/>
                <w:szCs w:val="21"/>
              </w:rPr>
            </w:pPr>
          </w:p>
        </w:tc>
        <w:tc>
          <w:tcPr>
            <w:tcW w:w="733" w:type="dxa"/>
            <w:tcBorders>
              <w:top w:val="single" w:sz="4" w:space="0" w:color="auto"/>
              <w:left w:val="nil"/>
              <w:bottom w:val="nil"/>
              <w:right w:val="nil"/>
            </w:tcBorders>
            <w:shd w:val="clear" w:color="auto" w:fill="auto"/>
            <w:noWrap/>
            <w:vAlign w:val="bottom"/>
          </w:tcPr>
          <w:p w14:paraId="60108B49" w14:textId="77777777" w:rsidR="00D86489" w:rsidRDefault="00D86489">
            <w:pPr>
              <w:widowControl/>
              <w:spacing w:line="220" w:lineRule="atLeast"/>
              <w:jc w:val="left"/>
              <w:rPr>
                <w:rFonts w:ascii="Times New Roman" w:eastAsia="等线" w:hAnsi="Times New Roman"/>
                <w:color w:val="000000"/>
                <w:kern w:val="0"/>
                <w:szCs w:val="21"/>
              </w:rPr>
            </w:pPr>
          </w:p>
        </w:tc>
        <w:tc>
          <w:tcPr>
            <w:tcW w:w="847" w:type="dxa"/>
            <w:tcBorders>
              <w:top w:val="single" w:sz="4" w:space="0" w:color="auto"/>
              <w:left w:val="nil"/>
              <w:bottom w:val="nil"/>
              <w:right w:val="nil"/>
            </w:tcBorders>
            <w:shd w:val="clear" w:color="auto" w:fill="auto"/>
            <w:noWrap/>
            <w:vAlign w:val="bottom"/>
          </w:tcPr>
          <w:p w14:paraId="75BC5292" w14:textId="77777777" w:rsidR="00D86489" w:rsidRDefault="00B22FD0">
            <w:pPr>
              <w:widowControl/>
              <w:spacing w:line="220" w:lineRule="atLeast"/>
              <w:jc w:val="left"/>
              <w:rPr>
                <w:rFonts w:ascii="Times New Roman" w:eastAsia="等线" w:hAnsi="Times New Roman"/>
                <w:color w:val="000000"/>
                <w:kern w:val="0"/>
                <w:szCs w:val="21"/>
              </w:rPr>
            </w:pPr>
            <w:r>
              <w:rPr>
                <w:rFonts w:ascii="Times New Roman" w:eastAsia="等线" w:hAnsi="Times New Roman" w:hint="eastAsia"/>
                <w:color w:val="000000"/>
                <w:kern w:val="0"/>
                <w:szCs w:val="21"/>
              </w:rPr>
              <w:t>1:200</w:t>
            </w:r>
          </w:p>
        </w:tc>
      </w:tr>
      <w:tr w:rsidR="00D86489" w14:paraId="243BB200" w14:textId="77777777">
        <w:trPr>
          <w:trHeight w:val="276"/>
          <w:jc w:val="center"/>
        </w:trPr>
        <w:tc>
          <w:tcPr>
            <w:tcW w:w="1668" w:type="dxa"/>
            <w:tcBorders>
              <w:top w:val="nil"/>
              <w:left w:val="nil"/>
              <w:bottom w:val="nil"/>
              <w:right w:val="nil"/>
            </w:tcBorders>
            <w:shd w:val="clear" w:color="auto" w:fill="auto"/>
            <w:noWrap/>
            <w:vAlign w:val="bottom"/>
          </w:tcPr>
          <w:p w14:paraId="4C4BF2BC" w14:textId="77777777" w:rsidR="00D86489" w:rsidRDefault="00B22FD0">
            <w:pPr>
              <w:widowControl/>
              <w:spacing w:line="220" w:lineRule="atLeast"/>
              <w:jc w:val="left"/>
              <w:rPr>
                <w:rFonts w:ascii="Times New Roman" w:eastAsia="等线" w:hAnsi="Times New Roman"/>
                <w:color w:val="000000"/>
                <w:kern w:val="0"/>
                <w:szCs w:val="21"/>
              </w:rPr>
            </w:pPr>
            <w:r>
              <w:rPr>
                <w:rFonts w:ascii="Times New Roman" w:eastAsia="等线" w:hAnsi="Times New Roman" w:hint="eastAsia"/>
                <w:color w:val="000000"/>
                <w:kern w:val="0"/>
                <w:szCs w:val="21"/>
              </w:rPr>
              <w:t>CD3-eF450</w:t>
            </w:r>
          </w:p>
        </w:tc>
        <w:tc>
          <w:tcPr>
            <w:tcW w:w="1261" w:type="dxa"/>
            <w:tcBorders>
              <w:top w:val="nil"/>
              <w:left w:val="nil"/>
              <w:bottom w:val="nil"/>
              <w:right w:val="nil"/>
            </w:tcBorders>
            <w:shd w:val="clear" w:color="auto" w:fill="auto"/>
            <w:noWrap/>
            <w:vAlign w:val="bottom"/>
          </w:tcPr>
          <w:p w14:paraId="18ABF336" w14:textId="77777777" w:rsidR="00D86489" w:rsidRDefault="00B22FD0">
            <w:pPr>
              <w:widowControl/>
              <w:spacing w:line="220" w:lineRule="atLeast"/>
              <w:jc w:val="left"/>
              <w:rPr>
                <w:rFonts w:ascii="Times New Roman" w:eastAsia="等线" w:hAnsi="Times New Roman"/>
                <w:color w:val="000000"/>
                <w:kern w:val="0"/>
                <w:szCs w:val="21"/>
              </w:rPr>
            </w:pPr>
            <w:r>
              <w:rPr>
                <w:rFonts w:ascii="Times New Roman" w:eastAsia="等线" w:hAnsi="Times New Roman" w:hint="eastAsia"/>
                <w:color w:val="000000"/>
                <w:kern w:val="0"/>
                <w:szCs w:val="21"/>
              </w:rPr>
              <w:t>eBioscience</w:t>
            </w:r>
          </w:p>
        </w:tc>
        <w:tc>
          <w:tcPr>
            <w:tcW w:w="1263" w:type="dxa"/>
            <w:tcBorders>
              <w:top w:val="nil"/>
              <w:left w:val="nil"/>
              <w:bottom w:val="nil"/>
              <w:right w:val="nil"/>
            </w:tcBorders>
            <w:shd w:val="clear" w:color="auto" w:fill="auto"/>
            <w:noWrap/>
            <w:vAlign w:val="bottom"/>
          </w:tcPr>
          <w:p w14:paraId="179E1B16" w14:textId="77777777" w:rsidR="00D86489" w:rsidRDefault="00B22FD0">
            <w:pPr>
              <w:widowControl/>
              <w:spacing w:line="220" w:lineRule="atLeast"/>
              <w:jc w:val="left"/>
              <w:rPr>
                <w:rFonts w:ascii="Times New Roman" w:eastAsia="等线" w:hAnsi="Times New Roman"/>
                <w:color w:val="000000"/>
                <w:kern w:val="0"/>
                <w:szCs w:val="21"/>
              </w:rPr>
            </w:pPr>
            <w:r>
              <w:rPr>
                <w:rFonts w:ascii="Times New Roman" w:eastAsia="等线" w:hAnsi="Times New Roman" w:hint="eastAsia"/>
                <w:color w:val="000000"/>
                <w:kern w:val="0"/>
                <w:szCs w:val="21"/>
              </w:rPr>
              <w:t>48-0032</w:t>
            </w:r>
          </w:p>
        </w:tc>
        <w:tc>
          <w:tcPr>
            <w:tcW w:w="1902" w:type="dxa"/>
            <w:tcBorders>
              <w:top w:val="nil"/>
              <w:left w:val="nil"/>
              <w:bottom w:val="nil"/>
              <w:right w:val="nil"/>
            </w:tcBorders>
            <w:shd w:val="clear" w:color="auto" w:fill="auto"/>
            <w:noWrap/>
            <w:vAlign w:val="bottom"/>
          </w:tcPr>
          <w:p w14:paraId="2781E4E0" w14:textId="77777777" w:rsidR="00D86489" w:rsidRDefault="00B22FD0">
            <w:pPr>
              <w:widowControl/>
              <w:spacing w:line="220" w:lineRule="atLeast"/>
              <w:jc w:val="left"/>
              <w:rPr>
                <w:rFonts w:ascii="Times New Roman" w:eastAsia="等线" w:hAnsi="Times New Roman"/>
                <w:color w:val="000000"/>
                <w:kern w:val="0"/>
                <w:szCs w:val="21"/>
              </w:rPr>
            </w:pPr>
            <w:r>
              <w:rPr>
                <w:rFonts w:ascii="Times New Roman" w:eastAsia="等线" w:hAnsi="Times New Roman" w:hint="eastAsia"/>
                <w:color w:val="000000"/>
                <w:kern w:val="0"/>
                <w:szCs w:val="21"/>
              </w:rPr>
              <w:t>rat monoclonal</w:t>
            </w:r>
          </w:p>
        </w:tc>
        <w:tc>
          <w:tcPr>
            <w:tcW w:w="848" w:type="dxa"/>
            <w:tcBorders>
              <w:top w:val="nil"/>
              <w:left w:val="nil"/>
              <w:bottom w:val="nil"/>
              <w:right w:val="nil"/>
            </w:tcBorders>
            <w:shd w:val="clear" w:color="auto" w:fill="auto"/>
            <w:noWrap/>
            <w:vAlign w:val="bottom"/>
          </w:tcPr>
          <w:p w14:paraId="3D361C99" w14:textId="77777777" w:rsidR="00D86489" w:rsidRDefault="00D86489">
            <w:pPr>
              <w:widowControl/>
              <w:spacing w:line="220" w:lineRule="atLeast"/>
              <w:jc w:val="left"/>
              <w:rPr>
                <w:rFonts w:ascii="Times New Roman" w:eastAsia="等线" w:hAnsi="Times New Roman"/>
                <w:color w:val="000000"/>
                <w:kern w:val="0"/>
                <w:szCs w:val="21"/>
              </w:rPr>
            </w:pPr>
          </w:p>
        </w:tc>
        <w:tc>
          <w:tcPr>
            <w:tcW w:w="733" w:type="dxa"/>
            <w:tcBorders>
              <w:top w:val="nil"/>
              <w:left w:val="nil"/>
              <w:bottom w:val="nil"/>
              <w:right w:val="nil"/>
            </w:tcBorders>
            <w:shd w:val="clear" w:color="auto" w:fill="auto"/>
            <w:noWrap/>
            <w:vAlign w:val="bottom"/>
          </w:tcPr>
          <w:p w14:paraId="5FF3EE66" w14:textId="77777777" w:rsidR="00D86489" w:rsidRDefault="00D86489">
            <w:pPr>
              <w:widowControl/>
              <w:spacing w:line="220" w:lineRule="atLeast"/>
              <w:jc w:val="left"/>
              <w:rPr>
                <w:rFonts w:ascii="Times New Roman" w:eastAsia="等线" w:hAnsi="Times New Roman"/>
                <w:color w:val="000000"/>
                <w:kern w:val="0"/>
                <w:szCs w:val="21"/>
              </w:rPr>
            </w:pPr>
          </w:p>
        </w:tc>
        <w:tc>
          <w:tcPr>
            <w:tcW w:w="847" w:type="dxa"/>
            <w:tcBorders>
              <w:top w:val="nil"/>
              <w:left w:val="nil"/>
              <w:bottom w:val="nil"/>
              <w:right w:val="nil"/>
            </w:tcBorders>
            <w:shd w:val="clear" w:color="auto" w:fill="auto"/>
            <w:noWrap/>
            <w:vAlign w:val="bottom"/>
          </w:tcPr>
          <w:p w14:paraId="2C0DB093" w14:textId="77777777" w:rsidR="00D86489" w:rsidRDefault="00B22FD0">
            <w:pPr>
              <w:widowControl/>
              <w:spacing w:line="220" w:lineRule="atLeast"/>
              <w:jc w:val="left"/>
              <w:rPr>
                <w:rFonts w:ascii="Times New Roman" w:eastAsia="等线" w:hAnsi="Times New Roman"/>
                <w:color w:val="000000"/>
                <w:kern w:val="0"/>
                <w:szCs w:val="21"/>
              </w:rPr>
            </w:pPr>
            <w:r>
              <w:rPr>
                <w:rFonts w:ascii="Times New Roman" w:eastAsia="等线" w:hAnsi="Times New Roman" w:hint="eastAsia"/>
                <w:color w:val="000000"/>
                <w:kern w:val="0"/>
                <w:szCs w:val="21"/>
              </w:rPr>
              <w:t>1:200</w:t>
            </w:r>
          </w:p>
        </w:tc>
      </w:tr>
      <w:tr w:rsidR="00D86489" w14:paraId="41715ACC" w14:textId="77777777">
        <w:trPr>
          <w:trHeight w:val="276"/>
          <w:jc w:val="center"/>
        </w:trPr>
        <w:tc>
          <w:tcPr>
            <w:tcW w:w="1668" w:type="dxa"/>
            <w:tcBorders>
              <w:top w:val="nil"/>
              <w:left w:val="nil"/>
              <w:bottom w:val="nil"/>
              <w:right w:val="nil"/>
            </w:tcBorders>
            <w:shd w:val="clear" w:color="auto" w:fill="auto"/>
            <w:noWrap/>
            <w:vAlign w:val="bottom"/>
          </w:tcPr>
          <w:p w14:paraId="21285F20" w14:textId="77777777" w:rsidR="00D86489" w:rsidRDefault="00B22FD0">
            <w:pPr>
              <w:widowControl/>
              <w:spacing w:line="220" w:lineRule="atLeast"/>
              <w:jc w:val="left"/>
              <w:rPr>
                <w:rFonts w:ascii="Times New Roman" w:eastAsia="等线" w:hAnsi="Times New Roman"/>
                <w:color w:val="000000"/>
                <w:kern w:val="0"/>
                <w:szCs w:val="21"/>
              </w:rPr>
            </w:pPr>
            <w:r>
              <w:rPr>
                <w:rFonts w:ascii="Times New Roman" w:eastAsia="等线" w:hAnsi="Times New Roman" w:hint="eastAsia"/>
                <w:color w:val="000000"/>
                <w:kern w:val="0"/>
                <w:szCs w:val="21"/>
              </w:rPr>
              <w:t>CD19-PE-CY7</w:t>
            </w:r>
          </w:p>
        </w:tc>
        <w:tc>
          <w:tcPr>
            <w:tcW w:w="1261" w:type="dxa"/>
            <w:tcBorders>
              <w:top w:val="nil"/>
              <w:left w:val="nil"/>
              <w:bottom w:val="nil"/>
              <w:right w:val="nil"/>
            </w:tcBorders>
            <w:shd w:val="clear" w:color="auto" w:fill="auto"/>
            <w:noWrap/>
            <w:vAlign w:val="bottom"/>
          </w:tcPr>
          <w:p w14:paraId="24D62026" w14:textId="77777777" w:rsidR="00D86489" w:rsidRDefault="00B22FD0">
            <w:pPr>
              <w:widowControl/>
              <w:spacing w:line="220" w:lineRule="atLeast"/>
              <w:jc w:val="left"/>
              <w:rPr>
                <w:rFonts w:ascii="Times New Roman" w:eastAsia="等线" w:hAnsi="Times New Roman"/>
                <w:color w:val="000000"/>
                <w:kern w:val="0"/>
                <w:szCs w:val="21"/>
              </w:rPr>
            </w:pPr>
            <w:r>
              <w:rPr>
                <w:rFonts w:ascii="Times New Roman" w:eastAsia="等线" w:hAnsi="Times New Roman" w:hint="eastAsia"/>
                <w:color w:val="000000"/>
                <w:kern w:val="0"/>
                <w:szCs w:val="21"/>
              </w:rPr>
              <w:t>eBioscience</w:t>
            </w:r>
          </w:p>
        </w:tc>
        <w:tc>
          <w:tcPr>
            <w:tcW w:w="1263" w:type="dxa"/>
            <w:tcBorders>
              <w:top w:val="nil"/>
              <w:left w:val="nil"/>
              <w:bottom w:val="nil"/>
              <w:right w:val="nil"/>
            </w:tcBorders>
            <w:shd w:val="clear" w:color="auto" w:fill="auto"/>
            <w:noWrap/>
            <w:vAlign w:val="bottom"/>
          </w:tcPr>
          <w:p w14:paraId="459C1D42" w14:textId="77777777" w:rsidR="00D86489" w:rsidRDefault="00B22FD0">
            <w:pPr>
              <w:widowControl/>
              <w:spacing w:line="220" w:lineRule="atLeast"/>
              <w:jc w:val="left"/>
              <w:rPr>
                <w:rFonts w:ascii="Times New Roman" w:eastAsia="等线" w:hAnsi="Times New Roman"/>
                <w:color w:val="000000"/>
                <w:kern w:val="0"/>
                <w:szCs w:val="21"/>
              </w:rPr>
            </w:pPr>
            <w:r>
              <w:rPr>
                <w:rFonts w:ascii="Times New Roman" w:eastAsia="等线" w:hAnsi="Times New Roman" w:hint="eastAsia"/>
                <w:color w:val="000000"/>
                <w:kern w:val="0"/>
                <w:szCs w:val="21"/>
              </w:rPr>
              <w:t>25-0193</w:t>
            </w:r>
          </w:p>
        </w:tc>
        <w:tc>
          <w:tcPr>
            <w:tcW w:w="1902" w:type="dxa"/>
            <w:tcBorders>
              <w:top w:val="nil"/>
              <w:left w:val="nil"/>
              <w:bottom w:val="nil"/>
              <w:right w:val="nil"/>
            </w:tcBorders>
            <w:shd w:val="clear" w:color="auto" w:fill="auto"/>
            <w:noWrap/>
            <w:vAlign w:val="bottom"/>
          </w:tcPr>
          <w:p w14:paraId="111B4372" w14:textId="77777777" w:rsidR="00D86489" w:rsidRDefault="00B22FD0">
            <w:pPr>
              <w:widowControl/>
              <w:spacing w:line="220" w:lineRule="atLeast"/>
              <w:jc w:val="left"/>
              <w:rPr>
                <w:rFonts w:ascii="Times New Roman" w:eastAsia="等线" w:hAnsi="Times New Roman"/>
                <w:color w:val="000000"/>
                <w:kern w:val="0"/>
                <w:szCs w:val="21"/>
              </w:rPr>
            </w:pPr>
            <w:r>
              <w:rPr>
                <w:rFonts w:ascii="Times New Roman" w:eastAsia="等线" w:hAnsi="Times New Roman" w:hint="eastAsia"/>
                <w:color w:val="000000"/>
                <w:kern w:val="0"/>
                <w:szCs w:val="21"/>
              </w:rPr>
              <w:t>rat monoclonal</w:t>
            </w:r>
          </w:p>
        </w:tc>
        <w:tc>
          <w:tcPr>
            <w:tcW w:w="848" w:type="dxa"/>
            <w:tcBorders>
              <w:top w:val="nil"/>
              <w:left w:val="nil"/>
              <w:bottom w:val="nil"/>
              <w:right w:val="nil"/>
            </w:tcBorders>
            <w:shd w:val="clear" w:color="auto" w:fill="auto"/>
            <w:noWrap/>
            <w:vAlign w:val="bottom"/>
          </w:tcPr>
          <w:p w14:paraId="5DF7376A" w14:textId="77777777" w:rsidR="00D86489" w:rsidRDefault="00D86489">
            <w:pPr>
              <w:widowControl/>
              <w:spacing w:line="220" w:lineRule="atLeast"/>
              <w:jc w:val="left"/>
              <w:rPr>
                <w:rFonts w:ascii="Times New Roman" w:eastAsia="等线" w:hAnsi="Times New Roman"/>
                <w:color w:val="000000"/>
                <w:kern w:val="0"/>
                <w:szCs w:val="21"/>
              </w:rPr>
            </w:pPr>
          </w:p>
        </w:tc>
        <w:tc>
          <w:tcPr>
            <w:tcW w:w="733" w:type="dxa"/>
            <w:tcBorders>
              <w:top w:val="nil"/>
              <w:left w:val="nil"/>
              <w:bottom w:val="nil"/>
              <w:right w:val="nil"/>
            </w:tcBorders>
            <w:shd w:val="clear" w:color="auto" w:fill="auto"/>
            <w:noWrap/>
            <w:vAlign w:val="bottom"/>
          </w:tcPr>
          <w:p w14:paraId="7015D6E4" w14:textId="77777777" w:rsidR="00D86489" w:rsidRDefault="00D86489">
            <w:pPr>
              <w:widowControl/>
              <w:spacing w:line="220" w:lineRule="atLeast"/>
              <w:jc w:val="left"/>
              <w:rPr>
                <w:rFonts w:ascii="Times New Roman" w:eastAsia="等线" w:hAnsi="Times New Roman"/>
                <w:color w:val="000000"/>
                <w:kern w:val="0"/>
                <w:szCs w:val="21"/>
              </w:rPr>
            </w:pPr>
          </w:p>
        </w:tc>
        <w:tc>
          <w:tcPr>
            <w:tcW w:w="847" w:type="dxa"/>
            <w:tcBorders>
              <w:top w:val="nil"/>
              <w:left w:val="nil"/>
              <w:bottom w:val="nil"/>
              <w:right w:val="nil"/>
            </w:tcBorders>
            <w:shd w:val="clear" w:color="auto" w:fill="auto"/>
            <w:noWrap/>
            <w:vAlign w:val="bottom"/>
          </w:tcPr>
          <w:p w14:paraId="10E1CC90" w14:textId="77777777" w:rsidR="00D86489" w:rsidRDefault="00B22FD0">
            <w:pPr>
              <w:widowControl/>
              <w:spacing w:line="220" w:lineRule="atLeast"/>
              <w:jc w:val="left"/>
              <w:rPr>
                <w:rFonts w:ascii="Times New Roman" w:eastAsia="等线" w:hAnsi="Times New Roman"/>
                <w:color w:val="000000"/>
                <w:kern w:val="0"/>
                <w:szCs w:val="21"/>
              </w:rPr>
            </w:pPr>
            <w:r>
              <w:rPr>
                <w:rFonts w:ascii="Times New Roman" w:eastAsia="等线" w:hAnsi="Times New Roman" w:hint="eastAsia"/>
                <w:color w:val="000000"/>
                <w:kern w:val="0"/>
                <w:szCs w:val="21"/>
              </w:rPr>
              <w:t>1:200</w:t>
            </w:r>
          </w:p>
        </w:tc>
      </w:tr>
      <w:tr w:rsidR="00D86489" w14:paraId="7E3B3EB8" w14:textId="77777777">
        <w:trPr>
          <w:trHeight w:val="276"/>
          <w:jc w:val="center"/>
        </w:trPr>
        <w:tc>
          <w:tcPr>
            <w:tcW w:w="1668" w:type="dxa"/>
            <w:tcBorders>
              <w:top w:val="nil"/>
              <w:left w:val="nil"/>
              <w:bottom w:val="nil"/>
              <w:right w:val="nil"/>
            </w:tcBorders>
            <w:shd w:val="clear" w:color="auto" w:fill="auto"/>
            <w:noWrap/>
            <w:vAlign w:val="bottom"/>
          </w:tcPr>
          <w:p w14:paraId="34B51D93" w14:textId="77777777" w:rsidR="00D86489" w:rsidRDefault="00B22FD0">
            <w:pPr>
              <w:widowControl/>
              <w:spacing w:line="220" w:lineRule="atLeast"/>
              <w:jc w:val="left"/>
              <w:rPr>
                <w:rFonts w:ascii="Times New Roman" w:eastAsia="等线" w:hAnsi="Times New Roman"/>
                <w:color w:val="000000"/>
                <w:kern w:val="0"/>
                <w:szCs w:val="21"/>
              </w:rPr>
            </w:pPr>
            <w:r>
              <w:rPr>
                <w:rFonts w:ascii="Times New Roman" w:eastAsia="等线" w:hAnsi="Times New Roman" w:hint="eastAsia"/>
                <w:color w:val="000000"/>
                <w:kern w:val="0"/>
                <w:szCs w:val="21"/>
              </w:rPr>
              <w:t>6E10</w:t>
            </w:r>
          </w:p>
        </w:tc>
        <w:tc>
          <w:tcPr>
            <w:tcW w:w="1261" w:type="dxa"/>
            <w:tcBorders>
              <w:top w:val="nil"/>
              <w:left w:val="nil"/>
              <w:bottom w:val="nil"/>
              <w:right w:val="nil"/>
            </w:tcBorders>
            <w:shd w:val="clear" w:color="auto" w:fill="auto"/>
            <w:noWrap/>
            <w:vAlign w:val="bottom"/>
          </w:tcPr>
          <w:p w14:paraId="233C6599" w14:textId="77777777" w:rsidR="00D86489" w:rsidRDefault="00B22FD0">
            <w:pPr>
              <w:widowControl/>
              <w:spacing w:line="220" w:lineRule="atLeast"/>
              <w:jc w:val="left"/>
              <w:rPr>
                <w:rFonts w:ascii="Times New Roman" w:eastAsia="等线" w:hAnsi="Times New Roman"/>
                <w:color w:val="000000"/>
                <w:kern w:val="0"/>
                <w:szCs w:val="21"/>
              </w:rPr>
            </w:pPr>
            <w:r>
              <w:rPr>
                <w:rFonts w:ascii="Times New Roman" w:eastAsia="等线" w:hAnsi="Times New Roman" w:hint="eastAsia"/>
                <w:color w:val="000000"/>
                <w:kern w:val="0"/>
                <w:szCs w:val="21"/>
              </w:rPr>
              <w:t>biolegend</w:t>
            </w:r>
          </w:p>
        </w:tc>
        <w:tc>
          <w:tcPr>
            <w:tcW w:w="1263" w:type="dxa"/>
            <w:tcBorders>
              <w:top w:val="nil"/>
              <w:left w:val="nil"/>
              <w:bottom w:val="nil"/>
              <w:right w:val="nil"/>
            </w:tcBorders>
            <w:shd w:val="clear" w:color="auto" w:fill="auto"/>
            <w:noWrap/>
            <w:vAlign w:val="bottom"/>
          </w:tcPr>
          <w:p w14:paraId="5F126636" w14:textId="77777777" w:rsidR="00D86489" w:rsidRDefault="00B22FD0">
            <w:pPr>
              <w:widowControl/>
              <w:spacing w:line="220" w:lineRule="atLeast"/>
              <w:jc w:val="left"/>
              <w:rPr>
                <w:rFonts w:ascii="Times New Roman" w:eastAsia="等线" w:hAnsi="Times New Roman"/>
                <w:color w:val="000000"/>
                <w:kern w:val="0"/>
                <w:szCs w:val="21"/>
              </w:rPr>
            </w:pPr>
            <w:r>
              <w:rPr>
                <w:rFonts w:ascii="Times New Roman" w:eastAsia="等线" w:hAnsi="Times New Roman" w:hint="eastAsia"/>
                <w:color w:val="000000"/>
                <w:kern w:val="0"/>
                <w:szCs w:val="21"/>
              </w:rPr>
              <w:t>803001</w:t>
            </w:r>
          </w:p>
        </w:tc>
        <w:tc>
          <w:tcPr>
            <w:tcW w:w="1902" w:type="dxa"/>
            <w:tcBorders>
              <w:top w:val="nil"/>
              <w:left w:val="nil"/>
              <w:bottom w:val="nil"/>
              <w:right w:val="nil"/>
            </w:tcBorders>
            <w:shd w:val="clear" w:color="auto" w:fill="auto"/>
            <w:noWrap/>
            <w:vAlign w:val="bottom"/>
          </w:tcPr>
          <w:p w14:paraId="5FE81855" w14:textId="77777777" w:rsidR="00D86489" w:rsidRDefault="00B22FD0">
            <w:pPr>
              <w:widowControl/>
              <w:spacing w:line="220" w:lineRule="atLeast"/>
              <w:jc w:val="left"/>
              <w:rPr>
                <w:rFonts w:ascii="Times New Roman" w:eastAsia="等线" w:hAnsi="Times New Roman"/>
                <w:color w:val="000000"/>
                <w:kern w:val="0"/>
                <w:szCs w:val="21"/>
              </w:rPr>
            </w:pPr>
            <w:r>
              <w:rPr>
                <w:rFonts w:ascii="Times New Roman" w:eastAsia="等线" w:hAnsi="Times New Roman" w:hint="eastAsia"/>
                <w:color w:val="000000"/>
                <w:kern w:val="0"/>
                <w:szCs w:val="21"/>
              </w:rPr>
              <w:t>m</w:t>
            </w:r>
            <w:r>
              <w:rPr>
                <w:rFonts w:ascii="Times New Roman" w:eastAsia="等线" w:hAnsi="Times New Roman"/>
                <w:color w:val="000000"/>
                <w:kern w:val="0"/>
                <w:szCs w:val="21"/>
              </w:rPr>
              <w:t xml:space="preserve">ouse </w:t>
            </w:r>
            <w:r>
              <w:rPr>
                <w:rFonts w:ascii="Times New Roman" w:eastAsia="等线" w:hAnsi="Times New Roman" w:hint="eastAsia"/>
                <w:color w:val="000000"/>
                <w:kern w:val="0"/>
                <w:szCs w:val="21"/>
              </w:rPr>
              <w:t>m</w:t>
            </w:r>
            <w:r>
              <w:rPr>
                <w:rFonts w:ascii="Times New Roman" w:eastAsia="等线" w:hAnsi="Times New Roman"/>
                <w:color w:val="000000"/>
                <w:kern w:val="0"/>
                <w:szCs w:val="21"/>
              </w:rPr>
              <w:t>onoclonal</w:t>
            </w:r>
          </w:p>
        </w:tc>
        <w:tc>
          <w:tcPr>
            <w:tcW w:w="848" w:type="dxa"/>
            <w:tcBorders>
              <w:top w:val="nil"/>
              <w:left w:val="nil"/>
              <w:bottom w:val="nil"/>
              <w:right w:val="nil"/>
            </w:tcBorders>
            <w:shd w:val="clear" w:color="auto" w:fill="auto"/>
            <w:noWrap/>
            <w:vAlign w:val="bottom"/>
          </w:tcPr>
          <w:p w14:paraId="65FA523D" w14:textId="77777777" w:rsidR="00D86489" w:rsidRDefault="00B22FD0">
            <w:pPr>
              <w:widowControl/>
              <w:spacing w:line="220" w:lineRule="atLeast"/>
              <w:jc w:val="left"/>
              <w:rPr>
                <w:rFonts w:ascii="Times New Roman" w:eastAsia="等线" w:hAnsi="Times New Roman"/>
                <w:color w:val="000000"/>
                <w:kern w:val="0"/>
                <w:szCs w:val="21"/>
              </w:rPr>
            </w:pPr>
            <w:r>
              <w:rPr>
                <w:rFonts w:ascii="Times New Roman" w:eastAsia="等线" w:hAnsi="Times New Roman" w:hint="eastAsia"/>
                <w:color w:val="000000"/>
                <w:kern w:val="0"/>
                <w:szCs w:val="21"/>
              </w:rPr>
              <w:t>1:1000</w:t>
            </w:r>
          </w:p>
        </w:tc>
        <w:tc>
          <w:tcPr>
            <w:tcW w:w="733" w:type="dxa"/>
            <w:tcBorders>
              <w:top w:val="nil"/>
              <w:left w:val="nil"/>
              <w:bottom w:val="nil"/>
              <w:right w:val="nil"/>
            </w:tcBorders>
            <w:shd w:val="clear" w:color="auto" w:fill="auto"/>
            <w:noWrap/>
            <w:vAlign w:val="bottom"/>
          </w:tcPr>
          <w:p w14:paraId="4F31D470" w14:textId="77777777" w:rsidR="00D86489" w:rsidRDefault="00B22FD0">
            <w:pPr>
              <w:widowControl/>
              <w:spacing w:line="220" w:lineRule="atLeast"/>
              <w:jc w:val="left"/>
              <w:rPr>
                <w:rFonts w:ascii="Times New Roman" w:eastAsia="等线" w:hAnsi="Times New Roman"/>
                <w:color w:val="000000"/>
                <w:kern w:val="0"/>
                <w:szCs w:val="21"/>
              </w:rPr>
            </w:pPr>
            <w:r>
              <w:rPr>
                <w:rFonts w:ascii="Times New Roman" w:eastAsia="等线" w:hAnsi="Times New Roman" w:hint="eastAsia"/>
                <w:color w:val="000000"/>
                <w:kern w:val="0"/>
                <w:szCs w:val="21"/>
              </w:rPr>
              <w:t>1:500</w:t>
            </w:r>
          </w:p>
        </w:tc>
        <w:tc>
          <w:tcPr>
            <w:tcW w:w="847" w:type="dxa"/>
            <w:tcBorders>
              <w:top w:val="nil"/>
              <w:left w:val="nil"/>
              <w:bottom w:val="nil"/>
              <w:right w:val="nil"/>
            </w:tcBorders>
            <w:shd w:val="clear" w:color="auto" w:fill="auto"/>
            <w:noWrap/>
            <w:vAlign w:val="bottom"/>
          </w:tcPr>
          <w:p w14:paraId="45AFA434" w14:textId="77777777" w:rsidR="00D86489" w:rsidRDefault="00D86489">
            <w:pPr>
              <w:widowControl/>
              <w:spacing w:line="220" w:lineRule="atLeast"/>
              <w:jc w:val="left"/>
              <w:rPr>
                <w:rFonts w:ascii="Times New Roman" w:eastAsia="Times New Roman" w:hAnsi="Times New Roman"/>
                <w:kern w:val="0"/>
                <w:szCs w:val="21"/>
              </w:rPr>
            </w:pPr>
          </w:p>
        </w:tc>
      </w:tr>
      <w:tr w:rsidR="00D86489" w14:paraId="3A5B8A2A" w14:textId="77777777">
        <w:trPr>
          <w:trHeight w:val="276"/>
          <w:jc w:val="center"/>
        </w:trPr>
        <w:tc>
          <w:tcPr>
            <w:tcW w:w="1668" w:type="dxa"/>
            <w:tcBorders>
              <w:top w:val="nil"/>
              <w:left w:val="nil"/>
              <w:bottom w:val="nil"/>
              <w:right w:val="nil"/>
            </w:tcBorders>
            <w:shd w:val="clear" w:color="auto" w:fill="auto"/>
            <w:noWrap/>
            <w:vAlign w:val="bottom"/>
          </w:tcPr>
          <w:p w14:paraId="41E22542" w14:textId="77777777" w:rsidR="00D86489" w:rsidRDefault="00B22FD0">
            <w:pPr>
              <w:widowControl/>
              <w:spacing w:line="220" w:lineRule="atLeast"/>
              <w:jc w:val="left"/>
              <w:rPr>
                <w:rFonts w:ascii="Times New Roman" w:eastAsia="等线" w:hAnsi="Times New Roman"/>
                <w:color w:val="000000"/>
                <w:kern w:val="0"/>
                <w:szCs w:val="21"/>
              </w:rPr>
            </w:pPr>
            <w:r>
              <w:rPr>
                <w:rFonts w:ascii="Times New Roman" w:eastAsia="等线" w:hAnsi="Times New Roman" w:hint="eastAsia"/>
                <w:color w:val="000000"/>
                <w:kern w:val="0"/>
                <w:szCs w:val="21"/>
              </w:rPr>
              <w:t>GFAP</w:t>
            </w:r>
          </w:p>
        </w:tc>
        <w:tc>
          <w:tcPr>
            <w:tcW w:w="1261" w:type="dxa"/>
            <w:tcBorders>
              <w:top w:val="nil"/>
              <w:left w:val="nil"/>
              <w:bottom w:val="nil"/>
              <w:right w:val="nil"/>
            </w:tcBorders>
            <w:shd w:val="clear" w:color="auto" w:fill="auto"/>
            <w:noWrap/>
            <w:vAlign w:val="bottom"/>
          </w:tcPr>
          <w:p w14:paraId="1BBC3E1A" w14:textId="77777777" w:rsidR="00D86489" w:rsidRDefault="00B22FD0">
            <w:pPr>
              <w:widowControl/>
              <w:spacing w:line="220" w:lineRule="atLeast"/>
              <w:jc w:val="left"/>
              <w:rPr>
                <w:rFonts w:ascii="Times New Roman" w:eastAsia="等线" w:hAnsi="Times New Roman"/>
                <w:color w:val="000000"/>
                <w:kern w:val="0"/>
                <w:szCs w:val="21"/>
              </w:rPr>
            </w:pPr>
            <w:r>
              <w:rPr>
                <w:rFonts w:ascii="Times New Roman" w:eastAsia="等线" w:hAnsi="Times New Roman"/>
                <w:color w:val="000000"/>
                <w:kern w:val="0"/>
                <w:szCs w:val="21"/>
              </w:rPr>
              <w:t>millipore</w:t>
            </w:r>
          </w:p>
        </w:tc>
        <w:tc>
          <w:tcPr>
            <w:tcW w:w="1263" w:type="dxa"/>
            <w:tcBorders>
              <w:top w:val="nil"/>
              <w:left w:val="nil"/>
              <w:bottom w:val="nil"/>
              <w:right w:val="nil"/>
            </w:tcBorders>
            <w:shd w:val="clear" w:color="auto" w:fill="auto"/>
            <w:noWrap/>
            <w:vAlign w:val="bottom"/>
          </w:tcPr>
          <w:p w14:paraId="1FA73F38" w14:textId="77777777" w:rsidR="00D86489" w:rsidRDefault="00B22FD0">
            <w:pPr>
              <w:widowControl/>
              <w:spacing w:line="220" w:lineRule="atLeast"/>
              <w:jc w:val="left"/>
              <w:rPr>
                <w:rFonts w:ascii="Times New Roman" w:eastAsia="等线" w:hAnsi="Times New Roman"/>
                <w:color w:val="000000"/>
                <w:kern w:val="0"/>
                <w:szCs w:val="21"/>
              </w:rPr>
            </w:pPr>
            <w:r>
              <w:rPr>
                <w:rFonts w:ascii="Times New Roman" w:eastAsia="等线" w:hAnsi="Times New Roman" w:hint="eastAsia"/>
                <w:color w:val="000000"/>
                <w:kern w:val="0"/>
                <w:szCs w:val="21"/>
              </w:rPr>
              <w:t>MAB360</w:t>
            </w:r>
          </w:p>
        </w:tc>
        <w:tc>
          <w:tcPr>
            <w:tcW w:w="1902" w:type="dxa"/>
            <w:tcBorders>
              <w:top w:val="nil"/>
              <w:left w:val="nil"/>
              <w:bottom w:val="nil"/>
              <w:right w:val="nil"/>
            </w:tcBorders>
            <w:shd w:val="clear" w:color="auto" w:fill="auto"/>
            <w:noWrap/>
            <w:vAlign w:val="bottom"/>
          </w:tcPr>
          <w:p w14:paraId="6E30FDAA" w14:textId="77777777" w:rsidR="00D86489" w:rsidRDefault="00B22FD0">
            <w:pPr>
              <w:widowControl/>
              <w:spacing w:line="220" w:lineRule="atLeast"/>
              <w:jc w:val="left"/>
              <w:rPr>
                <w:rFonts w:ascii="Times New Roman" w:eastAsia="等线" w:hAnsi="Times New Roman"/>
                <w:color w:val="000000"/>
                <w:kern w:val="0"/>
                <w:szCs w:val="21"/>
              </w:rPr>
            </w:pPr>
            <w:r>
              <w:rPr>
                <w:rFonts w:ascii="Times New Roman" w:eastAsia="等线" w:hAnsi="Times New Roman" w:hint="eastAsia"/>
                <w:color w:val="000000"/>
                <w:kern w:val="0"/>
                <w:szCs w:val="21"/>
              </w:rPr>
              <w:t>m</w:t>
            </w:r>
            <w:r>
              <w:rPr>
                <w:rFonts w:ascii="Times New Roman" w:eastAsia="等线" w:hAnsi="Times New Roman"/>
                <w:color w:val="000000"/>
                <w:kern w:val="0"/>
                <w:szCs w:val="21"/>
              </w:rPr>
              <w:t xml:space="preserve">ouse </w:t>
            </w:r>
            <w:r>
              <w:rPr>
                <w:rFonts w:ascii="Times New Roman" w:eastAsia="等线" w:hAnsi="Times New Roman" w:hint="eastAsia"/>
                <w:color w:val="000000"/>
                <w:kern w:val="0"/>
                <w:szCs w:val="21"/>
              </w:rPr>
              <w:t>m</w:t>
            </w:r>
            <w:r>
              <w:rPr>
                <w:rFonts w:ascii="Times New Roman" w:eastAsia="等线" w:hAnsi="Times New Roman"/>
                <w:color w:val="000000"/>
                <w:kern w:val="0"/>
                <w:szCs w:val="21"/>
              </w:rPr>
              <w:t>onoclonal</w:t>
            </w:r>
          </w:p>
        </w:tc>
        <w:tc>
          <w:tcPr>
            <w:tcW w:w="848" w:type="dxa"/>
            <w:tcBorders>
              <w:top w:val="nil"/>
              <w:left w:val="nil"/>
              <w:bottom w:val="nil"/>
              <w:right w:val="nil"/>
            </w:tcBorders>
            <w:shd w:val="clear" w:color="auto" w:fill="auto"/>
            <w:noWrap/>
            <w:vAlign w:val="bottom"/>
          </w:tcPr>
          <w:p w14:paraId="6880570B" w14:textId="77777777" w:rsidR="00D86489" w:rsidRDefault="00D86489">
            <w:pPr>
              <w:widowControl/>
              <w:spacing w:line="220" w:lineRule="atLeast"/>
              <w:jc w:val="left"/>
              <w:rPr>
                <w:rFonts w:ascii="Times New Roman" w:eastAsia="等线" w:hAnsi="Times New Roman"/>
                <w:color w:val="000000"/>
                <w:kern w:val="0"/>
                <w:szCs w:val="21"/>
              </w:rPr>
            </w:pPr>
          </w:p>
        </w:tc>
        <w:tc>
          <w:tcPr>
            <w:tcW w:w="733" w:type="dxa"/>
            <w:tcBorders>
              <w:top w:val="nil"/>
              <w:left w:val="nil"/>
              <w:bottom w:val="nil"/>
              <w:right w:val="nil"/>
            </w:tcBorders>
            <w:shd w:val="clear" w:color="auto" w:fill="auto"/>
            <w:noWrap/>
            <w:vAlign w:val="bottom"/>
          </w:tcPr>
          <w:p w14:paraId="1E983D9B" w14:textId="77777777" w:rsidR="00D86489" w:rsidRDefault="00B22FD0">
            <w:pPr>
              <w:widowControl/>
              <w:spacing w:line="220" w:lineRule="atLeast"/>
              <w:jc w:val="left"/>
              <w:rPr>
                <w:rFonts w:ascii="Times New Roman" w:eastAsia="等线" w:hAnsi="Times New Roman"/>
                <w:color w:val="000000"/>
                <w:kern w:val="0"/>
                <w:szCs w:val="21"/>
              </w:rPr>
            </w:pPr>
            <w:r>
              <w:rPr>
                <w:rFonts w:ascii="Times New Roman" w:eastAsia="等线" w:hAnsi="Times New Roman" w:hint="eastAsia"/>
                <w:color w:val="000000"/>
                <w:kern w:val="0"/>
                <w:szCs w:val="21"/>
              </w:rPr>
              <w:t>1:500</w:t>
            </w:r>
          </w:p>
        </w:tc>
        <w:tc>
          <w:tcPr>
            <w:tcW w:w="847" w:type="dxa"/>
            <w:tcBorders>
              <w:top w:val="nil"/>
              <w:left w:val="nil"/>
              <w:bottom w:val="nil"/>
              <w:right w:val="nil"/>
            </w:tcBorders>
            <w:shd w:val="clear" w:color="auto" w:fill="auto"/>
            <w:noWrap/>
            <w:vAlign w:val="bottom"/>
          </w:tcPr>
          <w:p w14:paraId="51801968" w14:textId="77777777" w:rsidR="00D86489" w:rsidRDefault="00D86489">
            <w:pPr>
              <w:widowControl/>
              <w:spacing w:line="220" w:lineRule="atLeast"/>
              <w:jc w:val="left"/>
              <w:rPr>
                <w:rFonts w:ascii="Times New Roman" w:eastAsia="等线" w:hAnsi="Times New Roman"/>
                <w:color w:val="000000"/>
                <w:kern w:val="0"/>
                <w:szCs w:val="21"/>
              </w:rPr>
            </w:pPr>
          </w:p>
        </w:tc>
      </w:tr>
      <w:tr w:rsidR="00D86489" w14:paraId="40A0C176" w14:textId="77777777">
        <w:trPr>
          <w:trHeight w:val="276"/>
          <w:jc w:val="center"/>
        </w:trPr>
        <w:tc>
          <w:tcPr>
            <w:tcW w:w="1668" w:type="dxa"/>
            <w:tcBorders>
              <w:top w:val="nil"/>
              <w:left w:val="nil"/>
              <w:bottom w:val="nil"/>
              <w:right w:val="nil"/>
            </w:tcBorders>
            <w:shd w:val="clear" w:color="auto" w:fill="auto"/>
            <w:noWrap/>
            <w:vAlign w:val="bottom"/>
          </w:tcPr>
          <w:p w14:paraId="64D04FDD" w14:textId="77777777" w:rsidR="00D86489" w:rsidRDefault="00B22FD0">
            <w:pPr>
              <w:widowControl/>
              <w:spacing w:line="220" w:lineRule="atLeast"/>
              <w:jc w:val="left"/>
              <w:rPr>
                <w:rFonts w:ascii="Times New Roman" w:eastAsia="等线" w:hAnsi="Times New Roman"/>
                <w:color w:val="000000"/>
                <w:kern w:val="0"/>
                <w:szCs w:val="21"/>
              </w:rPr>
            </w:pPr>
            <w:r>
              <w:rPr>
                <w:rFonts w:ascii="Times New Roman" w:eastAsia="等线" w:hAnsi="Times New Roman" w:hint="eastAsia"/>
                <w:color w:val="000000"/>
                <w:kern w:val="0"/>
                <w:szCs w:val="21"/>
              </w:rPr>
              <w:t>GFAP</w:t>
            </w:r>
          </w:p>
        </w:tc>
        <w:tc>
          <w:tcPr>
            <w:tcW w:w="1261" w:type="dxa"/>
            <w:tcBorders>
              <w:top w:val="nil"/>
              <w:left w:val="nil"/>
              <w:bottom w:val="nil"/>
              <w:right w:val="nil"/>
            </w:tcBorders>
            <w:shd w:val="clear" w:color="auto" w:fill="auto"/>
            <w:noWrap/>
            <w:vAlign w:val="bottom"/>
          </w:tcPr>
          <w:p w14:paraId="2694ACA0" w14:textId="77777777" w:rsidR="00D86489" w:rsidRDefault="00B22FD0">
            <w:pPr>
              <w:widowControl/>
              <w:spacing w:line="220" w:lineRule="atLeast"/>
              <w:jc w:val="left"/>
              <w:rPr>
                <w:rFonts w:ascii="Times New Roman" w:eastAsia="等线" w:hAnsi="Times New Roman"/>
                <w:color w:val="000000"/>
                <w:kern w:val="0"/>
                <w:szCs w:val="21"/>
              </w:rPr>
            </w:pPr>
            <w:r>
              <w:rPr>
                <w:rFonts w:ascii="Times New Roman" w:eastAsia="等线" w:hAnsi="Times New Roman" w:hint="eastAsia"/>
                <w:color w:val="000000"/>
                <w:kern w:val="0"/>
                <w:szCs w:val="21"/>
              </w:rPr>
              <w:t>abcam</w:t>
            </w:r>
          </w:p>
        </w:tc>
        <w:tc>
          <w:tcPr>
            <w:tcW w:w="1263" w:type="dxa"/>
            <w:tcBorders>
              <w:top w:val="nil"/>
              <w:left w:val="nil"/>
              <w:bottom w:val="nil"/>
              <w:right w:val="nil"/>
            </w:tcBorders>
            <w:shd w:val="clear" w:color="auto" w:fill="auto"/>
            <w:noWrap/>
            <w:vAlign w:val="bottom"/>
          </w:tcPr>
          <w:p w14:paraId="30AF39B6" w14:textId="77777777" w:rsidR="00D86489" w:rsidRDefault="00B22FD0">
            <w:pPr>
              <w:widowControl/>
              <w:spacing w:line="220" w:lineRule="atLeast"/>
              <w:jc w:val="left"/>
              <w:rPr>
                <w:rFonts w:ascii="Times New Roman" w:eastAsia="等线" w:hAnsi="Times New Roman"/>
                <w:color w:val="000000"/>
                <w:kern w:val="0"/>
                <w:szCs w:val="21"/>
              </w:rPr>
            </w:pPr>
            <w:r>
              <w:rPr>
                <w:rFonts w:ascii="Times New Roman" w:eastAsia="等线" w:hAnsi="Times New Roman"/>
                <w:color w:val="000000"/>
                <w:kern w:val="0"/>
                <w:szCs w:val="21"/>
              </w:rPr>
              <w:t>ab</w:t>
            </w:r>
            <w:r>
              <w:rPr>
                <w:rFonts w:ascii="Times New Roman" w:eastAsia="等线" w:hAnsi="Times New Roman" w:hint="eastAsia"/>
                <w:color w:val="000000"/>
                <w:kern w:val="0"/>
                <w:szCs w:val="21"/>
              </w:rPr>
              <w:t>4674</w:t>
            </w:r>
          </w:p>
        </w:tc>
        <w:tc>
          <w:tcPr>
            <w:tcW w:w="1902" w:type="dxa"/>
            <w:tcBorders>
              <w:top w:val="nil"/>
              <w:left w:val="nil"/>
              <w:bottom w:val="nil"/>
              <w:right w:val="nil"/>
            </w:tcBorders>
            <w:shd w:val="clear" w:color="auto" w:fill="auto"/>
            <w:noWrap/>
            <w:vAlign w:val="bottom"/>
          </w:tcPr>
          <w:p w14:paraId="4D45CED0" w14:textId="77777777" w:rsidR="00D86489" w:rsidRDefault="00B22FD0">
            <w:pPr>
              <w:widowControl/>
              <w:spacing w:line="220" w:lineRule="atLeast"/>
              <w:jc w:val="left"/>
              <w:rPr>
                <w:rFonts w:ascii="Times New Roman" w:eastAsia="等线" w:hAnsi="Times New Roman"/>
                <w:color w:val="000000"/>
                <w:kern w:val="0"/>
                <w:szCs w:val="21"/>
              </w:rPr>
            </w:pPr>
            <w:r>
              <w:rPr>
                <w:rFonts w:ascii="Times New Roman" w:eastAsia="等线" w:hAnsi="Times New Roman"/>
                <w:color w:val="000000"/>
                <w:kern w:val="0"/>
                <w:szCs w:val="21"/>
              </w:rPr>
              <w:t>chicken</w:t>
            </w:r>
            <w:r>
              <w:rPr>
                <w:rFonts w:ascii="Times New Roman" w:eastAsia="等线" w:hAnsi="Times New Roman" w:hint="eastAsia"/>
                <w:color w:val="000000"/>
                <w:kern w:val="0"/>
                <w:szCs w:val="21"/>
              </w:rPr>
              <w:t xml:space="preserve"> polyclonal</w:t>
            </w:r>
          </w:p>
        </w:tc>
        <w:tc>
          <w:tcPr>
            <w:tcW w:w="848" w:type="dxa"/>
            <w:tcBorders>
              <w:top w:val="nil"/>
              <w:left w:val="nil"/>
              <w:bottom w:val="nil"/>
              <w:right w:val="nil"/>
            </w:tcBorders>
            <w:shd w:val="clear" w:color="auto" w:fill="auto"/>
            <w:noWrap/>
            <w:vAlign w:val="bottom"/>
          </w:tcPr>
          <w:p w14:paraId="0A1BD749" w14:textId="77777777" w:rsidR="00D86489" w:rsidRDefault="00D86489">
            <w:pPr>
              <w:widowControl/>
              <w:spacing w:line="220" w:lineRule="atLeast"/>
              <w:jc w:val="left"/>
              <w:rPr>
                <w:rFonts w:ascii="Times New Roman" w:eastAsia="等线" w:hAnsi="Times New Roman"/>
                <w:color w:val="000000"/>
                <w:kern w:val="0"/>
                <w:szCs w:val="21"/>
              </w:rPr>
            </w:pPr>
          </w:p>
        </w:tc>
        <w:tc>
          <w:tcPr>
            <w:tcW w:w="733" w:type="dxa"/>
            <w:tcBorders>
              <w:top w:val="nil"/>
              <w:left w:val="nil"/>
              <w:bottom w:val="nil"/>
              <w:right w:val="nil"/>
            </w:tcBorders>
            <w:shd w:val="clear" w:color="auto" w:fill="auto"/>
            <w:noWrap/>
            <w:vAlign w:val="bottom"/>
          </w:tcPr>
          <w:p w14:paraId="691EB733" w14:textId="77777777" w:rsidR="00D86489" w:rsidRDefault="00B22FD0">
            <w:pPr>
              <w:widowControl/>
              <w:spacing w:line="220" w:lineRule="atLeast"/>
              <w:jc w:val="left"/>
              <w:rPr>
                <w:rFonts w:ascii="Times New Roman" w:eastAsia="等线" w:hAnsi="Times New Roman"/>
                <w:color w:val="000000"/>
                <w:kern w:val="0"/>
                <w:szCs w:val="21"/>
              </w:rPr>
            </w:pPr>
            <w:r>
              <w:rPr>
                <w:rFonts w:ascii="Times New Roman" w:eastAsia="等线" w:hAnsi="Times New Roman" w:hint="eastAsia"/>
                <w:color w:val="000000"/>
                <w:kern w:val="0"/>
                <w:szCs w:val="21"/>
              </w:rPr>
              <w:t>1:500</w:t>
            </w:r>
          </w:p>
        </w:tc>
        <w:tc>
          <w:tcPr>
            <w:tcW w:w="847" w:type="dxa"/>
            <w:tcBorders>
              <w:top w:val="nil"/>
              <w:left w:val="nil"/>
              <w:bottom w:val="nil"/>
              <w:right w:val="nil"/>
            </w:tcBorders>
            <w:shd w:val="clear" w:color="auto" w:fill="auto"/>
            <w:noWrap/>
            <w:vAlign w:val="bottom"/>
          </w:tcPr>
          <w:p w14:paraId="5A671BC2" w14:textId="77777777" w:rsidR="00D86489" w:rsidRDefault="00D86489">
            <w:pPr>
              <w:widowControl/>
              <w:spacing w:line="220" w:lineRule="atLeast"/>
              <w:jc w:val="left"/>
              <w:rPr>
                <w:rFonts w:ascii="Times New Roman" w:eastAsia="等线" w:hAnsi="Times New Roman"/>
                <w:color w:val="000000"/>
                <w:kern w:val="0"/>
                <w:szCs w:val="21"/>
              </w:rPr>
            </w:pPr>
          </w:p>
        </w:tc>
      </w:tr>
      <w:tr w:rsidR="00D86489" w14:paraId="357DC8B2" w14:textId="77777777">
        <w:trPr>
          <w:trHeight w:val="276"/>
          <w:jc w:val="center"/>
        </w:trPr>
        <w:tc>
          <w:tcPr>
            <w:tcW w:w="1668" w:type="dxa"/>
            <w:tcBorders>
              <w:top w:val="nil"/>
              <w:left w:val="nil"/>
              <w:bottom w:val="nil"/>
              <w:right w:val="nil"/>
            </w:tcBorders>
            <w:shd w:val="clear" w:color="auto" w:fill="auto"/>
            <w:noWrap/>
            <w:vAlign w:val="bottom"/>
          </w:tcPr>
          <w:p w14:paraId="722A997D" w14:textId="77777777" w:rsidR="00D86489" w:rsidRDefault="00B22FD0">
            <w:pPr>
              <w:widowControl/>
              <w:spacing w:line="220" w:lineRule="atLeast"/>
              <w:jc w:val="left"/>
              <w:rPr>
                <w:rFonts w:ascii="Times New Roman" w:eastAsia="等线" w:hAnsi="Times New Roman"/>
                <w:color w:val="000000"/>
                <w:kern w:val="0"/>
                <w:szCs w:val="21"/>
              </w:rPr>
            </w:pPr>
            <w:r>
              <w:rPr>
                <w:rFonts w:ascii="Times New Roman" w:eastAsia="等线" w:hAnsi="Times New Roman" w:hint="eastAsia"/>
                <w:color w:val="000000"/>
                <w:kern w:val="0"/>
                <w:szCs w:val="21"/>
              </w:rPr>
              <w:t>Iba-1</w:t>
            </w:r>
          </w:p>
        </w:tc>
        <w:tc>
          <w:tcPr>
            <w:tcW w:w="1261" w:type="dxa"/>
            <w:tcBorders>
              <w:top w:val="nil"/>
              <w:left w:val="nil"/>
              <w:bottom w:val="nil"/>
              <w:right w:val="nil"/>
            </w:tcBorders>
            <w:shd w:val="clear" w:color="auto" w:fill="auto"/>
            <w:noWrap/>
            <w:vAlign w:val="bottom"/>
          </w:tcPr>
          <w:p w14:paraId="674F5781" w14:textId="77777777" w:rsidR="00D86489" w:rsidRDefault="00B22FD0">
            <w:pPr>
              <w:widowControl/>
              <w:spacing w:line="220" w:lineRule="atLeast"/>
              <w:jc w:val="left"/>
              <w:rPr>
                <w:rFonts w:ascii="Times New Roman" w:eastAsia="等线" w:hAnsi="Times New Roman"/>
                <w:color w:val="000000"/>
                <w:kern w:val="0"/>
                <w:szCs w:val="21"/>
              </w:rPr>
            </w:pPr>
            <w:r>
              <w:rPr>
                <w:rFonts w:ascii="Times New Roman" w:eastAsia="等线" w:hAnsi="Times New Roman" w:hint="eastAsia"/>
                <w:color w:val="000000"/>
                <w:kern w:val="0"/>
                <w:szCs w:val="21"/>
              </w:rPr>
              <w:t>wako</w:t>
            </w:r>
          </w:p>
        </w:tc>
        <w:tc>
          <w:tcPr>
            <w:tcW w:w="1263" w:type="dxa"/>
            <w:tcBorders>
              <w:top w:val="nil"/>
              <w:left w:val="nil"/>
              <w:bottom w:val="nil"/>
              <w:right w:val="nil"/>
            </w:tcBorders>
            <w:shd w:val="clear" w:color="auto" w:fill="auto"/>
            <w:noWrap/>
            <w:vAlign w:val="bottom"/>
          </w:tcPr>
          <w:p w14:paraId="69DCDCE2" w14:textId="77777777" w:rsidR="00D86489" w:rsidRDefault="00B22FD0">
            <w:pPr>
              <w:widowControl/>
              <w:spacing w:line="220" w:lineRule="atLeast"/>
              <w:jc w:val="left"/>
              <w:rPr>
                <w:rFonts w:ascii="Times New Roman" w:eastAsia="等线" w:hAnsi="Times New Roman"/>
                <w:color w:val="000000"/>
                <w:kern w:val="0"/>
                <w:szCs w:val="21"/>
              </w:rPr>
            </w:pPr>
            <w:r>
              <w:rPr>
                <w:rFonts w:ascii="Times New Roman" w:eastAsia="等线" w:hAnsi="Times New Roman" w:hint="eastAsia"/>
                <w:color w:val="000000"/>
                <w:kern w:val="0"/>
                <w:szCs w:val="21"/>
              </w:rPr>
              <w:t>019-19741</w:t>
            </w:r>
          </w:p>
        </w:tc>
        <w:tc>
          <w:tcPr>
            <w:tcW w:w="1902" w:type="dxa"/>
            <w:tcBorders>
              <w:top w:val="nil"/>
              <w:left w:val="nil"/>
              <w:bottom w:val="nil"/>
              <w:right w:val="nil"/>
            </w:tcBorders>
            <w:shd w:val="clear" w:color="auto" w:fill="auto"/>
            <w:noWrap/>
            <w:vAlign w:val="bottom"/>
          </w:tcPr>
          <w:p w14:paraId="5912AEF4" w14:textId="77777777" w:rsidR="00D86489" w:rsidRDefault="00B22FD0">
            <w:pPr>
              <w:widowControl/>
              <w:spacing w:line="220" w:lineRule="atLeast"/>
              <w:jc w:val="left"/>
              <w:rPr>
                <w:rFonts w:ascii="Times New Roman" w:eastAsia="等线" w:hAnsi="Times New Roman"/>
                <w:color w:val="000000"/>
                <w:kern w:val="0"/>
                <w:szCs w:val="21"/>
              </w:rPr>
            </w:pPr>
            <w:r>
              <w:rPr>
                <w:rFonts w:ascii="Times New Roman" w:eastAsia="等线" w:hAnsi="Times New Roman" w:hint="eastAsia"/>
                <w:color w:val="000000"/>
                <w:kern w:val="0"/>
                <w:szCs w:val="21"/>
              </w:rPr>
              <w:t>r</w:t>
            </w:r>
            <w:r>
              <w:rPr>
                <w:rFonts w:ascii="Times New Roman" w:eastAsia="等线" w:hAnsi="Times New Roman"/>
                <w:color w:val="000000"/>
                <w:kern w:val="0"/>
                <w:szCs w:val="21"/>
              </w:rPr>
              <w:t xml:space="preserve">abbit </w:t>
            </w:r>
            <w:r>
              <w:rPr>
                <w:rFonts w:ascii="Times New Roman" w:eastAsia="等线" w:hAnsi="Times New Roman" w:hint="eastAsia"/>
                <w:color w:val="000000"/>
                <w:kern w:val="0"/>
                <w:szCs w:val="21"/>
              </w:rPr>
              <w:t>p</w:t>
            </w:r>
            <w:r>
              <w:rPr>
                <w:rFonts w:ascii="Times New Roman" w:eastAsia="等线" w:hAnsi="Times New Roman"/>
                <w:color w:val="000000"/>
                <w:kern w:val="0"/>
                <w:szCs w:val="21"/>
              </w:rPr>
              <w:t>olyclonal</w:t>
            </w:r>
          </w:p>
        </w:tc>
        <w:tc>
          <w:tcPr>
            <w:tcW w:w="848" w:type="dxa"/>
            <w:tcBorders>
              <w:top w:val="nil"/>
              <w:left w:val="nil"/>
              <w:bottom w:val="nil"/>
              <w:right w:val="nil"/>
            </w:tcBorders>
            <w:shd w:val="clear" w:color="auto" w:fill="auto"/>
            <w:noWrap/>
            <w:vAlign w:val="bottom"/>
          </w:tcPr>
          <w:p w14:paraId="3CCEB336" w14:textId="77777777" w:rsidR="00D86489" w:rsidRDefault="00D86489">
            <w:pPr>
              <w:widowControl/>
              <w:spacing w:line="220" w:lineRule="atLeast"/>
              <w:jc w:val="left"/>
              <w:rPr>
                <w:rFonts w:ascii="Times New Roman" w:eastAsia="等线" w:hAnsi="Times New Roman"/>
                <w:color w:val="000000"/>
                <w:kern w:val="0"/>
                <w:szCs w:val="21"/>
              </w:rPr>
            </w:pPr>
          </w:p>
        </w:tc>
        <w:tc>
          <w:tcPr>
            <w:tcW w:w="733" w:type="dxa"/>
            <w:tcBorders>
              <w:top w:val="nil"/>
              <w:left w:val="nil"/>
              <w:bottom w:val="nil"/>
              <w:right w:val="nil"/>
            </w:tcBorders>
            <w:shd w:val="clear" w:color="auto" w:fill="auto"/>
            <w:noWrap/>
            <w:vAlign w:val="bottom"/>
          </w:tcPr>
          <w:p w14:paraId="60BE0006" w14:textId="77777777" w:rsidR="00D86489" w:rsidRDefault="00B22FD0">
            <w:pPr>
              <w:widowControl/>
              <w:spacing w:line="220" w:lineRule="atLeast"/>
              <w:jc w:val="left"/>
              <w:rPr>
                <w:rFonts w:ascii="Times New Roman" w:eastAsia="等线" w:hAnsi="Times New Roman"/>
                <w:color w:val="000000"/>
                <w:kern w:val="0"/>
                <w:szCs w:val="21"/>
              </w:rPr>
            </w:pPr>
            <w:r>
              <w:rPr>
                <w:rFonts w:ascii="Times New Roman" w:eastAsia="等线" w:hAnsi="Times New Roman" w:hint="eastAsia"/>
                <w:color w:val="000000"/>
                <w:kern w:val="0"/>
                <w:szCs w:val="21"/>
              </w:rPr>
              <w:t>1:500</w:t>
            </w:r>
          </w:p>
        </w:tc>
        <w:tc>
          <w:tcPr>
            <w:tcW w:w="847" w:type="dxa"/>
            <w:tcBorders>
              <w:top w:val="nil"/>
              <w:left w:val="nil"/>
              <w:bottom w:val="nil"/>
              <w:right w:val="nil"/>
            </w:tcBorders>
            <w:shd w:val="clear" w:color="auto" w:fill="auto"/>
            <w:noWrap/>
            <w:vAlign w:val="bottom"/>
          </w:tcPr>
          <w:p w14:paraId="7413C51C" w14:textId="77777777" w:rsidR="00D86489" w:rsidRDefault="00D86489">
            <w:pPr>
              <w:widowControl/>
              <w:spacing w:line="220" w:lineRule="atLeast"/>
              <w:jc w:val="left"/>
              <w:rPr>
                <w:rFonts w:ascii="Times New Roman" w:eastAsia="Times New Roman" w:hAnsi="Times New Roman"/>
                <w:kern w:val="0"/>
                <w:szCs w:val="21"/>
              </w:rPr>
            </w:pPr>
          </w:p>
        </w:tc>
      </w:tr>
      <w:tr w:rsidR="00D86489" w14:paraId="133EB94B" w14:textId="77777777">
        <w:trPr>
          <w:trHeight w:val="276"/>
          <w:jc w:val="center"/>
        </w:trPr>
        <w:tc>
          <w:tcPr>
            <w:tcW w:w="1668" w:type="dxa"/>
            <w:tcBorders>
              <w:top w:val="nil"/>
              <w:left w:val="nil"/>
              <w:bottom w:val="nil"/>
              <w:right w:val="nil"/>
            </w:tcBorders>
            <w:shd w:val="clear" w:color="auto" w:fill="auto"/>
            <w:noWrap/>
            <w:vAlign w:val="bottom"/>
          </w:tcPr>
          <w:p w14:paraId="35892284" w14:textId="77777777" w:rsidR="00D86489" w:rsidRDefault="00B22FD0">
            <w:pPr>
              <w:widowControl/>
              <w:spacing w:line="220" w:lineRule="atLeast"/>
              <w:jc w:val="left"/>
              <w:rPr>
                <w:rFonts w:ascii="Times New Roman" w:eastAsia="等线" w:hAnsi="Times New Roman"/>
                <w:color w:val="000000"/>
                <w:kern w:val="0"/>
                <w:szCs w:val="21"/>
              </w:rPr>
            </w:pPr>
            <w:r>
              <w:rPr>
                <w:rFonts w:ascii="Times New Roman" w:eastAsia="等线" w:hAnsi="Times New Roman" w:hint="eastAsia"/>
                <w:color w:val="000000"/>
                <w:kern w:val="0"/>
                <w:szCs w:val="21"/>
              </w:rPr>
              <w:t>Iba-1</w:t>
            </w:r>
          </w:p>
        </w:tc>
        <w:tc>
          <w:tcPr>
            <w:tcW w:w="1261" w:type="dxa"/>
            <w:tcBorders>
              <w:top w:val="nil"/>
              <w:left w:val="nil"/>
              <w:bottom w:val="nil"/>
              <w:right w:val="nil"/>
            </w:tcBorders>
            <w:shd w:val="clear" w:color="auto" w:fill="auto"/>
            <w:noWrap/>
            <w:vAlign w:val="bottom"/>
          </w:tcPr>
          <w:p w14:paraId="68FDF13A" w14:textId="77777777" w:rsidR="00D86489" w:rsidRDefault="00B22FD0">
            <w:pPr>
              <w:widowControl/>
              <w:spacing w:line="220" w:lineRule="atLeast"/>
              <w:jc w:val="left"/>
              <w:rPr>
                <w:rFonts w:ascii="Times New Roman" w:eastAsia="等线" w:hAnsi="Times New Roman"/>
                <w:color w:val="000000"/>
                <w:kern w:val="0"/>
                <w:szCs w:val="21"/>
              </w:rPr>
            </w:pPr>
            <w:r>
              <w:rPr>
                <w:rFonts w:ascii="Times New Roman" w:eastAsia="等线" w:hAnsi="Times New Roman" w:hint="eastAsia"/>
                <w:color w:val="000000"/>
                <w:kern w:val="0"/>
                <w:szCs w:val="21"/>
              </w:rPr>
              <w:t>abcam</w:t>
            </w:r>
          </w:p>
        </w:tc>
        <w:tc>
          <w:tcPr>
            <w:tcW w:w="1263" w:type="dxa"/>
            <w:tcBorders>
              <w:top w:val="nil"/>
              <w:left w:val="nil"/>
              <w:bottom w:val="nil"/>
              <w:right w:val="nil"/>
            </w:tcBorders>
            <w:shd w:val="clear" w:color="auto" w:fill="auto"/>
            <w:noWrap/>
            <w:vAlign w:val="bottom"/>
          </w:tcPr>
          <w:p w14:paraId="711C1EA6" w14:textId="77777777" w:rsidR="00D86489" w:rsidRDefault="00B22FD0">
            <w:pPr>
              <w:widowControl/>
              <w:spacing w:line="220" w:lineRule="atLeast"/>
              <w:jc w:val="left"/>
              <w:rPr>
                <w:rFonts w:ascii="Times New Roman" w:eastAsia="等线" w:hAnsi="Times New Roman"/>
                <w:color w:val="000000"/>
                <w:kern w:val="0"/>
                <w:szCs w:val="21"/>
              </w:rPr>
            </w:pPr>
            <w:r>
              <w:rPr>
                <w:rFonts w:ascii="Times New Roman" w:eastAsia="等线" w:hAnsi="Times New Roman"/>
                <w:color w:val="000000"/>
                <w:kern w:val="0"/>
                <w:szCs w:val="21"/>
              </w:rPr>
              <w:t>ab</w:t>
            </w:r>
            <w:r>
              <w:rPr>
                <w:rFonts w:ascii="Times New Roman" w:eastAsia="等线" w:hAnsi="Times New Roman" w:hint="eastAsia"/>
                <w:color w:val="000000"/>
                <w:kern w:val="0"/>
                <w:szCs w:val="21"/>
              </w:rPr>
              <w:t>5076</w:t>
            </w:r>
          </w:p>
        </w:tc>
        <w:tc>
          <w:tcPr>
            <w:tcW w:w="1902" w:type="dxa"/>
            <w:tcBorders>
              <w:top w:val="nil"/>
              <w:left w:val="nil"/>
              <w:bottom w:val="nil"/>
              <w:right w:val="nil"/>
            </w:tcBorders>
            <w:shd w:val="clear" w:color="auto" w:fill="auto"/>
            <w:noWrap/>
            <w:vAlign w:val="bottom"/>
          </w:tcPr>
          <w:p w14:paraId="5ED0CBAD" w14:textId="77777777" w:rsidR="00D86489" w:rsidRDefault="00B22FD0">
            <w:pPr>
              <w:widowControl/>
              <w:spacing w:line="220" w:lineRule="atLeast"/>
              <w:jc w:val="left"/>
              <w:rPr>
                <w:rFonts w:ascii="Times New Roman" w:eastAsia="等线" w:hAnsi="Times New Roman"/>
                <w:color w:val="000000"/>
                <w:kern w:val="0"/>
                <w:szCs w:val="21"/>
              </w:rPr>
            </w:pPr>
            <w:r>
              <w:rPr>
                <w:rFonts w:ascii="Times New Roman" w:eastAsia="等线" w:hAnsi="Times New Roman"/>
                <w:color w:val="000000"/>
                <w:kern w:val="0"/>
                <w:szCs w:val="21"/>
              </w:rPr>
              <w:t>goat</w:t>
            </w:r>
            <w:r>
              <w:rPr>
                <w:rFonts w:ascii="Times New Roman" w:eastAsia="等线" w:hAnsi="Times New Roman" w:hint="eastAsia"/>
                <w:color w:val="000000"/>
                <w:kern w:val="0"/>
                <w:szCs w:val="21"/>
              </w:rPr>
              <w:t xml:space="preserve"> polyclonal</w:t>
            </w:r>
          </w:p>
        </w:tc>
        <w:tc>
          <w:tcPr>
            <w:tcW w:w="848" w:type="dxa"/>
            <w:tcBorders>
              <w:top w:val="nil"/>
              <w:left w:val="nil"/>
              <w:bottom w:val="nil"/>
              <w:right w:val="nil"/>
            </w:tcBorders>
            <w:shd w:val="clear" w:color="auto" w:fill="auto"/>
            <w:noWrap/>
            <w:vAlign w:val="bottom"/>
          </w:tcPr>
          <w:p w14:paraId="0B2291FA" w14:textId="77777777" w:rsidR="00D86489" w:rsidRDefault="00D86489">
            <w:pPr>
              <w:widowControl/>
              <w:spacing w:line="220" w:lineRule="atLeast"/>
              <w:jc w:val="left"/>
              <w:rPr>
                <w:rFonts w:ascii="Times New Roman" w:eastAsia="等线" w:hAnsi="Times New Roman"/>
                <w:color w:val="000000"/>
                <w:kern w:val="0"/>
                <w:szCs w:val="21"/>
              </w:rPr>
            </w:pPr>
          </w:p>
        </w:tc>
        <w:tc>
          <w:tcPr>
            <w:tcW w:w="733" w:type="dxa"/>
            <w:tcBorders>
              <w:top w:val="nil"/>
              <w:left w:val="nil"/>
              <w:bottom w:val="nil"/>
              <w:right w:val="nil"/>
            </w:tcBorders>
            <w:shd w:val="clear" w:color="auto" w:fill="auto"/>
            <w:noWrap/>
            <w:vAlign w:val="bottom"/>
          </w:tcPr>
          <w:p w14:paraId="4846ED66" w14:textId="77777777" w:rsidR="00D86489" w:rsidRDefault="00B22FD0">
            <w:pPr>
              <w:widowControl/>
              <w:spacing w:line="220" w:lineRule="atLeast"/>
              <w:jc w:val="left"/>
              <w:rPr>
                <w:rFonts w:ascii="Times New Roman" w:eastAsia="等线" w:hAnsi="Times New Roman"/>
                <w:color w:val="000000"/>
                <w:kern w:val="0"/>
                <w:szCs w:val="21"/>
              </w:rPr>
            </w:pPr>
            <w:r>
              <w:rPr>
                <w:rFonts w:ascii="Times New Roman" w:eastAsia="等线" w:hAnsi="Times New Roman" w:hint="eastAsia"/>
                <w:color w:val="000000"/>
                <w:kern w:val="0"/>
                <w:szCs w:val="21"/>
              </w:rPr>
              <w:t>1:500</w:t>
            </w:r>
          </w:p>
        </w:tc>
        <w:tc>
          <w:tcPr>
            <w:tcW w:w="847" w:type="dxa"/>
            <w:tcBorders>
              <w:top w:val="nil"/>
              <w:left w:val="nil"/>
              <w:bottom w:val="nil"/>
              <w:right w:val="nil"/>
            </w:tcBorders>
            <w:shd w:val="clear" w:color="auto" w:fill="auto"/>
            <w:noWrap/>
            <w:vAlign w:val="bottom"/>
          </w:tcPr>
          <w:p w14:paraId="640E4A21" w14:textId="77777777" w:rsidR="00D86489" w:rsidRDefault="00D86489">
            <w:pPr>
              <w:widowControl/>
              <w:spacing w:line="220" w:lineRule="atLeast"/>
              <w:jc w:val="left"/>
              <w:rPr>
                <w:rFonts w:ascii="Times New Roman" w:eastAsia="Times New Roman" w:hAnsi="Times New Roman"/>
                <w:kern w:val="0"/>
                <w:szCs w:val="21"/>
              </w:rPr>
            </w:pPr>
          </w:p>
        </w:tc>
      </w:tr>
      <w:tr w:rsidR="00D86489" w14:paraId="1BFE0510" w14:textId="77777777">
        <w:trPr>
          <w:trHeight w:val="276"/>
          <w:jc w:val="center"/>
        </w:trPr>
        <w:tc>
          <w:tcPr>
            <w:tcW w:w="1668" w:type="dxa"/>
            <w:tcBorders>
              <w:top w:val="nil"/>
              <w:left w:val="nil"/>
              <w:bottom w:val="nil"/>
              <w:right w:val="nil"/>
            </w:tcBorders>
            <w:shd w:val="clear" w:color="auto" w:fill="auto"/>
            <w:noWrap/>
            <w:vAlign w:val="bottom"/>
          </w:tcPr>
          <w:p w14:paraId="68573BE6" w14:textId="77777777" w:rsidR="00D86489" w:rsidRDefault="00B22FD0">
            <w:pPr>
              <w:widowControl/>
              <w:spacing w:line="220" w:lineRule="atLeast"/>
              <w:jc w:val="left"/>
              <w:rPr>
                <w:rFonts w:ascii="Times New Roman" w:eastAsia="等线" w:hAnsi="Times New Roman"/>
                <w:color w:val="000000"/>
                <w:kern w:val="0"/>
                <w:szCs w:val="21"/>
              </w:rPr>
            </w:pPr>
            <w:r>
              <w:rPr>
                <w:rFonts w:ascii="Times New Roman" w:eastAsia="等线" w:hAnsi="Times New Roman" w:hint="eastAsia"/>
                <w:color w:val="000000"/>
                <w:kern w:val="0"/>
                <w:szCs w:val="21"/>
              </w:rPr>
              <w:t>SYP</w:t>
            </w:r>
          </w:p>
        </w:tc>
        <w:tc>
          <w:tcPr>
            <w:tcW w:w="1261" w:type="dxa"/>
            <w:tcBorders>
              <w:top w:val="nil"/>
              <w:left w:val="nil"/>
              <w:bottom w:val="nil"/>
              <w:right w:val="nil"/>
            </w:tcBorders>
            <w:shd w:val="clear" w:color="auto" w:fill="auto"/>
            <w:noWrap/>
            <w:vAlign w:val="bottom"/>
          </w:tcPr>
          <w:p w14:paraId="75A1D598" w14:textId="77777777" w:rsidR="00D86489" w:rsidRDefault="00B22FD0">
            <w:pPr>
              <w:widowControl/>
              <w:spacing w:line="220" w:lineRule="atLeast"/>
              <w:jc w:val="left"/>
              <w:rPr>
                <w:rFonts w:ascii="Times New Roman" w:eastAsia="等线" w:hAnsi="Times New Roman"/>
                <w:color w:val="000000"/>
                <w:kern w:val="0"/>
                <w:szCs w:val="21"/>
              </w:rPr>
            </w:pPr>
            <w:r>
              <w:rPr>
                <w:rFonts w:ascii="Times New Roman" w:eastAsia="等线" w:hAnsi="Times New Roman"/>
                <w:color w:val="000000"/>
                <w:kern w:val="0"/>
                <w:szCs w:val="21"/>
              </w:rPr>
              <w:t>millipore</w:t>
            </w:r>
          </w:p>
        </w:tc>
        <w:tc>
          <w:tcPr>
            <w:tcW w:w="1263" w:type="dxa"/>
            <w:tcBorders>
              <w:top w:val="nil"/>
              <w:left w:val="nil"/>
              <w:bottom w:val="nil"/>
              <w:right w:val="nil"/>
            </w:tcBorders>
            <w:shd w:val="clear" w:color="auto" w:fill="auto"/>
            <w:noWrap/>
            <w:vAlign w:val="bottom"/>
          </w:tcPr>
          <w:p w14:paraId="5C8C2FC3" w14:textId="77777777" w:rsidR="00D86489" w:rsidRDefault="00B22FD0">
            <w:pPr>
              <w:widowControl/>
              <w:spacing w:line="220" w:lineRule="atLeast"/>
              <w:jc w:val="left"/>
              <w:rPr>
                <w:rFonts w:ascii="Times New Roman" w:eastAsia="等线" w:hAnsi="Times New Roman"/>
                <w:color w:val="000000"/>
                <w:kern w:val="0"/>
                <w:szCs w:val="21"/>
              </w:rPr>
            </w:pPr>
            <w:r>
              <w:rPr>
                <w:rFonts w:ascii="Times New Roman" w:eastAsia="等线" w:hAnsi="Times New Roman"/>
                <w:color w:val="000000"/>
                <w:kern w:val="0"/>
                <w:szCs w:val="21"/>
              </w:rPr>
              <w:t>MAB5258-I</w:t>
            </w:r>
          </w:p>
        </w:tc>
        <w:tc>
          <w:tcPr>
            <w:tcW w:w="1902" w:type="dxa"/>
            <w:tcBorders>
              <w:top w:val="nil"/>
              <w:left w:val="nil"/>
              <w:bottom w:val="nil"/>
              <w:right w:val="nil"/>
            </w:tcBorders>
            <w:shd w:val="clear" w:color="auto" w:fill="auto"/>
            <w:noWrap/>
            <w:vAlign w:val="bottom"/>
          </w:tcPr>
          <w:p w14:paraId="09113C50" w14:textId="77777777" w:rsidR="00D86489" w:rsidRDefault="00B22FD0">
            <w:pPr>
              <w:widowControl/>
              <w:spacing w:line="220" w:lineRule="atLeast"/>
              <w:jc w:val="left"/>
              <w:rPr>
                <w:rFonts w:ascii="Times New Roman" w:eastAsia="等线" w:hAnsi="Times New Roman"/>
                <w:color w:val="000000"/>
                <w:kern w:val="0"/>
                <w:szCs w:val="21"/>
              </w:rPr>
            </w:pPr>
            <w:r>
              <w:rPr>
                <w:rFonts w:ascii="Times New Roman" w:eastAsia="等线" w:hAnsi="Times New Roman" w:hint="eastAsia"/>
                <w:color w:val="000000"/>
                <w:kern w:val="0"/>
                <w:szCs w:val="21"/>
              </w:rPr>
              <w:t>m</w:t>
            </w:r>
            <w:r>
              <w:rPr>
                <w:rFonts w:ascii="Times New Roman" w:eastAsia="等线" w:hAnsi="Times New Roman"/>
                <w:color w:val="000000"/>
                <w:kern w:val="0"/>
                <w:szCs w:val="21"/>
              </w:rPr>
              <w:t xml:space="preserve">ouse </w:t>
            </w:r>
            <w:r>
              <w:rPr>
                <w:rFonts w:ascii="Times New Roman" w:eastAsia="等线" w:hAnsi="Times New Roman" w:hint="eastAsia"/>
                <w:color w:val="000000"/>
                <w:kern w:val="0"/>
                <w:szCs w:val="21"/>
              </w:rPr>
              <w:t>m</w:t>
            </w:r>
            <w:r>
              <w:rPr>
                <w:rFonts w:ascii="Times New Roman" w:eastAsia="等线" w:hAnsi="Times New Roman"/>
                <w:color w:val="000000"/>
                <w:kern w:val="0"/>
                <w:szCs w:val="21"/>
              </w:rPr>
              <w:t>onoclonal</w:t>
            </w:r>
          </w:p>
        </w:tc>
        <w:tc>
          <w:tcPr>
            <w:tcW w:w="848" w:type="dxa"/>
            <w:tcBorders>
              <w:top w:val="nil"/>
              <w:left w:val="nil"/>
              <w:bottom w:val="nil"/>
              <w:right w:val="nil"/>
            </w:tcBorders>
            <w:shd w:val="clear" w:color="auto" w:fill="auto"/>
            <w:noWrap/>
            <w:vAlign w:val="bottom"/>
          </w:tcPr>
          <w:p w14:paraId="75436ED3" w14:textId="77777777" w:rsidR="00D86489" w:rsidRDefault="00B22FD0">
            <w:pPr>
              <w:widowControl/>
              <w:spacing w:line="220" w:lineRule="atLeast"/>
              <w:jc w:val="left"/>
              <w:rPr>
                <w:rFonts w:ascii="Times New Roman" w:eastAsia="等线" w:hAnsi="Times New Roman"/>
                <w:color w:val="000000"/>
                <w:kern w:val="0"/>
                <w:szCs w:val="21"/>
              </w:rPr>
            </w:pPr>
            <w:r>
              <w:rPr>
                <w:rFonts w:ascii="Times New Roman" w:eastAsia="等线" w:hAnsi="Times New Roman"/>
                <w:color w:val="000000"/>
                <w:kern w:val="0"/>
                <w:szCs w:val="21"/>
              </w:rPr>
              <w:t>1:1000</w:t>
            </w:r>
          </w:p>
        </w:tc>
        <w:tc>
          <w:tcPr>
            <w:tcW w:w="733" w:type="dxa"/>
            <w:tcBorders>
              <w:top w:val="nil"/>
              <w:left w:val="nil"/>
              <w:bottom w:val="nil"/>
              <w:right w:val="nil"/>
            </w:tcBorders>
            <w:shd w:val="clear" w:color="auto" w:fill="auto"/>
            <w:noWrap/>
            <w:vAlign w:val="bottom"/>
          </w:tcPr>
          <w:p w14:paraId="36FF8379" w14:textId="77777777" w:rsidR="00D86489" w:rsidRDefault="00D86489">
            <w:pPr>
              <w:widowControl/>
              <w:spacing w:line="220" w:lineRule="atLeast"/>
              <w:jc w:val="left"/>
              <w:rPr>
                <w:rFonts w:ascii="Times New Roman" w:eastAsia="等线" w:hAnsi="Times New Roman"/>
                <w:color w:val="000000"/>
                <w:kern w:val="0"/>
                <w:szCs w:val="21"/>
              </w:rPr>
            </w:pPr>
          </w:p>
        </w:tc>
        <w:tc>
          <w:tcPr>
            <w:tcW w:w="847" w:type="dxa"/>
            <w:tcBorders>
              <w:top w:val="nil"/>
              <w:left w:val="nil"/>
              <w:bottom w:val="nil"/>
              <w:right w:val="nil"/>
            </w:tcBorders>
            <w:shd w:val="clear" w:color="auto" w:fill="auto"/>
            <w:noWrap/>
            <w:vAlign w:val="bottom"/>
          </w:tcPr>
          <w:p w14:paraId="03638550" w14:textId="77777777" w:rsidR="00D86489" w:rsidRDefault="00D86489">
            <w:pPr>
              <w:widowControl/>
              <w:spacing w:line="220" w:lineRule="atLeast"/>
              <w:jc w:val="left"/>
              <w:rPr>
                <w:rFonts w:ascii="Times New Roman" w:eastAsia="Times New Roman" w:hAnsi="Times New Roman"/>
                <w:kern w:val="0"/>
                <w:szCs w:val="21"/>
              </w:rPr>
            </w:pPr>
          </w:p>
        </w:tc>
      </w:tr>
      <w:tr w:rsidR="00D86489" w14:paraId="18BF3415" w14:textId="77777777">
        <w:trPr>
          <w:trHeight w:val="276"/>
          <w:jc w:val="center"/>
        </w:trPr>
        <w:tc>
          <w:tcPr>
            <w:tcW w:w="1668" w:type="dxa"/>
            <w:tcBorders>
              <w:top w:val="nil"/>
              <w:left w:val="nil"/>
              <w:bottom w:val="nil"/>
              <w:right w:val="nil"/>
            </w:tcBorders>
            <w:shd w:val="clear" w:color="auto" w:fill="auto"/>
            <w:noWrap/>
            <w:vAlign w:val="bottom"/>
          </w:tcPr>
          <w:p w14:paraId="7B14F6B9" w14:textId="77777777" w:rsidR="00D86489" w:rsidRDefault="00B22FD0">
            <w:pPr>
              <w:widowControl/>
              <w:spacing w:line="220" w:lineRule="atLeast"/>
              <w:jc w:val="left"/>
              <w:rPr>
                <w:rFonts w:ascii="Times New Roman" w:eastAsia="等线" w:hAnsi="Times New Roman"/>
                <w:color w:val="000000"/>
                <w:kern w:val="0"/>
                <w:szCs w:val="21"/>
              </w:rPr>
            </w:pPr>
            <w:r>
              <w:rPr>
                <w:rFonts w:ascii="Times New Roman" w:eastAsia="等线" w:hAnsi="Times New Roman" w:hint="eastAsia"/>
                <w:color w:val="000000"/>
                <w:kern w:val="0"/>
                <w:szCs w:val="21"/>
              </w:rPr>
              <w:t>SYN</w:t>
            </w:r>
          </w:p>
        </w:tc>
        <w:tc>
          <w:tcPr>
            <w:tcW w:w="1261" w:type="dxa"/>
            <w:tcBorders>
              <w:top w:val="nil"/>
              <w:left w:val="nil"/>
              <w:bottom w:val="nil"/>
              <w:right w:val="nil"/>
            </w:tcBorders>
            <w:shd w:val="clear" w:color="auto" w:fill="auto"/>
            <w:noWrap/>
            <w:vAlign w:val="bottom"/>
          </w:tcPr>
          <w:p w14:paraId="6E4A1516" w14:textId="77777777" w:rsidR="00D86489" w:rsidRDefault="00B22FD0">
            <w:pPr>
              <w:widowControl/>
              <w:spacing w:line="220" w:lineRule="atLeast"/>
              <w:jc w:val="left"/>
              <w:rPr>
                <w:rFonts w:ascii="Times New Roman" w:eastAsia="等线" w:hAnsi="Times New Roman"/>
                <w:color w:val="000000"/>
                <w:kern w:val="0"/>
                <w:szCs w:val="21"/>
              </w:rPr>
            </w:pPr>
            <w:r>
              <w:rPr>
                <w:rFonts w:ascii="Times New Roman" w:eastAsia="等线" w:hAnsi="Times New Roman" w:hint="eastAsia"/>
                <w:color w:val="000000"/>
                <w:kern w:val="0"/>
                <w:szCs w:val="21"/>
              </w:rPr>
              <w:t>abcam</w:t>
            </w:r>
          </w:p>
        </w:tc>
        <w:tc>
          <w:tcPr>
            <w:tcW w:w="1263" w:type="dxa"/>
            <w:tcBorders>
              <w:top w:val="nil"/>
              <w:left w:val="nil"/>
              <w:bottom w:val="nil"/>
              <w:right w:val="nil"/>
            </w:tcBorders>
            <w:shd w:val="clear" w:color="auto" w:fill="auto"/>
            <w:noWrap/>
            <w:vAlign w:val="bottom"/>
          </w:tcPr>
          <w:p w14:paraId="2B17CCD4" w14:textId="77777777" w:rsidR="00D86489" w:rsidRDefault="00B22FD0">
            <w:pPr>
              <w:widowControl/>
              <w:spacing w:line="220" w:lineRule="atLeast"/>
              <w:jc w:val="left"/>
              <w:rPr>
                <w:rFonts w:ascii="Times New Roman" w:eastAsia="等线" w:hAnsi="Times New Roman"/>
                <w:color w:val="000000"/>
                <w:kern w:val="0"/>
                <w:szCs w:val="21"/>
              </w:rPr>
            </w:pPr>
            <w:r>
              <w:rPr>
                <w:rFonts w:ascii="Times New Roman" w:eastAsia="等线" w:hAnsi="Times New Roman"/>
                <w:color w:val="000000"/>
                <w:kern w:val="0"/>
                <w:szCs w:val="21"/>
              </w:rPr>
              <w:t>ab</w:t>
            </w:r>
            <w:r>
              <w:rPr>
                <w:rFonts w:ascii="Times New Roman" w:eastAsia="等线" w:hAnsi="Times New Roman" w:hint="eastAsia"/>
                <w:color w:val="000000"/>
                <w:kern w:val="0"/>
                <w:szCs w:val="21"/>
              </w:rPr>
              <w:t>64581</w:t>
            </w:r>
          </w:p>
        </w:tc>
        <w:tc>
          <w:tcPr>
            <w:tcW w:w="1902" w:type="dxa"/>
            <w:tcBorders>
              <w:top w:val="nil"/>
              <w:left w:val="nil"/>
              <w:bottom w:val="nil"/>
              <w:right w:val="nil"/>
            </w:tcBorders>
            <w:shd w:val="clear" w:color="auto" w:fill="auto"/>
            <w:noWrap/>
            <w:vAlign w:val="bottom"/>
          </w:tcPr>
          <w:p w14:paraId="4B19A0C7" w14:textId="77777777" w:rsidR="00D86489" w:rsidRDefault="00B22FD0">
            <w:pPr>
              <w:widowControl/>
              <w:spacing w:line="220" w:lineRule="atLeast"/>
              <w:jc w:val="left"/>
              <w:rPr>
                <w:rFonts w:ascii="Times New Roman" w:eastAsia="等线" w:hAnsi="Times New Roman"/>
                <w:color w:val="000000"/>
                <w:kern w:val="0"/>
                <w:szCs w:val="21"/>
              </w:rPr>
            </w:pPr>
            <w:r>
              <w:rPr>
                <w:rFonts w:ascii="Times New Roman" w:eastAsia="等线" w:hAnsi="Times New Roman" w:hint="eastAsia"/>
                <w:color w:val="000000"/>
                <w:kern w:val="0"/>
                <w:szCs w:val="21"/>
              </w:rPr>
              <w:t>r</w:t>
            </w:r>
            <w:r>
              <w:rPr>
                <w:rFonts w:ascii="Times New Roman" w:eastAsia="等线" w:hAnsi="Times New Roman"/>
                <w:color w:val="000000"/>
                <w:kern w:val="0"/>
                <w:szCs w:val="21"/>
              </w:rPr>
              <w:t xml:space="preserve">abbit </w:t>
            </w:r>
            <w:r>
              <w:rPr>
                <w:rFonts w:ascii="Times New Roman" w:eastAsia="等线" w:hAnsi="Times New Roman" w:hint="eastAsia"/>
                <w:color w:val="000000"/>
                <w:kern w:val="0"/>
                <w:szCs w:val="21"/>
              </w:rPr>
              <w:t>p</w:t>
            </w:r>
            <w:r>
              <w:rPr>
                <w:rFonts w:ascii="Times New Roman" w:eastAsia="等线" w:hAnsi="Times New Roman"/>
                <w:color w:val="000000"/>
                <w:kern w:val="0"/>
                <w:szCs w:val="21"/>
              </w:rPr>
              <w:t>olyclonal</w:t>
            </w:r>
          </w:p>
        </w:tc>
        <w:tc>
          <w:tcPr>
            <w:tcW w:w="848" w:type="dxa"/>
            <w:tcBorders>
              <w:top w:val="nil"/>
              <w:left w:val="nil"/>
              <w:bottom w:val="nil"/>
              <w:right w:val="nil"/>
            </w:tcBorders>
            <w:shd w:val="clear" w:color="auto" w:fill="auto"/>
            <w:noWrap/>
            <w:vAlign w:val="bottom"/>
          </w:tcPr>
          <w:p w14:paraId="3139E23D" w14:textId="77777777" w:rsidR="00D86489" w:rsidRDefault="00B22FD0">
            <w:pPr>
              <w:widowControl/>
              <w:spacing w:line="220" w:lineRule="atLeast"/>
              <w:jc w:val="left"/>
              <w:rPr>
                <w:rFonts w:ascii="Times New Roman" w:eastAsia="等线" w:hAnsi="Times New Roman"/>
                <w:color w:val="000000"/>
                <w:kern w:val="0"/>
                <w:szCs w:val="21"/>
              </w:rPr>
            </w:pPr>
            <w:r>
              <w:rPr>
                <w:rFonts w:ascii="Times New Roman" w:eastAsia="等线" w:hAnsi="Times New Roman" w:hint="eastAsia"/>
                <w:color w:val="000000"/>
                <w:kern w:val="0"/>
                <w:szCs w:val="21"/>
              </w:rPr>
              <w:t>1:1000</w:t>
            </w:r>
          </w:p>
        </w:tc>
        <w:tc>
          <w:tcPr>
            <w:tcW w:w="733" w:type="dxa"/>
            <w:tcBorders>
              <w:top w:val="nil"/>
              <w:left w:val="nil"/>
              <w:bottom w:val="nil"/>
              <w:right w:val="nil"/>
            </w:tcBorders>
            <w:shd w:val="clear" w:color="auto" w:fill="auto"/>
            <w:noWrap/>
            <w:vAlign w:val="bottom"/>
          </w:tcPr>
          <w:p w14:paraId="14A8FFE0" w14:textId="77777777" w:rsidR="00D86489" w:rsidRDefault="00D86489">
            <w:pPr>
              <w:widowControl/>
              <w:spacing w:line="220" w:lineRule="atLeast"/>
              <w:jc w:val="left"/>
              <w:rPr>
                <w:rFonts w:ascii="Times New Roman" w:eastAsia="等线" w:hAnsi="Times New Roman"/>
                <w:color w:val="000000"/>
                <w:kern w:val="0"/>
                <w:szCs w:val="21"/>
              </w:rPr>
            </w:pPr>
          </w:p>
        </w:tc>
        <w:tc>
          <w:tcPr>
            <w:tcW w:w="847" w:type="dxa"/>
            <w:tcBorders>
              <w:top w:val="nil"/>
              <w:left w:val="nil"/>
              <w:bottom w:val="nil"/>
              <w:right w:val="nil"/>
            </w:tcBorders>
            <w:shd w:val="clear" w:color="auto" w:fill="auto"/>
            <w:noWrap/>
            <w:vAlign w:val="bottom"/>
          </w:tcPr>
          <w:p w14:paraId="326CF351" w14:textId="77777777" w:rsidR="00D86489" w:rsidRDefault="00D86489">
            <w:pPr>
              <w:widowControl/>
              <w:spacing w:line="220" w:lineRule="atLeast"/>
              <w:jc w:val="left"/>
              <w:rPr>
                <w:rFonts w:ascii="Times New Roman" w:eastAsia="Times New Roman" w:hAnsi="Times New Roman"/>
                <w:kern w:val="0"/>
                <w:szCs w:val="21"/>
              </w:rPr>
            </w:pPr>
          </w:p>
        </w:tc>
      </w:tr>
      <w:tr w:rsidR="00D86489" w14:paraId="119671C5" w14:textId="77777777">
        <w:trPr>
          <w:trHeight w:val="276"/>
          <w:jc w:val="center"/>
        </w:trPr>
        <w:tc>
          <w:tcPr>
            <w:tcW w:w="1668" w:type="dxa"/>
            <w:tcBorders>
              <w:top w:val="nil"/>
              <w:left w:val="nil"/>
              <w:bottom w:val="nil"/>
              <w:right w:val="nil"/>
            </w:tcBorders>
            <w:shd w:val="clear" w:color="auto" w:fill="auto"/>
            <w:noWrap/>
            <w:vAlign w:val="bottom"/>
          </w:tcPr>
          <w:p w14:paraId="7A3DD24E" w14:textId="77777777" w:rsidR="00D86489" w:rsidRDefault="00B22FD0">
            <w:pPr>
              <w:widowControl/>
              <w:spacing w:line="220" w:lineRule="atLeast"/>
              <w:jc w:val="left"/>
              <w:rPr>
                <w:rFonts w:ascii="Times New Roman" w:eastAsia="等线" w:hAnsi="Times New Roman"/>
                <w:color w:val="000000"/>
                <w:kern w:val="0"/>
                <w:szCs w:val="21"/>
              </w:rPr>
            </w:pPr>
            <w:r>
              <w:rPr>
                <w:rFonts w:ascii="Times New Roman" w:eastAsia="等线" w:hAnsi="Times New Roman" w:hint="eastAsia"/>
                <w:color w:val="000000"/>
                <w:kern w:val="0"/>
                <w:szCs w:val="21"/>
              </w:rPr>
              <w:t>PSD95</w:t>
            </w:r>
          </w:p>
        </w:tc>
        <w:tc>
          <w:tcPr>
            <w:tcW w:w="1261" w:type="dxa"/>
            <w:tcBorders>
              <w:top w:val="nil"/>
              <w:left w:val="nil"/>
              <w:bottom w:val="nil"/>
              <w:right w:val="nil"/>
            </w:tcBorders>
            <w:shd w:val="clear" w:color="auto" w:fill="auto"/>
            <w:noWrap/>
            <w:vAlign w:val="bottom"/>
          </w:tcPr>
          <w:p w14:paraId="30BA01E2" w14:textId="77777777" w:rsidR="00D86489" w:rsidRDefault="00B22FD0">
            <w:pPr>
              <w:widowControl/>
              <w:spacing w:line="220" w:lineRule="atLeast"/>
              <w:jc w:val="left"/>
              <w:rPr>
                <w:rFonts w:ascii="Times New Roman" w:eastAsia="等线" w:hAnsi="Times New Roman"/>
                <w:color w:val="000000"/>
                <w:kern w:val="0"/>
                <w:szCs w:val="21"/>
              </w:rPr>
            </w:pPr>
            <w:r>
              <w:rPr>
                <w:rFonts w:ascii="Times New Roman" w:eastAsia="等线" w:hAnsi="Times New Roman"/>
                <w:color w:val="000000"/>
                <w:kern w:val="0"/>
                <w:szCs w:val="21"/>
              </w:rPr>
              <w:t>abcam</w:t>
            </w:r>
          </w:p>
        </w:tc>
        <w:tc>
          <w:tcPr>
            <w:tcW w:w="1263" w:type="dxa"/>
            <w:tcBorders>
              <w:top w:val="nil"/>
              <w:left w:val="nil"/>
              <w:bottom w:val="nil"/>
              <w:right w:val="nil"/>
            </w:tcBorders>
            <w:shd w:val="clear" w:color="auto" w:fill="auto"/>
            <w:noWrap/>
            <w:vAlign w:val="bottom"/>
          </w:tcPr>
          <w:p w14:paraId="6AE70534" w14:textId="77777777" w:rsidR="00D86489" w:rsidRDefault="00B22FD0">
            <w:pPr>
              <w:widowControl/>
              <w:spacing w:line="220" w:lineRule="atLeast"/>
              <w:jc w:val="left"/>
              <w:rPr>
                <w:rFonts w:ascii="Times New Roman" w:eastAsia="等线" w:hAnsi="Times New Roman"/>
                <w:color w:val="000000"/>
                <w:kern w:val="0"/>
                <w:szCs w:val="21"/>
              </w:rPr>
            </w:pPr>
            <w:r>
              <w:rPr>
                <w:rFonts w:ascii="Times New Roman" w:eastAsia="等线" w:hAnsi="Times New Roman"/>
                <w:color w:val="000000"/>
                <w:kern w:val="0"/>
                <w:szCs w:val="21"/>
              </w:rPr>
              <w:t>ab18258</w:t>
            </w:r>
          </w:p>
        </w:tc>
        <w:tc>
          <w:tcPr>
            <w:tcW w:w="1902" w:type="dxa"/>
            <w:tcBorders>
              <w:top w:val="nil"/>
              <w:left w:val="nil"/>
              <w:bottom w:val="nil"/>
              <w:right w:val="nil"/>
            </w:tcBorders>
            <w:shd w:val="clear" w:color="auto" w:fill="auto"/>
            <w:noWrap/>
            <w:vAlign w:val="bottom"/>
          </w:tcPr>
          <w:p w14:paraId="3BBF8E62" w14:textId="77777777" w:rsidR="00D86489" w:rsidRDefault="00B22FD0">
            <w:pPr>
              <w:widowControl/>
              <w:spacing w:line="220" w:lineRule="atLeast"/>
              <w:jc w:val="left"/>
              <w:rPr>
                <w:rFonts w:ascii="Times New Roman" w:eastAsia="等线" w:hAnsi="Times New Roman"/>
                <w:color w:val="000000"/>
                <w:kern w:val="0"/>
                <w:szCs w:val="21"/>
              </w:rPr>
            </w:pPr>
            <w:r>
              <w:rPr>
                <w:rFonts w:ascii="Times New Roman" w:eastAsia="等线" w:hAnsi="Times New Roman" w:hint="eastAsia"/>
                <w:color w:val="000000"/>
                <w:kern w:val="0"/>
                <w:szCs w:val="21"/>
              </w:rPr>
              <w:t>r</w:t>
            </w:r>
            <w:r>
              <w:rPr>
                <w:rFonts w:ascii="Times New Roman" w:eastAsia="等线" w:hAnsi="Times New Roman"/>
                <w:color w:val="000000"/>
                <w:kern w:val="0"/>
                <w:szCs w:val="21"/>
              </w:rPr>
              <w:t xml:space="preserve">abbit </w:t>
            </w:r>
            <w:r>
              <w:rPr>
                <w:rFonts w:ascii="Times New Roman" w:eastAsia="等线" w:hAnsi="Times New Roman" w:hint="eastAsia"/>
                <w:color w:val="000000"/>
                <w:kern w:val="0"/>
                <w:szCs w:val="21"/>
              </w:rPr>
              <w:t>p</w:t>
            </w:r>
            <w:r>
              <w:rPr>
                <w:rFonts w:ascii="Times New Roman" w:eastAsia="等线" w:hAnsi="Times New Roman"/>
                <w:color w:val="000000"/>
                <w:kern w:val="0"/>
                <w:szCs w:val="21"/>
              </w:rPr>
              <w:t>olyclonal</w:t>
            </w:r>
          </w:p>
        </w:tc>
        <w:tc>
          <w:tcPr>
            <w:tcW w:w="848" w:type="dxa"/>
            <w:tcBorders>
              <w:top w:val="nil"/>
              <w:left w:val="nil"/>
              <w:bottom w:val="nil"/>
              <w:right w:val="nil"/>
            </w:tcBorders>
            <w:shd w:val="clear" w:color="auto" w:fill="auto"/>
            <w:noWrap/>
            <w:vAlign w:val="bottom"/>
          </w:tcPr>
          <w:p w14:paraId="3EC60E0F" w14:textId="77777777" w:rsidR="00D86489" w:rsidRDefault="00B22FD0">
            <w:pPr>
              <w:widowControl/>
              <w:spacing w:line="220" w:lineRule="atLeast"/>
              <w:jc w:val="left"/>
              <w:rPr>
                <w:rFonts w:ascii="Times New Roman" w:eastAsia="等线" w:hAnsi="Times New Roman"/>
                <w:color w:val="000000"/>
                <w:kern w:val="0"/>
                <w:szCs w:val="21"/>
              </w:rPr>
            </w:pPr>
            <w:r>
              <w:rPr>
                <w:rFonts w:ascii="Times New Roman" w:eastAsia="等线" w:hAnsi="Times New Roman"/>
                <w:color w:val="000000"/>
                <w:kern w:val="0"/>
                <w:szCs w:val="21"/>
              </w:rPr>
              <w:t>1:1000</w:t>
            </w:r>
          </w:p>
        </w:tc>
        <w:tc>
          <w:tcPr>
            <w:tcW w:w="733" w:type="dxa"/>
            <w:tcBorders>
              <w:top w:val="nil"/>
              <w:left w:val="nil"/>
              <w:bottom w:val="nil"/>
              <w:right w:val="nil"/>
            </w:tcBorders>
            <w:shd w:val="clear" w:color="auto" w:fill="auto"/>
            <w:noWrap/>
            <w:vAlign w:val="bottom"/>
          </w:tcPr>
          <w:p w14:paraId="4F1621BA" w14:textId="77777777" w:rsidR="00D86489" w:rsidRDefault="00D86489">
            <w:pPr>
              <w:widowControl/>
              <w:spacing w:line="220" w:lineRule="atLeast"/>
              <w:jc w:val="left"/>
              <w:rPr>
                <w:rFonts w:ascii="Times New Roman" w:eastAsia="等线" w:hAnsi="Times New Roman"/>
                <w:color w:val="000000"/>
                <w:kern w:val="0"/>
                <w:szCs w:val="21"/>
              </w:rPr>
            </w:pPr>
          </w:p>
        </w:tc>
        <w:tc>
          <w:tcPr>
            <w:tcW w:w="847" w:type="dxa"/>
            <w:tcBorders>
              <w:top w:val="nil"/>
              <w:left w:val="nil"/>
              <w:bottom w:val="nil"/>
              <w:right w:val="nil"/>
            </w:tcBorders>
            <w:shd w:val="clear" w:color="auto" w:fill="auto"/>
            <w:noWrap/>
            <w:vAlign w:val="bottom"/>
          </w:tcPr>
          <w:p w14:paraId="1F18B2F7" w14:textId="77777777" w:rsidR="00D86489" w:rsidRDefault="00D86489">
            <w:pPr>
              <w:widowControl/>
              <w:spacing w:line="220" w:lineRule="atLeast"/>
              <w:jc w:val="left"/>
              <w:rPr>
                <w:rFonts w:ascii="Times New Roman" w:eastAsia="Times New Roman" w:hAnsi="Times New Roman"/>
                <w:kern w:val="0"/>
                <w:szCs w:val="21"/>
              </w:rPr>
            </w:pPr>
          </w:p>
        </w:tc>
      </w:tr>
      <w:tr w:rsidR="00D86489" w14:paraId="24E2D799" w14:textId="77777777">
        <w:trPr>
          <w:trHeight w:val="276"/>
          <w:jc w:val="center"/>
        </w:trPr>
        <w:tc>
          <w:tcPr>
            <w:tcW w:w="1668" w:type="dxa"/>
            <w:tcBorders>
              <w:top w:val="nil"/>
              <w:left w:val="nil"/>
              <w:bottom w:val="nil"/>
              <w:right w:val="nil"/>
            </w:tcBorders>
            <w:shd w:val="clear" w:color="auto" w:fill="auto"/>
            <w:noWrap/>
            <w:vAlign w:val="bottom"/>
          </w:tcPr>
          <w:p w14:paraId="53974358" w14:textId="77777777" w:rsidR="00D86489" w:rsidRDefault="00B22FD0">
            <w:pPr>
              <w:widowControl/>
              <w:spacing w:line="220" w:lineRule="atLeast"/>
              <w:jc w:val="left"/>
              <w:rPr>
                <w:rFonts w:ascii="Times New Roman" w:eastAsia="等线" w:hAnsi="Times New Roman"/>
                <w:color w:val="000000"/>
                <w:kern w:val="0"/>
                <w:szCs w:val="21"/>
              </w:rPr>
            </w:pPr>
            <w:r>
              <w:rPr>
                <w:rFonts w:ascii="Times New Roman" w:eastAsia="等线" w:hAnsi="Times New Roman"/>
                <w:color w:val="000000"/>
                <w:kern w:val="0"/>
                <w:szCs w:val="21"/>
              </w:rPr>
              <w:t>GAPDH</w:t>
            </w:r>
          </w:p>
        </w:tc>
        <w:tc>
          <w:tcPr>
            <w:tcW w:w="1261" w:type="dxa"/>
            <w:tcBorders>
              <w:top w:val="nil"/>
              <w:left w:val="nil"/>
              <w:bottom w:val="nil"/>
              <w:right w:val="nil"/>
            </w:tcBorders>
            <w:shd w:val="clear" w:color="auto" w:fill="auto"/>
            <w:noWrap/>
            <w:vAlign w:val="bottom"/>
          </w:tcPr>
          <w:p w14:paraId="6CFF6A52" w14:textId="77777777" w:rsidR="00D86489" w:rsidRDefault="00B22FD0">
            <w:pPr>
              <w:widowControl/>
              <w:spacing w:line="220" w:lineRule="atLeast"/>
              <w:jc w:val="left"/>
              <w:rPr>
                <w:rFonts w:ascii="Times New Roman" w:eastAsia="等线" w:hAnsi="Times New Roman"/>
                <w:color w:val="000000"/>
                <w:kern w:val="0"/>
                <w:szCs w:val="21"/>
              </w:rPr>
            </w:pPr>
            <w:r>
              <w:rPr>
                <w:rFonts w:ascii="Times New Roman" w:eastAsia="等线" w:hAnsi="Times New Roman" w:hint="eastAsia"/>
                <w:color w:val="000000"/>
                <w:kern w:val="0"/>
                <w:szCs w:val="21"/>
              </w:rPr>
              <w:t>p</w:t>
            </w:r>
            <w:r>
              <w:rPr>
                <w:rFonts w:ascii="Times New Roman" w:eastAsia="等线" w:hAnsi="Times New Roman"/>
                <w:color w:val="000000"/>
                <w:kern w:val="0"/>
                <w:szCs w:val="21"/>
              </w:rPr>
              <w:t>r</w:t>
            </w:r>
            <w:r>
              <w:rPr>
                <w:rFonts w:ascii="Times New Roman" w:eastAsia="等线" w:hAnsi="Times New Roman" w:hint="eastAsia"/>
                <w:color w:val="000000"/>
                <w:kern w:val="0"/>
                <w:szCs w:val="21"/>
              </w:rPr>
              <w:t>o</w:t>
            </w:r>
            <w:r>
              <w:rPr>
                <w:rFonts w:ascii="Times New Roman" w:eastAsia="等线" w:hAnsi="Times New Roman"/>
                <w:color w:val="000000"/>
                <w:kern w:val="0"/>
                <w:szCs w:val="21"/>
              </w:rPr>
              <w:t>teintech</w:t>
            </w:r>
          </w:p>
        </w:tc>
        <w:tc>
          <w:tcPr>
            <w:tcW w:w="1263" w:type="dxa"/>
            <w:tcBorders>
              <w:top w:val="nil"/>
              <w:left w:val="nil"/>
              <w:bottom w:val="nil"/>
              <w:right w:val="nil"/>
            </w:tcBorders>
            <w:shd w:val="clear" w:color="auto" w:fill="auto"/>
            <w:noWrap/>
            <w:vAlign w:val="bottom"/>
          </w:tcPr>
          <w:p w14:paraId="1D9EC673" w14:textId="77777777" w:rsidR="00D86489" w:rsidRDefault="00B22FD0">
            <w:pPr>
              <w:widowControl/>
              <w:spacing w:line="220" w:lineRule="atLeast"/>
              <w:jc w:val="left"/>
              <w:rPr>
                <w:rFonts w:ascii="Times New Roman" w:eastAsia="等线" w:hAnsi="Times New Roman"/>
                <w:color w:val="000000"/>
                <w:kern w:val="0"/>
                <w:szCs w:val="21"/>
              </w:rPr>
            </w:pPr>
            <w:r>
              <w:rPr>
                <w:rFonts w:ascii="Times New Roman" w:eastAsia="等线" w:hAnsi="Times New Roman"/>
                <w:color w:val="000000"/>
                <w:kern w:val="0"/>
                <w:szCs w:val="21"/>
              </w:rPr>
              <w:t>60004-1-Ig</w:t>
            </w:r>
          </w:p>
        </w:tc>
        <w:tc>
          <w:tcPr>
            <w:tcW w:w="1902" w:type="dxa"/>
            <w:tcBorders>
              <w:top w:val="nil"/>
              <w:left w:val="nil"/>
              <w:bottom w:val="nil"/>
              <w:right w:val="nil"/>
            </w:tcBorders>
            <w:shd w:val="clear" w:color="auto" w:fill="auto"/>
            <w:noWrap/>
            <w:vAlign w:val="bottom"/>
          </w:tcPr>
          <w:p w14:paraId="6F2FEA96" w14:textId="77777777" w:rsidR="00D86489" w:rsidRDefault="00B22FD0">
            <w:pPr>
              <w:widowControl/>
              <w:spacing w:line="220" w:lineRule="atLeast"/>
              <w:jc w:val="left"/>
              <w:rPr>
                <w:rFonts w:ascii="Times New Roman" w:eastAsia="等线" w:hAnsi="Times New Roman"/>
                <w:color w:val="000000"/>
                <w:kern w:val="0"/>
                <w:szCs w:val="21"/>
              </w:rPr>
            </w:pPr>
            <w:r>
              <w:rPr>
                <w:rFonts w:ascii="Times New Roman" w:eastAsia="等线" w:hAnsi="Times New Roman"/>
                <w:color w:val="000000"/>
                <w:kern w:val="0"/>
                <w:szCs w:val="21"/>
              </w:rPr>
              <w:t xml:space="preserve">mouse </w:t>
            </w:r>
            <w:r>
              <w:rPr>
                <w:rFonts w:ascii="Times New Roman" w:eastAsia="等线" w:hAnsi="Times New Roman" w:hint="eastAsia"/>
                <w:color w:val="000000"/>
                <w:kern w:val="0"/>
                <w:szCs w:val="21"/>
              </w:rPr>
              <w:t>m</w:t>
            </w:r>
            <w:r>
              <w:rPr>
                <w:rFonts w:ascii="Times New Roman" w:eastAsia="等线" w:hAnsi="Times New Roman"/>
                <w:color w:val="000000"/>
                <w:kern w:val="0"/>
                <w:szCs w:val="21"/>
              </w:rPr>
              <w:t>onoclonal</w:t>
            </w:r>
          </w:p>
        </w:tc>
        <w:tc>
          <w:tcPr>
            <w:tcW w:w="848" w:type="dxa"/>
            <w:tcBorders>
              <w:top w:val="nil"/>
              <w:left w:val="nil"/>
              <w:bottom w:val="nil"/>
              <w:right w:val="nil"/>
            </w:tcBorders>
            <w:shd w:val="clear" w:color="auto" w:fill="auto"/>
            <w:noWrap/>
            <w:vAlign w:val="bottom"/>
          </w:tcPr>
          <w:p w14:paraId="1C478145" w14:textId="77777777" w:rsidR="00D86489" w:rsidRDefault="00B22FD0">
            <w:pPr>
              <w:widowControl/>
              <w:spacing w:line="220" w:lineRule="atLeast"/>
              <w:jc w:val="left"/>
              <w:rPr>
                <w:rFonts w:ascii="Times New Roman" w:eastAsia="等线" w:hAnsi="Times New Roman"/>
                <w:color w:val="000000"/>
                <w:kern w:val="0"/>
                <w:szCs w:val="21"/>
              </w:rPr>
            </w:pPr>
            <w:r>
              <w:rPr>
                <w:rFonts w:ascii="Times New Roman" w:eastAsia="等线" w:hAnsi="Times New Roman"/>
                <w:color w:val="000000"/>
                <w:kern w:val="0"/>
                <w:szCs w:val="21"/>
              </w:rPr>
              <w:t>1:3000</w:t>
            </w:r>
          </w:p>
        </w:tc>
        <w:tc>
          <w:tcPr>
            <w:tcW w:w="733" w:type="dxa"/>
            <w:tcBorders>
              <w:top w:val="nil"/>
              <w:left w:val="nil"/>
              <w:bottom w:val="nil"/>
              <w:right w:val="nil"/>
            </w:tcBorders>
            <w:shd w:val="clear" w:color="auto" w:fill="auto"/>
            <w:noWrap/>
            <w:vAlign w:val="bottom"/>
          </w:tcPr>
          <w:p w14:paraId="7E36E272" w14:textId="77777777" w:rsidR="00D86489" w:rsidRDefault="00D86489">
            <w:pPr>
              <w:widowControl/>
              <w:spacing w:line="220" w:lineRule="atLeast"/>
              <w:jc w:val="left"/>
              <w:rPr>
                <w:rFonts w:ascii="Times New Roman" w:eastAsia="等线" w:hAnsi="Times New Roman"/>
                <w:color w:val="000000"/>
                <w:kern w:val="0"/>
                <w:szCs w:val="21"/>
              </w:rPr>
            </w:pPr>
          </w:p>
        </w:tc>
        <w:tc>
          <w:tcPr>
            <w:tcW w:w="847" w:type="dxa"/>
            <w:tcBorders>
              <w:top w:val="nil"/>
              <w:left w:val="nil"/>
              <w:bottom w:val="nil"/>
              <w:right w:val="nil"/>
            </w:tcBorders>
            <w:shd w:val="clear" w:color="auto" w:fill="auto"/>
            <w:noWrap/>
            <w:vAlign w:val="bottom"/>
          </w:tcPr>
          <w:p w14:paraId="1A9A19F7" w14:textId="77777777" w:rsidR="00D86489" w:rsidRDefault="00D86489">
            <w:pPr>
              <w:widowControl/>
              <w:spacing w:line="220" w:lineRule="atLeast"/>
              <w:jc w:val="left"/>
              <w:rPr>
                <w:rFonts w:ascii="Times New Roman" w:eastAsia="Times New Roman" w:hAnsi="Times New Roman"/>
                <w:kern w:val="0"/>
                <w:szCs w:val="21"/>
              </w:rPr>
            </w:pPr>
          </w:p>
        </w:tc>
      </w:tr>
      <w:tr w:rsidR="00D86489" w14:paraId="60DBAB4D" w14:textId="77777777">
        <w:trPr>
          <w:trHeight w:val="276"/>
          <w:jc w:val="center"/>
        </w:trPr>
        <w:tc>
          <w:tcPr>
            <w:tcW w:w="1668" w:type="dxa"/>
            <w:tcBorders>
              <w:top w:val="nil"/>
              <w:left w:val="nil"/>
              <w:bottom w:val="nil"/>
              <w:right w:val="nil"/>
            </w:tcBorders>
            <w:shd w:val="clear" w:color="auto" w:fill="auto"/>
            <w:noWrap/>
            <w:vAlign w:val="bottom"/>
          </w:tcPr>
          <w:p w14:paraId="2D75CB45" w14:textId="77777777" w:rsidR="00D86489" w:rsidRDefault="00B22FD0">
            <w:pPr>
              <w:widowControl/>
              <w:spacing w:line="220" w:lineRule="atLeast"/>
              <w:jc w:val="left"/>
              <w:rPr>
                <w:rFonts w:ascii="Times New Roman" w:eastAsia="等线" w:hAnsi="Times New Roman"/>
                <w:color w:val="000000"/>
                <w:kern w:val="0"/>
                <w:szCs w:val="21"/>
              </w:rPr>
            </w:pPr>
            <w:r>
              <w:rPr>
                <w:rFonts w:ascii="Times New Roman" w:eastAsia="等线" w:hAnsi="Times New Roman" w:hint="eastAsia"/>
                <w:color w:val="000000"/>
                <w:kern w:val="0"/>
                <w:szCs w:val="21"/>
              </w:rPr>
              <w:t>IL-12a</w:t>
            </w:r>
          </w:p>
        </w:tc>
        <w:tc>
          <w:tcPr>
            <w:tcW w:w="1261" w:type="dxa"/>
            <w:tcBorders>
              <w:top w:val="nil"/>
              <w:left w:val="nil"/>
              <w:bottom w:val="nil"/>
              <w:right w:val="nil"/>
            </w:tcBorders>
            <w:shd w:val="clear" w:color="auto" w:fill="auto"/>
            <w:noWrap/>
            <w:vAlign w:val="bottom"/>
          </w:tcPr>
          <w:p w14:paraId="1B03E2DF" w14:textId="77777777" w:rsidR="00D86489" w:rsidRDefault="00B22FD0">
            <w:pPr>
              <w:widowControl/>
              <w:spacing w:line="220" w:lineRule="atLeast"/>
              <w:jc w:val="left"/>
              <w:rPr>
                <w:rFonts w:ascii="Times New Roman" w:eastAsia="等线" w:hAnsi="Times New Roman"/>
                <w:color w:val="000000"/>
                <w:kern w:val="0"/>
                <w:szCs w:val="21"/>
              </w:rPr>
            </w:pPr>
            <w:r>
              <w:rPr>
                <w:rFonts w:ascii="Times New Roman" w:eastAsia="等线" w:hAnsi="Times New Roman" w:hint="eastAsia"/>
                <w:color w:val="000000"/>
                <w:kern w:val="0"/>
                <w:szCs w:val="21"/>
              </w:rPr>
              <w:t>abcam</w:t>
            </w:r>
          </w:p>
        </w:tc>
        <w:tc>
          <w:tcPr>
            <w:tcW w:w="1263" w:type="dxa"/>
            <w:tcBorders>
              <w:top w:val="nil"/>
              <w:left w:val="nil"/>
              <w:bottom w:val="nil"/>
              <w:right w:val="nil"/>
            </w:tcBorders>
            <w:shd w:val="clear" w:color="auto" w:fill="auto"/>
            <w:noWrap/>
            <w:vAlign w:val="bottom"/>
          </w:tcPr>
          <w:p w14:paraId="7F233F74" w14:textId="77777777" w:rsidR="00D86489" w:rsidRDefault="00B22FD0">
            <w:pPr>
              <w:widowControl/>
              <w:spacing w:line="220" w:lineRule="atLeast"/>
              <w:jc w:val="left"/>
              <w:rPr>
                <w:rFonts w:ascii="Times New Roman" w:eastAsia="等线" w:hAnsi="Times New Roman"/>
                <w:color w:val="000000"/>
                <w:kern w:val="0"/>
                <w:szCs w:val="21"/>
              </w:rPr>
            </w:pPr>
            <w:r>
              <w:rPr>
                <w:rFonts w:ascii="Times New Roman" w:eastAsia="等线" w:hAnsi="Times New Roman"/>
                <w:color w:val="000000"/>
                <w:kern w:val="0"/>
                <w:szCs w:val="21"/>
              </w:rPr>
              <w:t>ab</w:t>
            </w:r>
            <w:r>
              <w:rPr>
                <w:rFonts w:ascii="Times New Roman" w:eastAsia="等线" w:hAnsi="Times New Roman" w:hint="eastAsia"/>
                <w:color w:val="000000"/>
                <w:kern w:val="0"/>
                <w:szCs w:val="21"/>
              </w:rPr>
              <w:t>131039</w:t>
            </w:r>
          </w:p>
        </w:tc>
        <w:tc>
          <w:tcPr>
            <w:tcW w:w="1902" w:type="dxa"/>
            <w:tcBorders>
              <w:top w:val="nil"/>
              <w:left w:val="nil"/>
              <w:bottom w:val="nil"/>
              <w:right w:val="nil"/>
            </w:tcBorders>
            <w:shd w:val="clear" w:color="auto" w:fill="auto"/>
            <w:noWrap/>
            <w:vAlign w:val="bottom"/>
          </w:tcPr>
          <w:p w14:paraId="0646390F" w14:textId="77777777" w:rsidR="00D86489" w:rsidRDefault="00B22FD0">
            <w:pPr>
              <w:widowControl/>
              <w:spacing w:line="220" w:lineRule="atLeast"/>
              <w:jc w:val="left"/>
              <w:rPr>
                <w:rFonts w:ascii="Times New Roman" w:eastAsia="等线" w:hAnsi="Times New Roman"/>
                <w:color w:val="000000"/>
                <w:kern w:val="0"/>
                <w:szCs w:val="21"/>
              </w:rPr>
            </w:pPr>
            <w:r>
              <w:rPr>
                <w:rFonts w:ascii="Times New Roman" w:eastAsia="等线" w:hAnsi="Times New Roman" w:hint="eastAsia"/>
                <w:color w:val="000000"/>
                <w:kern w:val="0"/>
                <w:szCs w:val="21"/>
              </w:rPr>
              <w:t>rabbit monoclonal</w:t>
            </w:r>
          </w:p>
        </w:tc>
        <w:tc>
          <w:tcPr>
            <w:tcW w:w="848" w:type="dxa"/>
            <w:tcBorders>
              <w:top w:val="nil"/>
              <w:left w:val="nil"/>
              <w:bottom w:val="nil"/>
              <w:right w:val="nil"/>
            </w:tcBorders>
            <w:shd w:val="clear" w:color="auto" w:fill="auto"/>
            <w:noWrap/>
            <w:vAlign w:val="bottom"/>
          </w:tcPr>
          <w:p w14:paraId="4F07A7ED" w14:textId="77777777" w:rsidR="00D86489" w:rsidRDefault="00B22FD0">
            <w:pPr>
              <w:widowControl/>
              <w:spacing w:line="220" w:lineRule="atLeast"/>
              <w:jc w:val="left"/>
              <w:rPr>
                <w:rFonts w:ascii="Times New Roman" w:eastAsia="等线" w:hAnsi="Times New Roman"/>
                <w:color w:val="000000"/>
                <w:kern w:val="0"/>
                <w:szCs w:val="21"/>
              </w:rPr>
            </w:pPr>
            <w:r>
              <w:rPr>
                <w:rFonts w:ascii="Times New Roman" w:eastAsia="等线" w:hAnsi="Times New Roman" w:hint="eastAsia"/>
                <w:color w:val="000000"/>
                <w:kern w:val="0"/>
                <w:szCs w:val="21"/>
              </w:rPr>
              <w:t>1:1000</w:t>
            </w:r>
          </w:p>
        </w:tc>
        <w:tc>
          <w:tcPr>
            <w:tcW w:w="733" w:type="dxa"/>
            <w:tcBorders>
              <w:top w:val="nil"/>
              <w:left w:val="nil"/>
              <w:bottom w:val="nil"/>
              <w:right w:val="nil"/>
            </w:tcBorders>
            <w:shd w:val="clear" w:color="auto" w:fill="auto"/>
            <w:noWrap/>
            <w:vAlign w:val="bottom"/>
          </w:tcPr>
          <w:p w14:paraId="73C200C4" w14:textId="77777777" w:rsidR="00D86489" w:rsidRDefault="00D86489">
            <w:pPr>
              <w:widowControl/>
              <w:spacing w:line="220" w:lineRule="atLeast"/>
              <w:jc w:val="left"/>
              <w:rPr>
                <w:rFonts w:ascii="Times New Roman" w:eastAsia="等线" w:hAnsi="Times New Roman"/>
                <w:color w:val="000000"/>
                <w:kern w:val="0"/>
                <w:szCs w:val="21"/>
              </w:rPr>
            </w:pPr>
          </w:p>
        </w:tc>
        <w:tc>
          <w:tcPr>
            <w:tcW w:w="847" w:type="dxa"/>
            <w:tcBorders>
              <w:top w:val="nil"/>
              <w:left w:val="nil"/>
              <w:bottom w:val="nil"/>
              <w:right w:val="nil"/>
            </w:tcBorders>
            <w:shd w:val="clear" w:color="auto" w:fill="auto"/>
            <w:noWrap/>
            <w:vAlign w:val="bottom"/>
          </w:tcPr>
          <w:p w14:paraId="74A45EF4" w14:textId="77777777" w:rsidR="00D86489" w:rsidRDefault="00D86489">
            <w:pPr>
              <w:widowControl/>
              <w:spacing w:line="220" w:lineRule="atLeast"/>
              <w:jc w:val="left"/>
              <w:rPr>
                <w:rFonts w:ascii="Times New Roman" w:eastAsia="Times New Roman" w:hAnsi="Times New Roman"/>
                <w:kern w:val="0"/>
                <w:szCs w:val="21"/>
              </w:rPr>
            </w:pPr>
          </w:p>
        </w:tc>
      </w:tr>
      <w:tr w:rsidR="00D86489" w14:paraId="16C47255" w14:textId="77777777">
        <w:trPr>
          <w:trHeight w:val="276"/>
          <w:jc w:val="center"/>
        </w:trPr>
        <w:tc>
          <w:tcPr>
            <w:tcW w:w="1668" w:type="dxa"/>
            <w:tcBorders>
              <w:top w:val="nil"/>
              <w:left w:val="nil"/>
              <w:bottom w:val="nil"/>
              <w:right w:val="nil"/>
            </w:tcBorders>
            <w:shd w:val="clear" w:color="auto" w:fill="auto"/>
            <w:noWrap/>
            <w:vAlign w:val="bottom"/>
          </w:tcPr>
          <w:p w14:paraId="6647A221" w14:textId="77777777" w:rsidR="00D86489" w:rsidRDefault="00B22FD0">
            <w:pPr>
              <w:widowControl/>
              <w:spacing w:line="220" w:lineRule="atLeast"/>
              <w:jc w:val="left"/>
              <w:rPr>
                <w:rFonts w:ascii="Times New Roman" w:eastAsia="等线" w:hAnsi="Times New Roman"/>
                <w:color w:val="000000"/>
                <w:kern w:val="0"/>
                <w:szCs w:val="21"/>
              </w:rPr>
            </w:pPr>
            <w:r>
              <w:rPr>
                <w:rFonts w:ascii="Times New Roman" w:eastAsia="等线" w:hAnsi="Times New Roman" w:hint="eastAsia"/>
                <w:color w:val="000000"/>
                <w:kern w:val="0"/>
                <w:szCs w:val="21"/>
              </w:rPr>
              <w:t>IL-12a</w:t>
            </w:r>
          </w:p>
        </w:tc>
        <w:tc>
          <w:tcPr>
            <w:tcW w:w="1261" w:type="dxa"/>
            <w:tcBorders>
              <w:top w:val="nil"/>
              <w:left w:val="nil"/>
              <w:bottom w:val="nil"/>
              <w:right w:val="nil"/>
            </w:tcBorders>
            <w:shd w:val="clear" w:color="auto" w:fill="auto"/>
            <w:noWrap/>
            <w:vAlign w:val="bottom"/>
          </w:tcPr>
          <w:p w14:paraId="6523C12D" w14:textId="77777777" w:rsidR="00D86489" w:rsidRDefault="00B22FD0">
            <w:pPr>
              <w:widowControl/>
              <w:spacing w:line="220" w:lineRule="atLeast"/>
              <w:jc w:val="left"/>
              <w:rPr>
                <w:rFonts w:ascii="Times New Roman" w:eastAsia="等线" w:hAnsi="Times New Roman"/>
                <w:color w:val="000000"/>
                <w:kern w:val="0"/>
                <w:szCs w:val="21"/>
              </w:rPr>
            </w:pPr>
            <w:r>
              <w:rPr>
                <w:rFonts w:ascii="Times New Roman" w:eastAsia="等线" w:hAnsi="Times New Roman"/>
                <w:color w:val="000000"/>
                <w:kern w:val="0"/>
                <w:szCs w:val="21"/>
              </w:rPr>
              <w:t>R&amp;D</w:t>
            </w:r>
          </w:p>
        </w:tc>
        <w:tc>
          <w:tcPr>
            <w:tcW w:w="1263" w:type="dxa"/>
            <w:tcBorders>
              <w:top w:val="nil"/>
              <w:left w:val="nil"/>
              <w:bottom w:val="nil"/>
              <w:right w:val="nil"/>
            </w:tcBorders>
            <w:shd w:val="clear" w:color="auto" w:fill="auto"/>
            <w:noWrap/>
            <w:vAlign w:val="bottom"/>
          </w:tcPr>
          <w:p w14:paraId="27B6B87C" w14:textId="77777777" w:rsidR="00D86489" w:rsidRDefault="00B22FD0">
            <w:pPr>
              <w:widowControl/>
              <w:spacing w:line="220" w:lineRule="atLeast"/>
              <w:jc w:val="left"/>
              <w:rPr>
                <w:rFonts w:ascii="Times New Roman" w:eastAsia="等线" w:hAnsi="Times New Roman"/>
                <w:color w:val="000000"/>
                <w:kern w:val="0"/>
                <w:szCs w:val="21"/>
              </w:rPr>
            </w:pPr>
            <w:r>
              <w:rPr>
                <w:rFonts w:ascii="Times New Roman" w:eastAsia="等线" w:hAnsi="Times New Roman" w:hint="eastAsia"/>
                <w:color w:val="000000"/>
                <w:kern w:val="0"/>
                <w:szCs w:val="21"/>
              </w:rPr>
              <w:t>MAB1570</w:t>
            </w:r>
          </w:p>
        </w:tc>
        <w:tc>
          <w:tcPr>
            <w:tcW w:w="1902" w:type="dxa"/>
            <w:tcBorders>
              <w:top w:val="nil"/>
              <w:left w:val="nil"/>
              <w:bottom w:val="nil"/>
              <w:right w:val="nil"/>
            </w:tcBorders>
            <w:shd w:val="clear" w:color="auto" w:fill="auto"/>
            <w:noWrap/>
            <w:vAlign w:val="bottom"/>
          </w:tcPr>
          <w:p w14:paraId="27D03E6C" w14:textId="77777777" w:rsidR="00D86489" w:rsidRDefault="00B22FD0">
            <w:pPr>
              <w:widowControl/>
              <w:spacing w:line="220" w:lineRule="atLeast"/>
              <w:jc w:val="left"/>
              <w:rPr>
                <w:rFonts w:ascii="Times New Roman" w:eastAsia="等线" w:hAnsi="Times New Roman"/>
                <w:color w:val="000000"/>
                <w:kern w:val="0"/>
                <w:szCs w:val="21"/>
              </w:rPr>
            </w:pPr>
            <w:r>
              <w:rPr>
                <w:rFonts w:ascii="Times New Roman" w:eastAsia="等线" w:hAnsi="Times New Roman" w:hint="eastAsia"/>
                <w:color w:val="000000"/>
                <w:kern w:val="0"/>
                <w:szCs w:val="21"/>
              </w:rPr>
              <w:t>mouse monoclonal</w:t>
            </w:r>
          </w:p>
        </w:tc>
        <w:tc>
          <w:tcPr>
            <w:tcW w:w="848" w:type="dxa"/>
            <w:tcBorders>
              <w:top w:val="nil"/>
              <w:left w:val="nil"/>
              <w:bottom w:val="nil"/>
              <w:right w:val="nil"/>
            </w:tcBorders>
            <w:shd w:val="clear" w:color="auto" w:fill="auto"/>
            <w:noWrap/>
            <w:vAlign w:val="bottom"/>
          </w:tcPr>
          <w:p w14:paraId="7AF772BF" w14:textId="77777777" w:rsidR="00D86489" w:rsidRDefault="00D86489">
            <w:pPr>
              <w:widowControl/>
              <w:spacing w:line="220" w:lineRule="atLeast"/>
              <w:jc w:val="left"/>
              <w:rPr>
                <w:rFonts w:ascii="Times New Roman" w:eastAsia="等线" w:hAnsi="Times New Roman"/>
                <w:color w:val="000000"/>
                <w:kern w:val="0"/>
                <w:szCs w:val="21"/>
              </w:rPr>
            </w:pPr>
          </w:p>
        </w:tc>
        <w:tc>
          <w:tcPr>
            <w:tcW w:w="733" w:type="dxa"/>
            <w:tcBorders>
              <w:top w:val="nil"/>
              <w:left w:val="nil"/>
              <w:bottom w:val="nil"/>
              <w:right w:val="nil"/>
            </w:tcBorders>
            <w:shd w:val="clear" w:color="auto" w:fill="auto"/>
            <w:noWrap/>
            <w:vAlign w:val="bottom"/>
          </w:tcPr>
          <w:p w14:paraId="01FA0E77" w14:textId="77777777" w:rsidR="00D86489" w:rsidRDefault="00B22FD0">
            <w:pPr>
              <w:widowControl/>
              <w:spacing w:line="220" w:lineRule="atLeast"/>
              <w:jc w:val="left"/>
              <w:rPr>
                <w:rFonts w:ascii="Times New Roman" w:eastAsia="等线" w:hAnsi="Times New Roman"/>
                <w:color w:val="000000"/>
                <w:kern w:val="0"/>
                <w:szCs w:val="21"/>
              </w:rPr>
            </w:pPr>
            <w:r>
              <w:rPr>
                <w:rFonts w:ascii="Times New Roman" w:eastAsia="等线" w:hAnsi="Times New Roman" w:hint="eastAsia"/>
                <w:color w:val="000000"/>
                <w:kern w:val="0"/>
                <w:szCs w:val="21"/>
              </w:rPr>
              <w:t>1:250</w:t>
            </w:r>
          </w:p>
        </w:tc>
        <w:tc>
          <w:tcPr>
            <w:tcW w:w="847" w:type="dxa"/>
            <w:tcBorders>
              <w:top w:val="nil"/>
              <w:left w:val="nil"/>
              <w:bottom w:val="nil"/>
              <w:right w:val="nil"/>
            </w:tcBorders>
            <w:shd w:val="clear" w:color="auto" w:fill="auto"/>
            <w:noWrap/>
            <w:vAlign w:val="bottom"/>
          </w:tcPr>
          <w:p w14:paraId="71098F1E" w14:textId="77777777" w:rsidR="00D86489" w:rsidRDefault="00D86489">
            <w:pPr>
              <w:widowControl/>
              <w:spacing w:line="220" w:lineRule="atLeast"/>
              <w:jc w:val="left"/>
              <w:rPr>
                <w:rFonts w:ascii="Times New Roman" w:eastAsia="Times New Roman" w:hAnsi="Times New Roman"/>
                <w:kern w:val="0"/>
                <w:szCs w:val="21"/>
              </w:rPr>
            </w:pPr>
          </w:p>
        </w:tc>
      </w:tr>
      <w:tr w:rsidR="00D86489" w14:paraId="68D9347C" w14:textId="77777777">
        <w:trPr>
          <w:trHeight w:val="276"/>
          <w:jc w:val="center"/>
        </w:trPr>
        <w:tc>
          <w:tcPr>
            <w:tcW w:w="1668" w:type="dxa"/>
            <w:tcBorders>
              <w:top w:val="nil"/>
              <w:left w:val="nil"/>
              <w:bottom w:val="nil"/>
              <w:right w:val="nil"/>
            </w:tcBorders>
            <w:shd w:val="clear" w:color="auto" w:fill="auto"/>
            <w:noWrap/>
            <w:vAlign w:val="bottom"/>
          </w:tcPr>
          <w:p w14:paraId="0962D7D0" w14:textId="77777777" w:rsidR="00D86489" w:rsidRDefault="00B22FD0">
            <w:pPr>
              <w:widowControl/>
              <w:spacing w:line="220" w:lineRule="atLeast"/>
              <w:jc w:val="left"/>
              <w:rPr>
                <w:rFonts w:ascii="Times New Roman" w:eastAsia="等线" w:hAnsi="Times New Roman"/>
                <w:color w:val="000000"/>
                <w:kern w:val="0"/>
                <w:szCs w:val="21"/>
              </w:rPr>
            </w:pPr>
            <w:r>
              <w:rPr>
                <w:rFonts w:ascii="Times New Roman" w:eastAsia="等线" w:hAnsi="Times New Roman" w:hint="eastAsia"/>
                <w:color w:val="000000"/>
                <w:kern w:val="0"/>
                <w:szCs w:val="21"/>
              </w:rPr>
              <w:t>Ebi3</w:t>
            </w:r>
          </w:p>
        </w:tc>
        <w:tc>
          <w:tcPr>
            <w:tcW w:w="1261" w:type="dxa"/>
            <w:tcBorders>
              <w:top w:val="nil"/>
              <w:left w:val="nil"/>
              <w:bottom w:val="nil"/>
              <w:right w:val="nil"/>
            </w:tcBorders>
            <w:shd w:val="clear" w:color="auto" w:fill="auto"/>
            <w:noWrap/>
            <w:vAlign w:val="bottom"/>
          </w:tcPr>
          <w:p w14:paraId="2FFDEB21" w14:textId="77777777" w:rsidR="00D86489" w:rsidRDefault="00B22FD0">
            <w:pPr>
              <w:widowControl/>
              <w:spacing w:line="220" w:lineRule="atLeast"/>
              <w:jc w:val="left"/>
              <w:rPr>
                <w:rFonts w:ascii="Times New Roman" w:eastAsia="等线" w:hAnsi="Times New Roman"/>
                <w:color w:val="000000"/>
                <w:kern w:val="0"/>
                <w:szCs w:val="21"/>
              </w:rPr>
            </w:pPr>
            <w:r>
              <w:rPr>
                <w:rFonts w:ascii="Times New Roman" w:eastAsia="等线" w:hAnsi="Times New Roman" w:hint="eastAsia"/>
                <w:color w:val="000000"/>
                <w:kern w:val="0"/>
                <w:szCs w:val="21"/>
              </w:rPr>
              <w:t>abcam</w:t>
            </w:r>
          </w:p>
        </w:tc>
        <w:tc>
          <w:tcPr>
            <w:tcW w:w="1263" w:type="dxa"/>
            <w:tcBorders>
              <w:top w:val="nil"/>
              <w:left w:val="nil"/>
              <w:bottom w:val="nil"/>
              <w:right w:val="nil"/>
            </w:tcBorders>
            <w:shd w:val="clear" w:color="auto" w:fill="auto"/>
            <w:noWrap/>
            <w:vAlign w:val="bottom"/>
          </w:tcPr>
          <w:p w14:paraId="3B321D0B" w14:textId="77777777" w:rsidR="00D86489" w:rsidRDefault="00B22FD0">
            <w:pPr>
              <w:widowControl/>
              <w:spacing w:line="220" w:lineRule="atLeast"/>
              <w:jc w:val="left"/>
              <w:rPr>
                <w:rFonts w:ascii="Times New Roman" w:eastAsia="等线" w:hAnsi="Times New Roman"/>
                <w:color w:val="000000"/>
                <w:kern w:val="0"/>
                <w:szCs w:val="21"/>
              </w:rPr>
            </w:pPr>
            <w:r>
              <w:rPr>
                <w:rFonts w:ascii="Times New Roman" w:eastAsia="等线" w:hAnsi="Times New Roman"/>
                <w:color w:val="000000"/>
                <w:kern w:val="0"/>
                <w:szCs w:val="21"/>
              </w:rPr>
              <w:t>ab</w:t>
            </w:r>
            <w:r>
              <w:rPr>
                <w:rFonts w:ascii="Times New Roman" w:eastAsia="等线" w:hAnsi="Times New Roman" w:hint="eastAsia"/>
                <w:color w:val="000000"/>
                <w:kern w:val="0"/>
                <w:szCs w:val="21"/>
              </w:rPr>
              <w:t>124694</w:t>
            </w:r>
          </w:p>
        </w:tc>
        <w:tc>
          <w:tcPr>
            <w:tcW w:w="1902" w:type="dxa"/>
            <w:tcBorders>
              <w:top w:val="nil"/>
              <w:left w:val="nil"/>
              <w:bottom w:val="nil"/>
              <w:right w:val="nil"/>
            </w:tcBorders>
            <w:shd w:val="clear" w:color="auto" w:fill="auto"/>
            <w:noWrap/>
            <w:vAlign w:val="bottom"/>
          </w:tcPr>
          <w:p w14:paraId="0C90F07D" w14:textId="77777777" w:rsidR="00D86489" w:rsidRDefault="00B22FD0">
            <w:pPr>
              <w:widowControl/>
              <w:spacing w:line="220" w:lineRule="atLeast"/>
              <w:jc w:val="left"/>
              <w:rPr>
                <w:rFonts w:ascii="Times New Roman" w:eastAsia="等线" w:hAnsi="Times New Roman"/>
                <w:color w:val="000000"/>
                <w:kern w:val="0"/>
                <w:szCs w:val="21"/>
              </w:rPr>
            </w:pPr>
            <w:r>
              <w:rPr>
                <w:rFonts w:ascii="Times New Roman" w:eastAsia="等线" w:hAnsi="Times New Roman" w:hint="eastAsia"/>
                <w:color w:val="000000"/>
                <w:kern w:val="0"/>
                <w:szCs w:val="21"/>
              </w:rPr>
              <w:t>rabbit monoclonal</w:t>
            </w:r>
          </w:p>
        </w:tc>
        <w:tc>
          <w:tcPr>
            <w:tcW w:w="848" w:type="dxa"/>
            <w:tcBorders>
              <w:top w:val="nil"/>
              <w:left w:val="nil"/>
              <w:bottom w:val="nil"/>
              <w:right w:val="nil"/>
            </w:tcBorders>
            <w:shd w:val="clear" w:color="auto" w:fill="auto"/>
            <w:noWrap/>
            <w:vAlign w:val="bottom"/>
          </w:tcPr>
          <w:p w14:paraId="2F669572" w14:textId="77777777" w:rsidR="00D86489" w:rsidRDefault="00B22FD0">
            <w:pPr>
              <w:widowControl/>
              <w:spacing w:line="220" w:lineRule="atLeast"/>
              <w:jc w:val="left"/>
              <w:rPr>
                <w:rFonts w:ascii="Times New Roman" w:eastAsia="等线" w:hAnsi="Times New Roman"/>
                <w:color w:val="000000"/>
                <w:kern w:val="0"/>
                <w:szCs w:val="21"/>
              </w:rPr>
            </w:pPr>
            <w:r>
              <w:rPr>
                <w:rFonts w:ascii="Times New Roman" w:eastAsia="等线" w:hAnsi="Times New Roman" w:hint="eastAsia"/>
                <w:color w:val="000000"/>
                <w:kern w:val="0"/>
                <w:szCs w:val="21"/>
              </w:rPr>
              <w:t>1:1000</w:t>
            </w:r>
          </w:p>
        </w:tc>
        <w:tc>
          <w:tcPr>
            <w:tcW w:w="733" w:type="dxa"/>
            <w:tcBorders>
              <w:top w:val="nil"/>
              <w:left w:val="nil"/>
              <w:bottom w:val="nil"/>
              <w:right w:val="nil"/>
            </w:tcBorders>
            <w:shd w:val="clear" w:color="auto" w:fill="auto"/>
            <w:noWrap/>
            <w:vAlign w:val="bottom"/>
          </w:tcPr>
          <w:p w14:paraId="0D800C6F" w14:textId="77777777" w:rsidR="00D86489" w:rsidRDefault="00D86489">
            <w:pPr>
              <w:widowControl/>
              <w:spacing w:line="220" w:lineRule="atLeast"/>
              <w:jc w:val="left"/>
              <w:rPr>
                <w:rFonts w:ascii="Times New Roman" w:eastAsia="等线" w:hAnsi="Times New Roman"/>
                <w:color w:val="000000"/>
                <w:kern w:val="0"/>
                <w:szCs w:val="21"/>
              </w:rPr>
            </w:pPr>
          </w:p>
        </w:tc>
        <w:tc>
          <w:tcPr>
            <w:tcW w:w="847" w:type="dxa"/>
            <w:tcBorders>
              <w:top w:val="nil"/>
              <w:left w:val="nil"/>
              <w:bottom w:val="nil"/>
              <w:right w:val="nil"/>
            </w:tcBorders>
            <w:shd w:val="clear" w:color="auto" w:fill="auto"/>
            <w:noWrap/>
            <w:vAlign w:val="bottom"/>
          </w:tcPr>
          <w:p w14:paraId="0469C5E2" w14:textId="77777777" w:rsidR="00D86489" w:rsidRDefault="00D86489">
            <w:pPr>
              <w:widowControl/>
              <w:spacing w:line="220" w:lineRule="atLeast"/>
              <w:jc w:val="left"/>
              <w:rPr>
                <w:rFonts w:ascii="Times New Roman" w:eastAsia="Times New Roman" w:hAnsi="Times New Roman"/>
                <w:kern w:val="0"/>
                <w:szCs w:val="21"/>
              </w:rPr>
            </w:pPr>
          </w:p>
        </w:tc>
      </w:tr>
      <w:tr w:rsidR="00D86489" w14:paraId="43F4ED2F" w14:textId="77777777">
        <w:trPr>
          <w:trHeight w:val="276"/>
          <w:jc w:val="center"/>
        </w:trPr>
        <w:tc>
          <w:tcPr>
            <w:tcW w:w="1668" w:type="dxa"/>
            <w:tcBorders>
              <w:top w:val="nil"/>
              <w:left w:val="nil"/>
              <w:bottom w:val="nil"/>
              <w:right w:val="nil"/>
            </w:tcBorders>
            <w:shd w:val="clear" w:color="auto" w:fill="auto"/>
            <w:noWrap/>
            <w:vAlign w:val="bottom"/>
          </w:tcPr>
          <w:p w14:paraId="6FBF5A87" w14:textId="77777777" w:rsidR="00D86489" w:rsidRDefault="00B22FD0">
            <w:pPr>
              <w:widowControl/>
              <w:spacing w:line="220" w:lineRule="atLeast"/>
              <w:jc w:val="left"/>
              <w:rPr>
                <w:rFonts w:ascii="Times New Roman" w:eastAsia="等线" w:hAnsi="Times New Roman"/>
                <w:color w:val="000000"/>
                <w:kern w:val="0"/>
                <w:szCs w:val="21"/>
              </w:rPr>
            </w:pPr>
            <w:r>
              <w:rPr>
                <w:rFonts w:ascii="Times New Roman" w:eastAsia="等线" w:hAnsi="Times New Roman" w:hint="eastAsia"/>
                <w:color w:val="000000"/>
                <w:kern w:val="0"/>
                <w:szCs w:val="21"/>
              </w:rPr>
              <w:t>Ebi3</w:t>
            </w:r>
          </w:p>
        </w:tc>
        <w:tc>
          <w:tcPr>
            <w:tcW w:w="1261" w:type="dxa"/>
            <w:tcBorders>
              <w:top w:val="nil"/>
              <w:left w:val="nil"/>
              <w:bottom w:val="nil"/>
              <w:right w:val="nil"/>
            </w:tcBorders>
            <w:shd w:val="clear" w:color="auto" w:fill="auto"/>
            <w:noWrap/>
            <w:vAlign w:val="bottom"/>
          </w:tcPr>
          <w:p w14:paraId="1B00D2F3" w14:textId="77777777" w:rsidR="00D86489" w:rsidRDefault="00B22FD0">
            <w:pPr>
              <w:widowControl/>
              <w:spacing w:line="220" w:lineRule="atLeast"/>
              <w:jc w:val="left"/>
              <w:rPr>
                <w:rFonts w:ascii="Times New Roman" w:eastAsia="等线" w:hAnsi="Times New Roman"/>
                <w:color w:val="000000"/>
                <w:kern w:val="0"/>
                <w:szCs w:val="21"/>
              </w:rPr>
            </w:pPr>
            <w:r>
              <w:rPr>
                <w:rFonts w:ascii="Times New Roman" w:eastAsia="等线" w:hAnsi="Times New Roman" w:hint="eastAsia"/>
                <w:color w:val="000000"/>
                <w:kern w:val="0"/>
                <w:szCs w:val="21"/>
              </w:rPr>
              <w:t>santa cruz</w:t>
            </w:r>
          </w:p>
        </w:tc>
        <w:tc>
          <w:tcPr>
            <w:tcW w:w="1263" w:type="dxa"/>
            <w:tcBorders>
              <w:top w:val="nil"/>
              <w:left w:val="nil"/>
              <w:bottom w:val="nil"/>
              <w:right w:val="nil"/>
            </w:tcBorders>
            <w:shd w:val="clear" w:color="auto" w:fill="auto"/>
            <w:noWrap/>
            <w:vAlign w:val="bottom"/>
          </w:tcPr>
          <w:p w14:paraId="09A968F5" w14:textId="77777777" w:rsidR="00D86489" w:rsidRDefault="00B22FD0">
            <w:pPr>
              <w:widowControl/>
              <w:spacing w:line="220" w:lineRule="atLeast"/>
              <w:jc w:val="left"/>
              <w:rPr>
                <w:rFonts w:ascii="Times New Roman" w:eastAsia="等线" w:hAnsi="Times New Roman"/>
                <w:color w:val="000000"/>
                <w:kern w:val="0"/>
                <w:szCs w:val="21"/>
              </w:rPr>
            </w:pPr>
            <w:r>
              <w:rPr>
                <w:rFonts w:ascii="Times New Roman" w:eastAsia="等线" w:hAnsi="Times New Roman"/>
                <w:color w:val="000000"/>
                <w:kern w:val="0"/>
                <w:szCs w:val="21"/>
              </w:rPr>
              <w:t>sc</w:t>
            </w:r>
            <w:r>
              <w:rPr>
                <w:rFonts w:ascii="Times New Roman" w:eastAsia="等线" w:hAnsi="Times New Roman" w:hint="eastAsia"/>
                <w:color w:val="000000"/>
                <w:kern w:val="0"/>
                <w:szCs w:val="21"/>
              </w:rPr>
              <w:t>-166158</w:t>
            </w:r>
          </w:p>
        </w:tc>
        <w:tc>
          <w:tcPr>
            <w:tcW w:w="1902" w:type="dxa"/>
            <w:tcBorders>
              <w:top w:val="nil"/>
              <w:left w:val="nil"/>
              <w:bottom w:val="nil"/>
              <w:right w:val="nil"/>
            </w:tcBorders>
            <w:shd w:val="clear" w:color="auto" w:fill="auto"/>
            <w:noWrap/>
            <w:vAlign w:val="bottom"/>
          </w:tcPr>
          <w:p w14:paraId="432C26B7" w14:textId="77777777" w:rsidR="00D86489" w:rsidRDefault="00B22FD0">
            <w:pPr>
              <w:widowControl/>
              <w:spacing w:line="220" w:lineRule="atLeast"/>
              <w:jc w:val="left"/>
              <w:rPr>
                <w:rFonts w:ascii="Times New Roman" w:eastAsia="等线" w:hAnsi="Times New Roman"/>
                <w:color w:val="000000"/>
                <w:kern w:val="0"/>
                <w:szCs w:val="21"/>
              </w:rPr>
            </w:pPr>
            <w:r>
              <w:rPr>
                <w:rFonts w:ascii="Times New Roman" w:eastAsia="等线" w:hAnsi="Times New Roman" w:hint="eastAsia"/>
                <w:color w:val="000000"/>
                <w:kern w:val="0"/>
                <w:szCs w:val="21"/>
              </w:rPr>
              <w:t>mouse monoclonal</w:t>
            </w:r>
          </w:p>
        </w:tc>
        <w:tc>
          <w:tcPr>
            <w:tcW w:w="848" w:type="dxa"/>
            <w:tcBorders>
              <w:top w:val="nil"/>
              <w:left w:val="nil"/>
              <w:bottom w:val="nil"/>
              <w:right w:val="nil"/>
            </w:tcBorders>
            <w:shd w:val="clear" w:color="auto" w:fill="auto"/>
            <w:noWrap/>
            <w:vAlign w:val="bottom"/>
          </w:tcPr>
          <w:p w14:paraId="0FD61EAA" w14:textId="77777777" w:rsidR="00D86489" w:rsidRDefault="00D86489">
            <w:pPr>
              <w:widowControl/>
              <w:spacing w:line="220" w:lineRule="atLeast"/>
              <w:jc w:val="left"/>
              <w:rPr>
                <w:rFonts w:ascii="Times New Roman" w:eastAsia="等线" w:hAnsi="Times New Roman"/>
                <w:color w:val="000000"/>
                <w:kern w:val="0"/>
                <w:szCs w:val="21"/>
              </w:rPr>
            </w:pPr>
          </w:p>
        </w:tc>
        <w:tc>
          <w:tcPr>
            <w:tcW w:w="733" w:type="dxa"/>
            <w:tcBorders>
              <w:top w:val="nil"/>
              <w:left w:val="nil"/>
              <w:bottom w:val="nil"/>
              <w:right w:val="nil"/>
            </w:tcBorders>
            <w:shd w:val="clear" w:color="auto" w:fill="auto"/>
            <w:noWrap/>
            <w:vAlign w:val="bottom"/>
          </w:tcPr>
          <w:p w14:paraId="24630D9E" w14:textId="77777777" w:rsidR="00D86489" w:rsidRDefault="00B22FD0">
            <w:pPr>
              <w:widowControl/>
              <w:spacing w:line="220" w:lineRule="atLeast"/>
              <w:jc w:val="left"/>
              <w:rPr>
                <w:rFonts w:ascii="Times New Roman" w:eastAsia="等线" w:hAnsi="Times New Roman"/>
                <w:color w:val="000000"/>
                <w:kern w:val="0"/>
                <w:szCs w:val="21"/>
              </w:rPr>
            </w:pPr>
            <w:r>
              <w:rPr>
                <w:rFonts w:ascii="Times New Roman" w:eastAsia="等线" w:hAnsi="Times New Roman" w:hint="eastAsia"/>
                <w:color w:val="000000"/>
                <w:kern w:val="0"/>
                <w:szCs w:val="21"/>
              </w:rPr>
              <w:t>1:200</w:t>
            </w:r>
          </w:p>
        </w:tc>
        <w:tc>
          <w:tcPr>
            <w:tcW w:w="847" w:type="dxa"/>
            <w:tcBorders>
              <w:top w:val="nil"/>
              <w:left w:val="nil"/>
              <w:bottom w:val="nil"/>
              <w:right w:val="nil"/>
            </w:tcBorders>
            <w:shd w:val="clear" w:color="auto" w:fill="auto"/>
            <w:noWrap/>
            <w:vAlign w:val="bottom"/>
          </w:tcPr>
          <w:p w14:paraId="070E202C" w14:textId="77777777" w:rsidR="00D86489" w:rsidRDefault="00D86489">
            <w:pPr>
              <w:widowControl/>
              <w:spacing w:line="220" w:lineRule="atLeast"/>
              <w:jc w:val="left"/>
              <w:rPr>
                <w:rFonts w:ascii="Times New Roman" w:eastAsia="Times New Roman" w:hAnsi="Times New Roman"/>
                <w:kern w:val="0"/>
                <w:szCs w:val="21"/>
              </w:rPr>
            </w:pPr>
          </w:p>
        </w:tc>
      </w:tr>
      <w:tr w:rsidR="00D86489" w14:paraId="166378E1" w14:textId="77777777">
        <w:trPr>
          <w:trHeight w:val="276"/>
          <w:jc w:val="center"/>
        </w:trPr>
        <w:tc>
          <w:tcPr>
            <w:tcW w:w="1668" w:type="dxa"/>
            <w:tcBorders>
              <w:top w:val="nil"/>
              <w:left w:val="nil"/>
              <w:bottom w:val="nil"/>
              <w:right w:val="nil"/>
            </w:tcBorders>
            <w:shd w:val="clear" w:color="auto" w:fill="auto"/>
            <w:noWrap/>
            <w:vAlign w:val="bottom"/>
          </w:tcPr>
          <w:p w14:paraId="263BFC91" w14:textId="77777777" w:rsidR="00D86489" w:rsidRDefault="00B22FD0">
            <w:pPr>
              <w:widowControl/>
              <w:spacing w:line="220" w:lineRule="atLeast"/>
              <w:jc w:val="left"/>
              <w:rPr>
                <w:rFonts w:ascii="Times New Roman" w:eastAsia="等线" w:hAnsi="Times New Roman"/>
                <w:color w:val="000000"/>
                <w:kern w:val="0"/>
                <w:szCs w:val="21"/>
              </w:rPr>
            </w:pPr>
            <w:r>
              <w:rPr>
                <w:rFonts w:ascii="Times New Roman" w:eastAsia="等线" w:hAnsi="Times New Roman" w:hint="eastAsia"/>
                <w:color w:val="000000"/>
                <w:kern w:val="0"/>
                <w:szCs w:val="21"/>
              </w:rPr>
              <w:t>B220</w:t>
            </w:r>
          </w:p>
        </w:tc>
        <w:tc>
          <w:tcPr>
            <w:tcW w:w="1261" w:type="dxa"/>
            <w:tcBorders>
              <w:top w:val="nil"/>
              <w:left w:val="nil"/>
              <w:bottom w:val="nil"/>
              <w:right w:val="nil"/>
            </w:tcBorders>
            <w:shd w:val="clear" w:color="auto" w:fill="auto"/>
            <w:noWrap/>
            <w:vAlign w:val="bottom"/>
          </w:tcPr>
          <w:p w14:paraId="66550E01" w14:textId="77777777" w:rsidR="00D86489" w:rsidRDefault="00B22FD0">
            <w:pPr>
              <w:widowControl/>
              <w:spacing w:line="220" w:lineRule="atLeast"/>
              <w:jc w:val="left"/>
              <w:rPr>
                <w:rFonts w:ascii="Times New Roman" w:eastAsia="等线" w:hAnsi="Times New Roman"/>
                <w:color w:val="000000"/>
                <w:kern w:val="0"/>
                <w:szCs w:val="21"/>
              </w:rPr>
            </w:pPr>
            <w:r>
              <w:rPr>
                <w:rFonts w:ascii="Times New Roman" w:eastAsia="等线" w:hAnsi="Times New Roman" w:hint="eastAsia"/>
                <w:color w:val="000000"/>
                <w:kern w:val="0"/>
                <w:szCs w:val="21"/>
              </w:rPr>
              <w:t>eBioscience</w:t>
            </w:r>
          </w:p>
        </w:tc>
        <w:tc>
          <w:tcPr>
            <w:tcW w:w="1263" w:type="dxa"/>
            <w:tcBorders>
              <w:top w:val="nil"/>
              <w:left w:val="nil"/>
              <w:bottom w:val="nil"/>
              <w:right w:val="nil"/>
            </w:tcBorders>
            <w:shd w:val="clear" w:color="auto" w:fill="auto"/>
            <w:noWrap/>
            <w:vAlign w:val="bottom"/>
          </w:tcPr>
          <w:p w14:paraId="68073991" w14:textId="77777777" w:rsidR="00D86489" w:rsidRDefault="00B22FD0">
            <w:pPr>
              <w:widowControl/>
              <w:spacing w:line="220" w:lineRule="atLeast"/>
              <w:jc w:val="left"/>
              <w:rPr>
                <w:rFonts w:ascii="Times New Roman" w:eastAsia="等线" w:hAnsi="Times New Roman"/>
                <w:color w:val="000000"/>
                <w:kern w:val="0"/>
                <w:szCs w:val="21"/>
              </w:rPr>
            </w:pPr>
            <w:r>
              <w:rPr>
                <w:rFonts w:ascii="Times New Roman" w:eastAsia="等线" w:hAnsi="Times New Roman" w:hint="eastAsia"/>
                <w:color w:val="000000"/>
                <w:kern w:val="0"/>
                <w:szCs w:val="21"/>
              </w:rPr>
              <w:t>14-0452</w:t>
            </w:r>
          </w:p>
        </w:tc>
        <w:tc>
          <w:tcPr>
            <w:tcW w:w="1902" w:type="dxa"/>
            <w:tcBorders>
              <w:top w:val="nil"/>
              <w:left w:val="nil"/>
              <w:bottom w:val="nil"/>
              <w:right w:val="nil"/>
            </w:tcBorders>
            <w:shd w:val="clear" w:color="auto" w:fill="auto"/>
            <w:noWrap/>
            <w:vAlign w:val="bottom"/>
          </w:tcPr>
          <w:p w14:paraId="78385D84" w14:textId="77777777" w:rsidR="00D86489" w:rsidRDefault="00B22FD0">
            <w:pPr>
              <w:widowControl/>
              <w:spacing w:line="220" w:lineRule="atLeast"/>
              <w:jc w:val="left"/>
              <w:rPr>
                <w:rFonts w:ascii="Times New Roman" w:eastAsia="等线" w:hAnsi="Times New Roman"/>
                <w:color w:val="000000"/>
                <w:kern w:val="0"/>
                <w:szCs w:val="21"/>
              </w:rPr>
            </w:pPr>
            <w:r>
              <w:rPr>
                <w:rFonts w:ascii="Times New Roman" w:eastAsia="等线" w:hAnsi="Times New Roman" w:hint="eastAsia"/>
                <w:color w:val="000000"/>
                <w:kern w:val="0"/>
                <w:szCs w:val="21"/>
              </w:rPr>
              <w:t>r</w:t>
            </w:r>
            <w:r>
              <w:rPr>
                <w:rFonts w:ascii="Times New Roman" w:eastAsia="等线" w:hAnsi="Times New Roman"/>
                <w:color w:val="000000"/>
                <w:kern w:val="0"/>
                <w:szCs w:val="21"/>
              </w:rPr>
              <w:t xml:space="preserve">at </w:t>
            </w:r>
            <w:r>
              <w:rPr>
                <w:rFonts w:ascii="Times New Roman" w:eastAsia="等线" w:hAnsi="Times New Roman" w:hint="eastAsia"/>
                <w:color w:val="000000"/>
                <w:kern w:val="0"/>
                <w:szCs w:val="21"/>
              </w:rPr>
              <w:t>m</w:t>
            </w:r>
            <w:r>
              <w:rPr>
                <w:rFonts w:ascii="Times New Roman" w:eastAsia="等线" w:hAnsi="Times New Roman"/>
                <w:color w:val="000000"/>
                <w:kern w:val="0"/>
                <w:szCs w:val="21"/>
              </w:rPr>
              <w:t>onoclonal</w:t>
            </w:r>
          </w:p>
        </w:tc>
        <w:tc>
          <w:tcPr>
            <w:tcW w:w="848" w:type="dxa"/>
            <w:tcBorders>
              <w:top w:val="nil"/>
              <w:left w:val="nil"/>
              <w:bottom w:val="nil"/>
              <w:right w:val="nil"/>
            </w:tcBorders>
            <w:shd w:val="clear" w:color="auto" w:fill="auto"/>
            <w:noWrap/>
            <w:vAlign w:val="bottom"/>
          </w:tcPr>
          <w:p w14:paraId="25689C19" w14:textId="77777777" w:rsidR="00D86489" w:rsidRDefault="00D86489">
            <w:pPr>
              <w:widowControl/>
              <w:spacing w:line="220" w:lineRule="atLeast"/>
              <w:jc w:val="left"/>
              <w:rPr>
                <w:rFonts w:ascii="Times New Roman" w:eastAsia="等线" w:hAnsi="Times New Roman"/>
                <w:color w:val="000000"/>
                <w:kern w:val="0"/>
                <w:szCs w:val="21"/>
              </w:rPr>
            </w:pPr>
          </w:p>
        </w:tc>
        <w:tc>
          <w:tcPr>
            <w:tcW w:w="733" w:type="dxa"/>
            <w:tcBorders>
              <w:top w:val="nil"/>
              <w:left w:val="nil"/>
              <w:bottom w:val="nil"/>
              <w:right w:val="nil"/>
            </w:tcBorders>
            <w:shd w:val="clear" w:color="auto" w:fill="auto"/>
            <w:noWrap/>
            <w:vAlign w:val="bottom"/>
          </w:tcPr>
          <w:p w14:paraId="39392A66" w14:textId="77777777" w:rsidR="00D86489" w:rsidRDefault="00B22FD0">
            <w:pPr>
              <w:widowControl/>
              <w:spacing w:line="220" w:lineRule="atLeast"/>
              <w:jc w:val="left"/>
              <w:rPr>
                <w:rFonts w:ascii="Times New Roman" w:eastAsia="等线" w:hAnsi="Times New Roman"/>
                <w:color w:val="000000"/>
                <w:kern w:val="0"/>
                <w:szCs w:val="21"/>
              </w:rPr>
            </w:pPr>
            <w:r>
              <w:rPr>
                <w:rFonts w:ascii="Times New Roman" w:eastAsia="等线" w:hAnsi="Times New Roman" w:hint="eastAsia"/>
                <w:color w:val="000000"/>
                <w:kern w:val="0"/>
                <w:szCs w:val="21"/>
              </w:rPr>
              <w:t>1:50</w:t>
            </w:r>
          </w:p>
        </w:tc>
        <w:tc>
          <w:tcPr>
            <w:tcW w:w="847" w:type="dxa"/>
            <w:tcBorders>
              <w:top w:val="nil"/>
              <w:left w:val="nil"/>
              <w:bottom w:val="nil"/>
              <w:right w:val="nil"/>
            </w:tcBorders>
            <w:shd w:val="clear" w:color="auto" w:fill="auto"/>
            <w:noWrap/>
            <w:vAlign w:val="bottom"/>
          </w:tcPr>
          <w:p w14:paraId="611C5130" w14:textId="77777777" w:rsidR="00D86489" w:rsidRDefault="00D86489">
            <w:pPr>
              <w:widowControl/>
              <w:spacing w:line="220" w:lineRule="atLeast"/>
              <w:jc w:val="left"/>
              <w:rPr>
                <w:rFonts w:ascii="Times New Roman" w:eastAsia="Times New Roman" w:hAnsi="Times New Roman"/>
                <w:kern w:val="0"/>
                <w:szCs w:val="21"/>
              </w:rPr>
            </w:pPr>
          </w:p>
        </w:tc>
      </w:tr>
      <w:tr w:rsidR="00D86489" w14:paraId="196D0E70" w14:textId="77777777">
        <w:trPr>
          <w:trHeight w:val="276"/>
          <w:jc w:val="center"/>
        </w:trPr>
        <w:tc>
          <w:tcPr>
            <w:tcW w:w="1668" w:type="dxa"/>
            <w:tcBorders>
              <w:top w:val="nil"/>
              <w:left w:val="nil"/>
              <w:bottom w:val="nil"/>
              <w:right w:val="nil"/>
            </w:tcBorders>
            <w:shd w:val="clear" w:color="auto" w:fill="auto"/>
            <w:noWrap/>
            <w:vAlign w:val="bottom"/>
          </w:tcPr>
          <w:p w14:paraId="01210C6F" w14:textId="77777777" w:rsidR="00D86489" w:rsidRDefault="00B22FD0">
            <w:pPr>
              <w:widowControl/>
              <w:spacing w:line="220" w:lineRule="atLeast"/>
              <w:jc w:val="left"/>
              <w:rPr>
                <w:rFonts w:ascii="Times New Roman" w:eastAsia="等线" w:hAnsi="Times New Roman"/>
                <w:color w:val="000000"/>
                <w:kern w:val="0"/>
                <w:szCs w:val="21"/>
              </w:rPr>
            </w:pPr>
            <w:r>
              <w:rPr>
                <w:rFonts w:ascii="Times New Roman" w:eastAsia="等线" w:hAnsi="Times New Roman" w:hint="eastAsia"/>
                <w:color w:val="000000"/>
                <w:kern w:val="0"/>
                <w:szCs w:val="21"/>
              </w:rPr>
              <w:t>ADAM10</w:t>
            </w:r>
          </w:p>
        </w:tc>
        <w:tc>
          <w:tcPr>
            <w:tcW w:w="1261" w:type="dxa"/>
            <w:tcBorders>
              <w:top w:val="nil"/>
              <w:left w:val="nil"/>
              <w:bottom w:val="nil"/>
              <w:right w:val="nil"/>
            </w:tcBorders>
            <w:shd w:val="clear" w:color="auto" w:fill="auto"/>
            <w:noWrap/>
            <w:vAlign w:val="bottom"/>
          </w:tcPr>
          <w:p w14:paraId="6BE6B6BE" w14:textId="77777777" w:rsidR="00D86489" w:rsidRDefault="00B22FD0">
            <w:pPr>
              <w:widowControl/>
              <w:spacing w:line="220" w:lineRule="atLeast"/>
              <w:jc w:val="left"/>
              <w:rPr>
                <w:rFonts w:ascii="Times New Roman" w:eastAsia="等线" w:hAnsi="Times New Roman"/>
                <w:color w:val="000000"/>
                <w:kern w:val="0"/>
                <w:szCs w:val="21"/>
              </w:rPr>
            </w:pPr>
            <w:r>
              <w:rPr>
                <w:rFonts w:ascii="Times New Roman" w:eastAsia="等线" w:hAnsi="Times New Roman"/>
                <w:color w:val="000000"/>
                <w:kern w:val="0"/>
                <w:szCs w:val="21"/>
              </w:rPr>
              <w:t>millipore</w:t>
            </w:r>
          </w:p>
        </w:tc>
        <w:tc>
          <w:tcPr>
            <w:tcW w:w="1263" w:type="dxa"/>
            <w:tcBorders>
              <w:top w:val="nil"/>
              <w:left w:val="nil"/>
              <w:bottom w:val="nil"/>
              <w:right w:val="nil"/>
            </w:tcBorders>
            <w:shd w:val="clear" w:color="auto" w:fill="auto"/>
            <w:noWrap/>
            <w:vAlign w:val="bottom"/>
          </w:tcPr>
          <w:p w14:paraId="0CFD8E9D" w14:textId="77777777" w:rsidR="00D86489" w:rsidRDefault="00B22FD0">
            <w:pPr>
              <w:widowControl/>
              <w:spacing w:line="220" w:lineRule="atLeast"/>
              <w:jc w:val="left"/>
              <w:rPr>
                <w:rFonts w:ascii="Times New Roman" w:eastAsia="等线" w:hAnsi="Times New Roman"/>
                <w:color w:val="000000"/>
                <w:kern w:val="0"/>
                <w:szCs w:val="21"/>
              </w:rPr>
            </w:pPr>
            <w:r>
              <w:rPr>
                <w:rFonts w:ascii="Times New Roman" w:eastAsia="等线" w:hAnsi="Times New Roman" w:hint="eastAsia"/>
                <w:color w:val="000000"/>
                <w:kern w:val="0"/>
                <w:szCs w:val="21"/>
              </w:rPr>
              <w:t>AB19026</w:t>
            </w:r>
          </w:p>
        </w:tc>
        <w:tc>
          <w:tcPr>
            <w:tcW w:w="1902" w:type="dxa"/>
            <w:tcBorders>
              <w:top w:val="nil"/>
              <w:left w:val="nil"/>
              <w:bottom w:val="nil"/>
              <w:right w:val="nil"/>
            </w:tcBorders>
            <w:shd w:val="clear" w:color="auto" w:fill="auto"/>
            <w:noWrap/>
            <w:vAlign w:val="bottom"/>
          </w:tcPr>
          <w:p w14:paraId="7654D827" w14:textId="77777777" w:rsidR="00D86489" w:rsidRDefault="00B22FD0">
            <w:pPr>
              <w:widowControl/>
              <w:spacing w:line="220" w:lineRule="atLeast"/>
              <w:jc w:val="left"/>
              <w:rPr>
                <w:rFonts w:ascii="Times New Roman" w:eastAsia="等线" w:hAnsi="Times New Roman"/>
                <w:color w:val="000000"/>
                <w:kern w:val="0"/>
                <w:szCs w:val="21"/>
              </w:rPr>
            </w:pPr>
            <w:r>
              <w:rPr>
                <w:rFonts w:ascii="Times New Roman" w:eastAsia="等线" w:hAnsi="Times New Roman" w:hint="eastAsia"/>
                <w:color w:val="000000"/>
                <w:kern w:val="0"/>
                <w:szCs w:val="21"/>
              </w:rPr>
              <w:t>r</w:t>
            </w:r>
            <w:r>
              <w:rPr>
                <w:rFonts w:ascii="Times New Roman" w:eastAsia="等线" w:hAnsi="Times New Roman"/>
                <w:color w:val="000000"/>
                <w:kern w:val="0"/>
                <w:szCs w:val="21"/>
              </w:rPr>
              <w:t xml:space="preserve">abbit </w:t>
            </w:r>
            <w:r>
              <w:rPr>
                <w:rFonts w:ascii="Times New Roman" w:eastAsia="等线" w:hAnsi="Times New Roman" w:hint="eastAsia"/>
                <w:color w:val="000000"/>
                <w:kern w:val="0"/>
                <w:szCs w:val="21"/>
              </w:rPr>
              <w:t>p</w:t>
            </w:r>
            <w:r>
              <w:rPr>
                <w:rFonts w:ascii="Times New Roman" w:eastAsia="等线" w:hAnsi="Times New Roman"/>
                <w:color w:val="000000"/>
                <w:kern w:val="0"/>
                <w:szCs w:val="21"/>
              </w:rPr>
              <w:t>olyclonal</w:t>
            </w:r>
          </w:p>
        </w:tc>
        <w:tc>
          <w:tcPr>
            <w:tcW w:w="848" w:type="dxa"/>
            <w:tcBorders>
              <w:top w:val="nil"/>
              <w:left w:val="nil"/>
              <w:bottom w:val="nil"/>
              <w:right w:val="nil"/>
            </w:tcBorders>
            <w:shd w:val="clear" w:color="auto" w:fill="auto"/>
            <w:noWrap/>
            <w:vAlign w:val="bottom"/>
          </w:tcPr>
          <w:p w14:paraId="2FF53612" w14:textId="77777777" w:rsidR="00D86489" w:rsidRDefault="00B22FD0">
            <w:pPr>
              <w:widowControl/>
              <w:spacing w:line="220" w:lineRule="atLeast"/>
              <w:jc w:val="left"/>
              <w:rPr>
                <w:rFonts w:ascii="Times New Roman" w:eastAsia="等线" w:hAnsi="Times New Roman"/>
                <w:color w:val="000000"/>
                <w:kern w:val="0"/>
                <w:szCs w:val="21"/>
              </w:rPr>
            </w:pPr>
            <w:r>
              <w:rPr>
                <w:rFonts w:ascii="Times New Roman" w:eastAsia="等线" w:hAnsi="Times New Roman" w:hint="eastAsia"/>
                <w:color w:val="000000"/>
                <w:kern w:val="0"/>
                <w:szCs w:val="21"/>
              </w:rPr>
              <w:t>1:1000</w:t>
            </w:r>
          </w:p>
        </w:tc>
        <w:tc>
          <w:tcPr>
            <w:tcW w:w="733" w:type="dxa"/>
            <w:tcBorders>
              <w:top w:val="nil"/>
              <w:left w:val="nil"/>
              <w:bottom w:val="nil"/>
              <w:right w:val="nil"/>
            </w:tcBorders>
            <w:shd w:val="clear" w:color="auto" w:fill="auto"/>
            <w:noWrap/>
            <w:vAlign w:val="bottom"/>
          </w:tcPr>
          <w:p w14:paraId="6D282B93" w14:textId="77777777" w:rsidR="00D86489" w:rsidRDefault="00D86489">
            <w:pPr>
              <w:widowControl/>
              <w:spacing w:line="220" w:lineRule="atLeast"/>
              <w:jc w:val="left"/>
              <w:rPr>
                <w:rFonts w:ascii="Times New Roman" w:eastAsia="等线" w:hAnsi="Times New Roman"/>
                <w:color w:val="000000"/>
                <w:kern w:val="0"/>
                <w:szCs w:val="21"/>
              </w:rPr>
            </w:pPr>
          </w:p>
        </w:tc>
        <w:tc>
          <w:tcPr>
            <w:tcW w:w="847" w:type="dxa"/>
            <w:tcBorders>
              <w:top w:val="nil"/>
              <w:left w:val="nil"/>
              <w:bottom w:val="nil"/>
              <w:right w:val="nil"/>
            </w:tcBorders>
            <w:shd w:val="clear" w:color="auto" w:fill="auto"/>
            <w:noWrap/>
            <w:vAlign w:val="bottom"/>
          </w:tcPr>
          <w:p w14:paraId="391C9AD7" w14:textId="77777777" w:rsidR="00D86489" w:rsidRDefault="00D86489">
            <w:pPr>
              <w:widowControl/>
              <w:spacing w:line="220" w:lineRule="atLeast"/>
              <w:jc w:val="left"/>
              <w:rPr>
                <w:rFonts w:ascii="Times New Roman" w:eastAsia="Times New Roman" w:hAnsi="Times New Roman"/>
                <w:kern w:val="0"/>
                <w:szCs w:val="21"/>
              </w:rPr>
            </w:pPr>
          </w:p>
        </w:tc>
      </w:tr>
      <w:tr w:rsidR="00D86489" w14:paraId="66DE1B50" w14:textId="77777777">
        <w:trPr>
          <w:trHeight w:val="276"/>
          <w:jc w:val="center"/>
        </w:trPr>
        <w:tc>
          <w:tcPr>
            <w:tcW w:w="1668" w:type="dxa"/>
            <w:tcBorders>
              <w:top w:val="nil"/>
              <w:left w:val="nil"/>
              <w:bottom w:val="nil"/>
              <w:right w:val="nil"/>
            </w:tcBorders>
            <w:shd w:val="clear" w:color="auto" w:fill="auto"/>
            <w:noWrap/>
            <w:vAlign w:val="bottom"/>
          </w:tcPr>
          <w:p w14:paraId="07CF9A7C" w14:textId="77777777" w:rsidR="00D86489" w:rsidRDefault="00B22FD0">
            <w:pPr>
              <w:widowControl/>
              <w:spacing w:line="220" w:lineRule="atLeast"/>
              <w:jc w:val="left"/>
              <w:rPr>
                <w:rFonts w:ascii="Times New Roman" w:eastAsia="等线" w:hAnsi="Times New Roman"/>
                <w:color w:val="000000"/>
                <w:kern w:val="0"/>
                <w:szCs w:val="21"/>
              </w:rPr>
            </w:pPr>
            <w:r>
              <w:rPr>
                <w:rFonts w:ascii="Times New Roman" w:eastAsia="等线" w:hAnsi="Times New Roman" w:hint="eastAsia"/>
                <w:color w:val="000000"/>
                <w:kern w:val="0"/>
                <w:szCs w:val="21"/>
              </w:rPr>
              <w:t>BACE1</w:t>
            </w:r>
          </w:p>
        </w:tc>
        <w:tc>
          <w:tcPr>
            <w:tcW w:w="1261" w:type="dxa"/>
            <w:tcBorders>
              <w:top w:val="nil"/>
              <w:left w:val="nil"/>
              <w:bottom w:val="nil"/>
              <w:right w:val="nil"/>
            </w:tcBorders>
            <w:shd w:val="clear" w:color="auto" w:fill="auto"/>
            <w:noWrap/>
            <w:vAlign w:val="bottom"/>
          </w:tcPr>
          <w:p w14:paraId="42663893" w14:textId="77777777" w:rsidR="00D86489" w:rsidRDefault="00B22FD0">
            <w:pPr>
              <w:widowControl/>
              <w:spacing w:line="220" w:lineRule="atLeast"/>
              <w:jc w:val="left"/>
              <w:rPr>
                <w:rFonts w:ascii="Times New Roman" w:eastAsia="等线" w:hAnsi="Times New Roman"/>
                <w:color w:val="000000"/>
                <w:kern w:val="0"/>
                <w:szCs w:val="21"/>
              </w:rPr>
            </w:pPr>
            <w:r>
              <w:rPr>
                <w:rFonts w:ascii="Times New Roman" w:eastAsia="等线" w:hAnsi="Times New Roman"/>
                <w:color w:val="000000"/>
                <w:kern w:val="0"/>
                <w:szCs w:val="21"/>
              </w:rPr>
              <w:t>millipore</w:t>
            </w:r>
          </w:p>
        </w:tc>
        <w:tc>
          <w:tcPr>
            <w:tcW w:w="1263" w:type="dxa"/>
            <w:tcBorders>
              <w:top w:val="nil"/>
              <w:left w:val="nil"/>
              <w:bottom w:val="nil"/>
              <w:right w:val="nil"/>
            </w:tcBorders>
            <w:shd w:val="clear" w:color="auto" w:fill="auto"/>
            <w:noWrap/>
            <w:vAlign w:val="bottom"/>
          </w:tcPr>
          <w:p w14:paraId="66953BB6" w14:textId="77777777" w:rsidR="00D86489" w:rsidRDefault="00B22FD0">
            <w:pPr>
              <w:widowControl/>
              <w:spacing w:line="220" w:lineRule="atLeast"/>
              <w:jc w:val="left"/>
              <w:rPr>
                <w:rFonts w:ascii="Times New Roman" w:eastAsia="等线" w:hAnsi="Times New Roman"/>
                <w:color w:val="000000"/>
                <w:kern w:val="0"/>
                <w:szCs w:val="21"/>
              </w:rPr>
            </w:pPr>
            <w:r>
              <w:rPr>
                <w:rFonts w:ascii="Times New Roman" w:eastAsia="等线" w:hAnsi="Times New Roman" w:hint="eastAsia"/>
                <w:color w:val="000000"/>
                <w:kern w:val="0"/>
                <w:szCs w:val="21"/>
              </w:rPr>
              <w:t>MAB5308</w:t>
            </w:r>
          </w:p>
        </w:tc>
        <w:tc>
          <w:tcPr>
            <w:tcW w:w="1902" w:type="dxa"/>
            <w:tcBorders>
              <w:top w:val="nil"/>
              <w:left w:val="nil"/>
              <w:bottom w:val="nil"/>
              <w:right w:val="nil"/>
            </w:tcBorders>
            <w:shd w:val="clear" w:color="auto" w:fill="auto"/>
            <w:noWrap/>
            <w:vAlign w:val="bottom"/>
          </w:tcPr>
          <w:p w14:paraId="0620ACEE" w14:textId="77777777" w:rsidR="00D86489" w:rsidRDefault="00B22FD0">
            <w:pPr>
              <w:widowControl/>
              <w:spacing w:line="220" w:lineRule="atLeast"/>
              <w:jc w:val="left"/>
              <w:rPr>
                <w:rFonts w:ascii="Times New Roman" w:eastAsia="等线" w:hAnsi="Times New Roman"/>
                <w:color w:val="000000"/>
                <w:kern w:val="0"/>
                <w:szCs w:val="21"/>
              </w:rPr>
            </w:pPr>
            <w:r>
              <w:rPr>
                <w:rFonts w:ascii="Times New Roman" w:eastAsia="等线" w:hAnsi="Times New Roman" w:hint="eastAsia"/>
                <w:color w:val="000000"/>
                <w:kern w:val="0"/>
                <w:szCs w:val="21"/>
              </w:rPr>
              <w:t>mouse monoclonal</w:t>
            </w:r>
          </w:p>
        </w:tc>
        <w:tc>
          <w:tcPr>
            <w:tcW w:w="848" w:type="dxa"/>
            <w:tcBorders>
              <w:top w:val="nil"/>
              <w:left w:val="nil"/>
              <w:bottom w:val="nil"/>
              <w:right w:val="nil"/>
            </w:tcBorders>
            <w:shd w:val="clear" w:color="auto" w:fill="auto"/>
            <w:noWrap/>
            <w:vAlign w:val="bottom"/>
          </w:tcPr>
          <w:p w14:paraId="2E96EAF2" w14:textId="77777777" w:rsidR="00D86489" w:rsidRDefault="00B22FD0">
            <w:pPr>
              <w:widowControl/>
              <w:spacing w:line="220" w:lineRule="atLeast"/>
              <w:jc w:val="left"/>
              <w:rPr>
                <w:rFonts w:ascii="Times New Roman" w:eastAsia="等线" w:hAnsi="Times New Roman"/>
                <w:color w:val="000000"/>
                <w:kern w:val="0"/>
                <w:szCs w:val="21"/>
              </w:rPr>
            </w:pPr>
            <w:r>
              <w:rPr>
                <w:rFonts w:ascii="Times New Roman" w:eastAsia="等线" w:hAnsi="Times New Roman" w:hint="eastAsia"/>
                <w:color w:val="000000"/>
                <w:kern w:val="0"/>
                <w:szCs w:val="21"/>
              </w:rPr>
              <w:t>1:1000</w:t>
            </w:r>
          </w:p>
        </w:tc>
        <w:tc>
          <w:tcPr>
            <w:tcW w:w="733" w:type="dxa"/>
            <w:tcBorders>
              <w:top w:val="nil"/>
              <w:left w:val="nil"/>
              <w:bottom w:val="nil"/>
              <w:right w:val="nil"/>
            </w:tcBorders>
            <w:shd w:val="clear" w:color="auto" w:fill="auto"/>
            <w:noWrap/>
            <w:vAlign w:val="bottom"/>
          </w:tcPr>
          <w:p w14:paraId="6EC02080" w14:textId="77777777" w:rsidR="00D86489" w:rsidRDefault="00B22FD0">
            <w:pPr>
              <w:widowControl/>
              <w:spacing w:line="220" w:lineRule="atLeast"/>
              <w:jc w:val="left"/>
              <w:rPr>
                <w:rFonts w:ascii="Times New Roman" w:eastAsia="等线" w:hAnsi="Times New Roman"/>
                <w:color w:val="000000"/>
                <w:kern w:val="0"/>
                <w:szCs w:val="21"/>
              </w:rPr>
            </w:pPr>
            <w:r>
              <w:rPr>
                <w:rFonts w:ascii="Times New Roman" w:eastAsia="等线" w:hAnsi="Times New Roman" w:hint="eastAsia"/>
                <w:color w:val="000000"/>
                <w:kern w:val="0"/>
                <w:szCs w:val="21"/>
              </w:rPr>
              <w:t>1:200</w:t>
            </w:r>
          </w:p>
        </w:tc>
        <w:tc>
          <w:tcPr>
            <w:tcW w:w="847" w:type="dxa"/>
            <w:tcBorders>
              <w:top w:val="nil"/>
              <w:left w:val="nil"/>
              <w:bottom w:val="nil"/>
              <w:right w:val="nil"/>
            </w:tcBorders>
            <w:shd w:val="clear" w:color="auto" w:fill="auto"/>
            <w:noWrap/>
            <w:vAlign w:val="bottom"/>
          </w:tcPr>
          <w:p w14:paraId="5BABBF7E" w14:textId="77777777" w:rsidR="00D86489" w:rsidRDefault="00D86489">
            <w:pPr>
              <w:widowControl/>
              <w:spacing w:line="220" w:lineRule="atLeast"/>
              <w:jc w:val="left"/>
              <w:rPr>
                <w:rFonts w:ascii="Times New Roman" w:eastAsia="Times New Roman" w:hAnsi="Times New Roman"/>
                <w:kern w:val="0"/>
                <w:szCs w:val="21"/>
              </w:rPr>
            </w:pPr>
          </w:p>
        </w:tc>
      </w:tr>
      <w:tr w:rsidR="00D86489" w14:paraId="499440F7" w14:textId="77777777">
        <w:trPr>
          <w:trHeight w:val="276"/>
          <w:jc w:val="center"/>
        </w:trPr>
        <w:tc>
          <w:tcPr>
            <w:tcW w:w="1668" w:type="dxa"/>
            <w:tcBorders>
              <w:top w:val="nil"/>
              <w:left w:val="nil"/>
              <w:bottom w:val="nil"/>
              <w:right w:val="nil"/>
            </w:tcBorders>
            <w:shd w:val="clear" w:color="auto" w:fill="auto"/>
            <w:noWrap/>
            <w:vAlign w:val="bottom"/>
          </w:tcPr>
          <w:p w14:paraId="71CAC465" w14:textId="77777777" w:rsidR="00D86489" w:rsidRDefault="00B22FD0">
            <w:pPr>
              <w:widowControl/>
              <w:spacing w:line="220" w:lineRule="atLeast"/>
              <w:jc w:val="left"/>
              <w:rPr>
                <w:rFonts w:ascii="Times New Roman" w:eastAsia="等线" w:hAnsi="Times New Roman"/>
                <w:color w:val="000000"/>
                <w:kern w:val="0"/>
                <w:szCs w:val="21"/>
              </w:rPr>
            </w:pPr>
            <w:r>
              <w:rPr>
                <w:rFonts w:ascii="Times New Roman" w:eastAsia="等线" w:hAnsi="Times New Roman" w:hint="eastAsia"/>
                <w:color w:val="000000"/>
                <w:kern w:val="0"/>
                <w:szCs w:val="21"/>
              </w:rPr>
              <w:t>BACE1</w:t>
            </w:r>
          </w:p>
        </w:tc>
        <w:tc>
          <w:tcPr>
            <w:tcW w:w="1261" w:type="dxa"/>
            <w:tcBorders>
              <w:top w:val="nil"/>
              <w:left w:val="nil"/>
              <w:bottom w:val="nil"/>
              <w:right w:val="nil"/>
            </w:tcBorders>
            <w:shd w:val="clear" w:color="auto" w:fill="auto"/>
            <w:noWrap/>
            <w:vAlign w:val="bottom"/>
          </w:tcPr>
          <w:p w14:paraId="0ADD4BF5" w14:textId="77777777" w:rsidR="00D86489" w:rsidRDefault="00B22FD0">
            <w:pPr>
              <w:widowControl/>
              <w:spacing w:line="220" w:lineRule="atLeast"/>
              <w:jc w:val="left"/>
              <w:rPr>
                <w:rFonts w:ascii="Times New Roman" w:eastAsia="等线" w:hAnsi="Times New Roman"/>
                <w:color w:val="000000"/>
                <w:kern w:val="0"/>
                <w:szCs w:val="21"/>
              </w:rPr>
            </w:pPr>
            <w:r>
              <w:rPr>
                <w:rFonts w:ascii="Times New Roman" w:eastAsia="等线" w:hAnsi="Times New Roman" w:hint="eastAsia"/>
                <w:color w:val="000000"/>
                <w:kern w:val="0"/>
                <w:szCs w:val="21"/>
              </w:rPr>
              <w:t>CST</w:t>
            </w:r>
          </w:p>
        </w:tc>
        <w:tc>
          <w:tcPr>
            <w:tcW w:w="1263" w:type="dxa"/>
            <w:tcBorders>
              <w:top w:val="nil"/>
              <w:left w:val="nil"/>
              <w:bottom w:val="nil"/>
              <w:right w:val="nil"/>
            </w:tcBorders>
            <w:shd w:val="clear" w:color="auto" w:fill="auto"/>
            <w:noWrap/>
            <w:vAlign w:val="bottom"/>
          </w:tcPr>
          <w:p w14:paraId="66B7B3D1" w14:textId="77777777" w:rsidR="00D86489" w:rsidRDefault="00B22FD0">
            <w:pPr>
              <w:widowControl/>
              <w:spacing w:line="220" w:lineRule="atLeast"/>
              <w:jc w:val="left"/>
              <w:rPr>
                <w:rFonts w:ascii="Times New Roman" w:eastAsia="等线" w:hAnsi="Times New Roman"/>
                <w:color w:val="000000"/>
                <w:kern w:val="0"/>
                <w:szCs w:val="21"/>
              </w:rPr>
            </w:pPr>
            <w:r>
              <w:rPr>
                <w:rFonts w:ascii="Times New Roman" w:eastAsia="等线" w:hAnsi="Times New Roman" w:hint="eastAsia"/>
                <w:color w:val="000000"/>
                <w:kern w:val="0"/>
                <w:szCs w:val="21"/>
              </w:rPr>
              <w:t>5606</w:t>
            </w:r>
          </w:p>
        </w:tc>
        <w:tc>
          <w:tcPr>
            <w:tcW w:w="1902" w:type="dxa"/>
            <w:tcBorders>
              <w:top w:val="nil"/>
              <w:left w:val="nil"/>
              <w:bottom w:val="nil"/>
              <w:right w:val="nil"/>
            </w:tcBorders>
            <w:shd w:val="clear" w:color="auto" w:fill="auto"/>
            <w:noWrap/>
            <w:vAlign w:val="bottom"/>
          </w:tcPr>
          <w:p w14:paraId="307A5382" w14:textId="77777777" w:rsidR="00D86489" w:rsidRDefault="00B22FD0">
            <w:pPr>
              <w:widowControl/>
              <w:spacing w:line="220" w:lineRule="atLeast"/>
              <w:jc w:val="left"/>
              <w:rPr>
                <w:rFonts w:ascii="Times New Roman" w:eastAsia="等线" w:hAnsi="Times New Roman"/>
                <w:color w:val="000000"/>
                <w:kern w:val="0"/>
                <w:szCs w:val="21"/>
              </w:rPr>
            </w:pPr>
            <w:r>
              <w:rPr>
                <w:rFonts w:ascii="Times New Roman" w:eastAsia="等线" w:hAnsi="Times New Roman" w:hint="eastAsia"/>
                <w:color w:val="000000"/>
                <w:kern w:val="0"/>
                <w:szCs w:val="21"/>
              </w:rPr>
              <w:t>rabbit monoclonal</w:t>
            </w:r>
          </w:p>
        </w:tc>
        <w:tc>
          <w:tcPr>
            <w:tcW w:w="848" w:type="dxa"/>
            <w:tcBorders>
              <w:top w:val="nil"/>
              <w:left w:val="nil"/>
              <w:bottom w:val="nil"/>
              <w:right w:val="nil"/>
            </w:tcBorders>
            <w:shd w:val="clear" w:color="auto" w:fill="auto"/>
            <w:noWrap/>
            <w:vAlign w:val="bottom"/>
          </w:tcPr>
          <w:p w14:paraId="5FE2825C" w14:textId="77777777" w:rsidR="00D86489" w:rsidRDefault="00B22FD0">
            <w:pPr>
              <w:widowControl/>
              <w:spacing w:line="220" w:lineRule="atLeast"/>
              <w:jc w:val="left"/>
              <w:rPr>
                <w:rFonts w:ascii="Times New Roman" w:eastAsia="等线" w:hAnsi="Times New Roman"/>
                <w:color w:val="000000"/>
                <w:kern w:val="0"/>
                <w:szCs w:val="21"/>
              </w:rPr>
            </w:pPr>
            <w:r>
              <w:rPr>
                <w:rFonts w:ascii="Times New Roman" w:eastAsia="等线" w:hAnsi="Times New Roman" w:hint="eastAsia"/>
                <w:color w:val="000000"/>
                <w:kern w:val="0"/>
                <w:szCs w:val="21"/>
              </w:rPr>
              <w:t>1:1000</w:t>
            </w:r>
          </w:p>
        </w:tc>
        <w:tc>
          <w:tcPr>
            <w:tcW w:w="733" w:type="dxa"/>
            <w:tcBorders>
              <w:top w:val="nil"/>
              <w:left w:val="nil"/>
              <w:bottom w:val="nil"/>
              <w:right w:val="nil"/>
            </w:tcBorders>
            <w:shd w:val="clear" w:color="auto" w:fill="auto"/>
            <w:noWrap/>
            <w:vAlign w:val="bottom"/>
          </w:tcPr>
          <w:p w14:paraId="0FAFDEFD" w14:textId="77777777" w:rsidR="00D86489" w:rsidRDefault="00D86489">
            <w:pPr>
              <w:widowControl/>
              <w:spacing w:line="220" w:lineRule="atLeast"/>
              <w:jc w:val="left"/>
              <w:rPr>
                <w:rFonts w:ascii="Times New Roman" w:eastAsia="等线" w:hAnsi="Times New Roman"/>
                <w:color w:val="000000"/>
                <w:kern w:val="0"/>
                <w:szCs w:val="21"/>
              </w:rPr>
            </w:pPr>
          </w:p>
        </w:tc>
        <w:tc>
          <w:tcPr>
            <w:tcW w:w="847" w:type="dxa"/>
            <w:tcBorders>
              <w:top w:val="nil"/>
              <w:left w:val="nil"/>
              <w:bottom w:val="nil"/>
              <w:right w:val="nil"/>
            </w:tcBorders>
            <w:shd w:val="clear" w:color="auto" w:fill="auto"/>
            <w:noWrap/>
            <w:vAlign w:val="bottom"/>
          </w:tcPr>
          <w:p w14:paraId="690A4209" w14:textId="77777777" w:rsidR="00D86489" w:rsidRDefault="00D86489">
            <w:pPr>
              <w:widowControl/>
              <w:spacing w:line="220" w:lineRule="atLeast"/>
              <w:jc w:val="left"/>
              <w:rPr>
                <w:rFonts w:ascii="Times New Roman" w:eastAsia="Times New Roman" w:hAnsi="Times New Roman"/>
                <w:kern w:val="0"/>
                <w:szCs w:val="21"/>
              </w:rPr>
            </w:pPr>
          </w:p>
        </w:tc>
      </w:tr>
      <w:tr w:rsidR="00D86489" w14:paraId="73770D59" w14:textId="77777777">
        <w:trPr>
          <w:trHeight w:val="276"/>
          <w:jc w:val="center"/>
        </w:trPr>
        <w:tc>
          <w:tcPr>
            <w:tcW w:w="1668" w:type="dxa"/>
            <w:tcBorders>
              <w:top w:val="nil"/>
              <w:left w:val="nil"/>
              <w:bottom w:val="nil"/>
              <w:right w:val="nil"/>
            </w:tcBorders>
            <w:shd w:val="clear" w:color="auto" w:fill="auto"/>
            <w:noWrap/>
            <w:vAlign w:val="bottom"/>
          </w:tcPr>
          <w:p w14:paraId="578D1A92" w14:textId="77777777" w:rsidR="00D86489" w:rsidRDefault="00B22FD0">
            <w:pPr>
              <w:widowControl/>
              <w:spacing w:line="220" w:lineRule="atLeast"/>
              <w:jc w:val="left"/>
              <w:rPr>
                <w:rFonts w:ascii="Times New Roman" w:eastAsia="等线" w:hAnsi="Times New Roman"/>
                <w:color w:val="000000"/>
                <w:kern w:val="0"/>
                <w:szCs w:val="21"/>
              </w:rPr>
            </w:pPr>
            <w:r>
              <w:rPr>
                <w:rFonts w:ascii="Times New Roman" w:eastAsia="等线" w:hAnsi="Times New Roman" w:hint="eastAsia"/>
                <w:color w:val="000000"/>
                <w:kern w:val="0"/>
                <w:szCs w:val="21"/>
              </w:rPr>
              <w:t>PS1</w:t>
            </w:r>
          </w:p>
        </w:tc>
        <w:tc>
          <w:tcPr>
            <w:tcW w:w="1261" w:type="dxa"/>
            <w:tcBorders>
              <w:top w:val="nil"/>
              <w:left w:val="nil"/>
              <w:bottom w:val="nil"/>
              <w:right w:val="nil"/>
            </w:tcBorders>
            <w:shd w:val="clear" w:color="auto" w:fill="auto"/>
            <w:noWrap/>
            <w:vAlign w:val="bottom"/>
          </w:tcPr>
          <w:p w14:paraId="5B4140E2" w14:textId="77777777" w:rsidR="00D86489" w:rsidRDefault="00B22FD0">
            <w:pPr>
              <w:widowControl/>
              <w:spacing w:line="220" w:lineRule="atLeast"/>
              <w:jc w:val="left"/>
              <w:rPr>
                <w:rFonts w:ascii="Times New Roman" w:eastAsia="等线" w:hAnsi="Times New Roman"/>
                <w:color w:val="000000"/>
                <w:kern w:val="0"/>
                <w:szCs w:val="21"/>
              </w:rPr>
            </w:pPr>
            <w:r>
              <w:rPr>
                <w:rFonts w:ascii="Times New Roman" w:eastAsia="等线" w:hAnsi="Times New Roman" w:hint="eastAsia"/>
                <w:color w:val="000000"/>
                <w:kern w:val="0"/>
                <w:szCs w:val="21"/>
              </w:rPr>
              <w:t>sigma</w:t>
            </w:r>
          </w:p>
        </w:tc>
        <w:tc>
          <w:tcPr>
            <w:tcW w:w="1263" w:type="dxa"/>
            <w:tcBorders>
              <w:top w:val="nil"/>
              <w:left w:val="nil"/>
              <w:bottom w:val="nil"/>
              <w:right w:val="nil"/>
            </w:tcBorders>
            <w:shd w:val="clear" w:color="auto" w:fill="auto"/>
            <w:noWrap/>
            <w:vAlign w:val="bottom"/>
          </w:tcPr>
          <w:p w14:paraId="716302E1" w14:textId="77777777" w:rsidR="00D86489" w:rsidRDefault="00B22FD0">
            <w:pPr>
              <w:widowControl/>
              <w:spacing w:line="220" w:lineRule="atLeast"/>
              <w:jc w:val="left"/>
              <w:rPr>
                <w:rFonts w:ascii="Times New Roman" w:eastAsia="等线" w:hAnsi="Times New Roman"/>
                <w:color w:val="000000"/>
                <w:kern w:val="0"/>
                <w:szCs w:val="21"/>
              </w:rPr>
            </w:pPr>
            <w:r>
              <w:rPr>
                <w:rFonts w:ascii="Times New Roman" w:eastAsia="等线" w:hAnsi="Times New Roman" w:hint="eastAsia"/>
                <w:color w:val="000000"/>
                <w:kern w:val="0"/>
                <w:szCs w:val="21"/>
              </w:rPr>
              <w:t>PRS4203</w:t>
            </w:r>
          </w:p>
        </w:tc>
        <w:tc>
          <w:tcPr>
            <w:tcW w:w="1902" w:type="dxa"/>
            <w:tcBorders>
              <w:top w:val="nil"/>
              <w:left w:val="nil"/>
              <w:bottom w:val="nil"/>
              <w:right w:val="nil"/>
            </w:tcBorders>
            <w:shd w:val="clear" w:color="auto" w:fill="auto"/>
            <w:noWrap/>
            <w:vAlign w:val="bottom"/>
          </w:tcPr>
          <w:p w14:paraId="7E725756" w14:textId="77777777" w:rsidR="00D86489" w:rsidRDefault="00B22FD0">
            <w:pPr>
              <w:widowControl/>
              <w:spacing w:line="220" w:lineRule="atLeast"/>
              <w:jc w:val="left"/>
              <w:rPr>
                <w:rFonts w:ascii="Times New Roman" w:eastAsia="等线" w:hAnsi="Times New Roman"/>
                <w:color w:val="000000"/>
                <w:kern w:val="0"/>
                <w:szCs w:val="21"/>
              </w:rPr>
            </w:pPr>
            <w:r>
              <w:rPr>
                <w:rFonts w:ascii="Times New Roman" w:eastAsia="等线" w:hAnsi="Times New Roman" w:hint="eastAsia"/>
                <w:color w:val="000000"/>
                <w:kern w:val="0"/>
                <w:szCs w:val="21"/>
              </w:rPr>
              <w:t>r</w:t>
            </w:r>
            <w:r>
              <w:rPr>
                <w:rFonts w:ascii="Times New Roman" w:eastAsia="等线" w:hAnsi="Times New Roman"/>
                <w:color w:val="000000"/>
                <w:kern w:val="0"/>
                <w:szCs w:val="21"/>
              </w:rPr>
              <w:t xml:space="preserve">abbit </w:t>
            </w:r>
            <w:r>
              <w:rPr>
                <w:rFonts w:ascii="Times New Roman" w:eastAsia="等线" w:hAnsi="Times New Roman" w:hint="eastAsia"/>
                <w:color w:val="000000"/>
                <w:kern w:val="0"/>
                <w:szCs w:val="21"/>
              </w:rPr>
              <w:t>p</w:t>
            </w:r>
            <w:r>
              <w:rPr>
                <w:rFonts w:ascii="Times New Roman" w:eastAsia="等线" w:hAnsi="Times New Roman"/>
                <w:color w:val="000000"/>
                <w:kern w:val="0"/>
                <w:szCs w:val="21"/>
              </w:rPr>
              <w:t>olyclonal</w:t>
            </w:r>
          </w:p>
        </w:tc>
        <w:tc>
          <w:tcPr>
            <w:tcW w:w="848" w:type="dxa"/>
            <w:tcBorders>
              <w:top w:val="nil"/>
              <w:left w:val="nil"/>
              <w:bottom w:val="nil"/>
              <w:right w:val="nil"/>
            </w:tcBorders>
            <w:shd w:val="clear" w:color="auto" w:fill="auto"/>
            <w:noWrap/>
            <w:vAlign w:val="bottom"/>
          </w:tcPr>
          <w:p w14:paraId="038D8A23" w14:textId="77777777" w:rsidR="00D86489" w:rsidRDefault="00B22FD0">
            <w:pPr>
              <w:widowControl/>
              <w:spacing w:line="220" w:lineRule="atLeast"/>
              <w:jc w:val="left"/>
              <w:rPr>
                <w:rFonts w:ascii="Times New Roman" w:eastAsia="等线" w:hAnsi="Times New Roman"/>
                <w:color w:val="000000"/>
                <w:kern w:val="0"/>
                <w:szCs w:val="21"/>
              </w:rPr>
            </w:pPr>
            <w:r>
              <w:rPr>
                <w:rFonts w:ascii="Times New Roman" w:eastAsia="等线" w:hAnsi="Times New Roman" w:hint="eastAsia"/>
                <w:color w:val="000000"/>
                <w:kern w:val="0"/>
                <w:szCs w:val="21"/>
              </w:rPr>
              <w:t>1:1000</w:t>
            </w:r>
          </w:p>
        </w:tc>
        <w:tc>
          <w:tcPr>
            <w:tcW w:w="733" w:type="dxa"/>
            <w:tcBorders>
              <w:top w:val="nil"/>
              <w:left w:val="nil"/>
              <w:bottom w:val="nil"/>
              <w:right w:val="nil"/>
            </w:tcBorders>
            <w:shd w:val="clear" w:color="auto" w:fill="auto"/>
            <w:noWrap/>
            <w:vAlign w:val="bottom"/>
          </w:tcPr>
          <w:p w14:paraId="67F918FC" w14:textId="77777777" w:rsidR="00D86489" w:rsidRDefault="00D86489">
            <w:pPr>
              <w:widowControl/>
              <w:spacing w:line="220" w:lineRule="atLeast"/>
              <w:jc w:val="left"/>
              <w:rPr>
                <w:rFonts w:ascii="Times New Roman" w:eastAsia="Times New Roman" w:hAnsi="Times New Roman"/>
                <w:kern w:val="0"/>
                <w:szCs w:val="21"/>
              </w:rPr>
            </w:pPr>
          </w:p>
        </w:tc>
        <w:tc>
          <w:tcPr>
            <w:tcW w:w="847" w:type="dxa"/>
            <w:tcBorders>
              <w:top w:val="nil"/>
              <w:left w:val="nil"/>
              <w:bottom w:val="nil"/>
              <w:right w:val="nil"/>
            </w:tcBorders>
            <w:shd w:val="clear" w:color="auto" w:fill="auto"/>
            <w:noWrap/>
            <w:vAlign w:val="bottom"/>
          </w:tcPr>
          <w:p w14:paraId="5A406532" w14:textId="77777777" w:rsidR="00D86489" w:rsidRDefault="00D86489">
            <w:pPr>
              <w:widowControl/>
              <w:spacing w:line="220" w:lineRule="atLeast"/>
              <w:jc w:val="left"/>
              <w:rPr>
                <w:rFonts w:ascii="Times New Roman" w:eastAsia="等线" w:hAnsi="Times New Roman"/>
                <w:color w:val="000000"/>
                <w:kern w:val="0"/>
                <w:szCs w:val="21"/>
              </w:rPr>
            </w:pPr>
          </w:p>
        </w:tc>
      </w:tr>
      <w:tr w:rsidR="00D86489" w14:paraId="4457CEA0" w14:textId="77777777">
        <w:trPr>
          <w:trHeight w:val="276"/>
          <w:jc w:val="center"/>
        </w:trPr>
        <w:tc>
          <w:tcPr>
            <w:tcW w:w="1668" w:type="dxa"/>
            <w:tcBorders>
              <w:top w:val="nil"/>
              <w:left w:val="nil"/>
              <w:bottom w:val="nil"/>
              <w:right w:val="nil"/>
            </w:tcBorders>
            <w:shd w:val="clear" w:color="auto" w:fill="auto"/>
            <w:noWrap/>
            <w:vAlign w:val="bottom"/>
          </w:tcPr>
          <w:p w14:paraId="3947F589" w14:textId="77777777" w:rsidR="00D86489" w:rsidRDefault="00B22FD0">
            <w:pPr>
              <w:widowControl/>
              <w:spacing w:line="220" w:lineRule="atLeast"/>
              <w:jc w:val="left"/>
              <w:rPr>
                <w:rFonts w:ascii="Times New Roman" w:eastAsia="等线" w:hAnsi="Times New Roman"/>
                <w:color w:val="000000"/>
                <w:kern w:val="0"/>
                <w:szCs w:val="21"/>
              </w:rPr>
            </w:pPr>
            <w:r>
              <w:rPr>
                <w:rFonts w:ascii="Times New Roman" w:eastAsia="等线" w:hAnsi="Times New Roman" w:hint="eastAsia"/>
                <w:color w:val="000000"/>
                <w:kern w:val="0"/>
                <w:szCs w:val="21"/>
              </w:rPr>
              <w:t>sAPP</w:t>
            </w:r>
            <w:r>
              <w:rPr>
                <w:rFonts w:ascii="Times New Roman" w:eastAsia="等线" w:hAnsi="Times New Roman" w:hint="eastAsia"/>
                <w:color w:val="000000"/>
                <w:kern w:val="0"/>
                <w:szCs w:val="21"/>
              </w:rPr>
              <w:sym w:font="Symbol" w:char="F061"/>
            </w:r>
          </w:p>
        </w:tc>
        <w:tc>
          <w:tcPr>
            <w:tcW w:w="1261" w:type="dxa"/>
            <w:tcBorders>
              <w:top w:val="nil"/>
              <w:left w:val="nil"/>
              <w:bottom w:val="nil"/>
              <w:right w:val="nil"/>
            </w:tcBorders>
            <w:shd w:val="clear" w:color="auto" w:fill="auto"/>
            <w:noWrap/>
            <w:vAlign w:val="bottom"/>
          </w:tcPr>
          <w:p w14:paraId="18A35952" w14:textId="77777777" w:rsidR="00D86489" w:rsidRDefault="00B22FD0">
            <w:pPr>
              <w:widowControl/>
              <w:spacing w:line="220" w:lineRule="atLeast"/>
              <w:jc w:val="left"/>
              <w:rPr>
                <w:rFonts w:ascii="Times New Roman" w:eastAsia="等线" w:hAnsi="Times New Roman"/>
                <w:color w:val="000000"/>
                <w:kern w:val="0"/>
                <w:szCs w:val="21"/>
              </w:rPr>
            </w:pPr>
            <w:r>
              <w:rPr>
                <w:rFonts w:ascii="Times New Roman" w:eastAsia="等线" w:hAnsi="Times New Roman" w:hint="eastAsia"/>
                <w:color w:val="000000"/>
                <w:kern w:val="0"/>
                <w:szCs w:val="21"/>
              </w:rPr>
              <w:t>IBL</w:t>
            </w:r>
          </w:p>
        </w:tc>
        <w:tc>
          <w:tcPr>
            <w:tcW w:w="1263" w:type="dxa"/>
            <w:tcBorders>
              <w:top w:val="nil"/>
              <w:left w:val="nil"/>
              <w:bottom w:val="nil"/>
              <w:right w:val="nil"/>
            </w:tcBorders>
            <w:shd w:val="clear" w:color="auto" w:fill="auto"/>
            <w:noWrap/>
            <w:vAlign w:val="bottom"/>
          </w:tcPr>
          <w:p w14:paraId="4DA65C61" w14:textId="77777777" w:rsidR="00D86489" w:rsidRDefault="00B22FD0">
            <w:pPr>
              <w:widowControl/>
              <w:spacing w:line="220" w:lineRule="atLeast"/>
              <w:jc w:val="left"/>
              <w:rPr>
                <w:rFonts w:ascii="Times New Roman" w:eastAsia="等线" w:hAnsi="Times New Roman"/>
                <w:color w:val="000000"/>
                <w:kern w:val="0"/>
                <w:szCs w:val="21"/>
              </w:rPr>
            </w:pPr>
            <w:r>
              <w:rPr>
                <w:rFonts w:ascii="Times New Roman" w:eastAsia="等线" w:hAnsi="Times New Roman" w:hint="eastAsia"/>
                <w:color w:val="000000"/>
                <w:kern w:val="0"/>
                <w:szCs w:val="21"/>
              </w:rPr>
              <w:t>11088</w:t>
            </w:r>
          </w:p>
        </w:tc>
        <w:tc>
          <w:tcPr>
            <w:tcW w:w="1902" w:type="dxa"/>
            <w:tcBorders>
              <w:top w:val="nil"/>
              <w:left w:val="nil"/>
              <w:bottom w:val="nil"/>
              <w:right w:val="nil"/>
            </w:tcBorders>
            <w:shd w:val="clear" w:color="auto" w:fill="auto"/>
            <w:noWrap/>
            <w:vAlign w:val="bottom"/>
          </w:tcPr>
          <w:p w14:paraId="0232DAEC" w14:textId="77777777" w:rsidR="00D86489" w:rsidRDefault="00B22FD0">
            <w:pPr>
              <w:widowControl/>
              <w:spacing w:line="220" w:lineRule="atLeast"/>
              <w:jc w:val="left"/>
              <w:rPr>
                <w:rFonts w:ascii="Times New Roman" w:eastAsia="等线" w:hAnsi="Times New Roman"/>
                <w:color w:val="000000"/>
                <w:kern w:val="0"/>
                <w:szCs w:val="21"/>
              </w:rPr>
            </w:pPr>
            <w:r>
              <w:rPr>
                <w:rFonts w:ascii="Times New Roman" w:eastAsia="等线" w:hAnsi="Times New Roman" w:hint="eastAsia"/>
                <w:color w:val="000000"/>
                <w:kern w:val="0"/>
                <w:szCs w:val="21"/>
              </w:rPr>
              <w:t>mouse monoclonal</w:t>
            </w:r>
          </w:p>
        </w:tc>
        <w:tc>
          <w:tcPr>
            <w:tcW w:w="848" w:type="dxa"/>
            <w:tcBorders>
              <w:top w:val="nil"/>
              <w:left w:val="nil"/>
              <w:bottom w:val="nil"/>
              <w:right w:val="nil"/>
            </w:tcBorders>
            <w:shd w:val="clear" w:color="auto" w:fill="auto"/>
            <w:noWrap/>
            <w:vAlign w:val="bottom"/>
          </w:tcPr>
          <w:p w14:paraId="74052F80" w14:textId="77777777" w:rsidR="00D86489" w:rsidRDefault="00B22FD0">
            <w:pPr>
              <w:widowControl/>
              <w:spacing w:line="220" w:lineRule="atLeast"/>
              <w:jc w:val="left"/>
              <w:rPr>
                <w:rFonts w:ascii="Times New Roman" w:eastAsia="等线" w:hAnsi="Times New Roman"/>
                <w:color w:val="000000"/>
                <w:kern w:val="0"/>
                <w:szCs w:val="21"/>
              </w:rPr>
            </w:pPr>
            <w:r>
              <w:rPr>
                <w:rFonts w:ascii="Times New Roman" w:eastAsia="等线" w:hAnsi="Times New Roman" w:hint="eastAsia"/>
                <w:color w:val="000000"/>
                <w:kern w:val="0"/>
                <w:szCs w:val="21"/>
              </w:rPr>
              <w:t>1:1000</w:t>
            </w:r>
          </w:p>
        </w:tc>
        <w:tc>
          <w:tcPr>
            <w:tcW w:w="733" w:type="dxa"/>
            <w:tcBorders>
              <w:top w:val="nil"/>
              <w:left w:val="nil"/>
              <w:bottom w:val="nil"/>
              <w:right w:val="nil"/>
            </w:tcBorders>
            <w:shd w:val="clear" w:color="auto" w:fill="auto"/>
            <w:noWrap/>
            <w:vAlign w:val="bottom"/>
          </w:tcPr>
          <w:p w14:paraId="05FC424F" w14:textId="77777777" w:rsidR="00D86489" w:rsidRDefault="00D86489">
            <w:pPr>
              <w:widowControl/>
              <w:spacing w:line="220" w:lineRule="atLeast"/>
              <w:jc w:val="left"/>
              <w:rPr>
                <w:rFonts w:ascii="Times New Roman" w:eastAsia="Times New Roman" w:hAnsi="Times New Roman"/>
                <w:kern w:val="0"/>
                <w:szCs w:val="21"/>
              </w:rPr>
            </w:pPr>
          </w:p>
        </w:tc>
        <w:tc>
          <w:tcPr>
            <w:tcW w:w="847" w:type="dxa"/>
            <w:tcBorders>
              <w:top w:val="nil"/>
              <w:left w:val="nil"/>
              <w:bottom w:val="nil"/>
              <w:right w:val="nil"/>
            </w:tcBorders>
            <w:shd w:val="clear" w:color="auto" w:fill="auto"/>
            <w:noWrap/>
            <w:vAlign w:val="bottom"/>
          </w:tcPr>
          <w:p w14:paraId="39887E08" w14:textId="77777777" w:rsidR="00D86489" w:rsidRDefault="00D86489">
            <w:pPr>
              <w:widowControl/>
              <w:spacing w:line="220" w:lineRule="atLeast"/>
              <w:jc w:val="left"/>
              <w:rPr>
                <w:rFonts w:ascii="Times New Roman" w:eastAsia="等线" w:hAnsi="Times New Roman"/>
                <w:color w:val="000000"/>
                <w:kern w:val="0"/>
                <w:szCs w:val="21"/>
              </w:rPr>
            </w:pPr>
          </w:p>
        </w:tc>
      </w:tr>
      <w:tr w:rsidR="00D86489" w14:paraId="2B9C075F" w14:textId="77777777">
        <w:trPr>
          <w:trHeight w:val="276"/>
          <w:jc w:val="center"/>
        </w:trPr>
        <w:tc>
          <w:tcPr>
            <w:tcW w:w="1668" w:type="dxa"/>
            <w:tcBorders>
              <w:top w:val="nil"/>
              <w:left w:val="nil"/>
              <w:bottom w:val="nil"/>
              <w:right w:val="nil"/>
            </w:tcBorders>
            <w:shd w:val="clear" w:color="auto" w:fill="auto"/>
            <w:noWrap/>
            <w:vAlign w:val="bottom"/>
          </w:tcPr>
          <w:p w14:paraId="779EA22B" w14:textId="77777777" w:rsidR="00D86489" w:rsidRDefault="00B22FD0">
            <w:pPr>
              <w:widowControl/>
              <w:spacing w:line="220" w:lineRule="atLeast"/>
              <w:jc w:val="left"/>
              <w:rPr>
                <w:rFonts w:ascii="Times New Roman" w:eastAsia="等线" w:hAnsi="Times New Roman"/>
                <w:color w:val="000000"/>
                <w:kern w:val="0"/>
                <w:szCs w:val="21"/>
              </w:rPr>
            </w:pPr>
            <w:r>
              <w:rPr>
                <w:rFonts w:ascii="Times New Roman" w:eastAsia="等线" w:hAnsi="Times New Roman" w:hint="eastAsia"/>
                <w:color w:val="000000"/>
                <w:kern w:val="0"/>
                <w:szCs w:val="21"/>
              </w:rPr>
              <w:t>sAPP</w:t>
            </w:r>
            <w:r>
              <w:rPr>
                <w:rFonts w:ascii="Times New Roman" w:eastAsia="等线" w:hAnsi="Times New Roman"/>
                <w:color w:val="000000"/>
                <w:kern w:val="0"/>
                <w:szCs w:val="21"/>
              </w:rPr>
              <w:t>β</w:t>
            </w:r>
          </w:p>
        </w:tc>
        <w:tc>
          <w:tcPr>
            <w:tcW w:w="1261" w:type="dxa"/>
            <w:tcBorders>
              <w:top w:val="nil"/>
              <w:left w:val="nil"/>
              <w:bottom w:val="nil"/>
              <w:right w:val="nil"/>
            </w:tcBorders>
            <w:shd w:val="clear" w:color="auto" w:fill="auto"/>
            <w:noWrap/>
            <w:vAlign w:val="bottom"/>
          </w:tcPr>
          <w:p w14:paraId="1BC047DB" w14:textId="77777777" w:rsidR="00D86489" w:rsidRDefault="00B22FD0">
            <w:pPr>
              <w:widowControl/>
              <w:spacing w:line="220" w:lineRule="atLeast"/>
              <w:jc w:val="left"/>
              <w:rPr>
                <w:rFonts w:ascii="Times New Roman" w:eastAsia="等线" w:hAnsi="Times New Roman"/>
                <w:color w:val="000000"/>
                <w:kern w:val="0"/>
                <w:szCs w:val="21"/>
              </w:rPr>
            </w:pPr>
            <w:r>
              <w:rPr>
                <w:rFonts w:ascii="Times New Roman" w:eastAsia="等线" w:hAnsi="Times New Roman" w:hint="eastAsia"/>
                <w:color w:val="000000"/>
                <w:kern w:val="0"/>
                <w:szCs w:val="21"/>
              </w:rPr>
              <w:t>biolegend</w:t>
            </w:r>
          </w:p>
        </w:tc>
        <w:tc>
          <w:tcPr>
            <w:tcW w:w="1263" w:type="dxa"/>
            <w:tcBorders>
              <w:top w:val="nil"/>
              <w:left w:val="nil"/>
              <w:bottom w:val="nil"/>
              <w:right w:val="nil"/>
            </w:tcBorders>
            <w:shd w:val="clear" w:color="auto" w:fill="auto"/>
            <w:noWrap/>
            <w:vAlign w:val="bottom"/>
          </w:tcPr>
          <w:p w14:paraId="3A915654" w14:textId="77777777" w:rsidR="00D86489" w:rsidRDefault="00B22FD0">
            <w:pPr>
              <w:widowControl/>
              <w:spacing w:line="220" w:lineRule="atLeast"/>
              <w:jc w:val="left"/>
              <w:rPr>
                <w:rFonts w:ascii="Times New Roman" w:eastAsia="等线" w:hAnsi="Times New Roman"/>
                <w:color w:val="000000"/>
                <w:kern w:val="0"/>
                <w:szCs w:val="21"/>
              </w:rPr>
            </w:pPr>
            <w:r>
              <w:rPr>
                <w:rFonts w:ascii="Times New Roman" w:eastAsia="等线" w:hAnsi="Times New Roman" w:hint="eastAsia"/>
                <w:color w:val="000000"/>
                <w:kern w:val="0"/>
                <w:szCs w:val="21"/>
              </w:rPr>
              <w:t>813401</w:t>
            </w:r>
          </w:p>
        </w:tc>
        <w:tc>
          <w:tcPr>
            <w:tcW w:w="1902" w:type="dxa"/>
            <w:tcBorders>
              <w:top w:val="nil"/>
              <w:left w:val="nil"/>
              <w:bottom w:val="nil"/>
              <w:right w:val="nil"/>
            </w:tcBorders>
            <w:shd w:val="clear" w:color="auto" w:fill="auto"/>
            <w:noWrap/>
            <w:vAlign w:val="bottom"/>
          </w:tcPr>
          <w:p w14:paraId="74A9B013" w14:textId="77777777" w:rsidR="00D86489" w:rsidRDefault="00B22FD0">
            <w:pPr>
              <w:widowControl/>
              <w:spacing w:line="220" w:lineRule="atLeast"/>
              <w:jc w:val="left"/>
              <w:rPr>
                <w:rFonts w:ascii="Times New Roman" w:eastAsia="等线" w:hAnsi="Times New Roman"/>
                <w:color w:val="000000"/>
                <w:kern w:val="0"/>
                <w:szCs w:val="21"/>
              </w:rPr>
            </w:pPr>
            <w:r>
              <w:rPr>
                <w:rFonts w:ascii="Times New Roman" w:eastAsia="等线" w:hAnsi="Times New Roman" w:hint="eastAsia"/>
                <w:color w:val="000000"/>
                <w:kern w:val="0"/>
                <w:szCs w:val="21"/>
              </w:rPr>
              <w:t>rabbit polyclonal</w:t>
            </w:r>
          </w:p>
        </w:tc>
        <w:tc>
          <w:tcPr>
            <w:tcW w:w="848" w:type="dxa"/>
            <w:tcBorders>
              <w:top w:val="nil"/>
              <w:left w:val="nil"/>
              <w:bottom w:val="nil"/>
              <w:right w:val="nil"/>
            </w:tcBorders>
            <w:shd w:val="clear" w:color="auto" w:fill="auto"/>
            <w:noWrap/>
            <w:vAlign w:val="bottom"/>
          </w:tcPr>
          <w:p w14:paraId="2CD4C7C2" w14:textId="77777777" w:rsidR="00D86489" w:rsidRDefault="00B22FD0">
            <w:pPr>
              <w:widowControl/>
              <w:spacing w:line="220" w:lineRule="atLeast"/>
              <w:jc w:val="left"/>
              <w:rPr>
                <w:rFonts w:ascii="Times New Roman" w:eastAsia="等线" w:hAnsi="Times New Roman"/>
                <w:color w:val="000000"/>
                <w:kern w:val="0"/>
                <w:szCs w:val="21"/>
              </w:rPr>
            </w:pPr>
            <w:r>
              <w:rPr>
                <w:rFonts w:ascii="Times New Roman" w:eastAsia="等线" w:hAnsi="Times New Roman" w:hint="eastAsia"/>
                <w:color w:val="000000"/>
                <w:kern w:val="0"/>
                <w:szCs w:val="21"/>
              </w:rPr>
              <w:t>1:1000</w:t>
            </w:r>
          </w:p>
        </w:tc>
        <w:tc>
          <w:tcPr>
            <w:tcW w:w="733" w:type="dxa"/>
            <w:tcBorders>
              <w:top w:val="nil"/>
              <w:left w:val="nil"/>
              <w:bottom w:val="nil"/>
              <w:right w:val="nil"/>
            </w:tcBorders>
            <w:shd w:val="clear" w:color="auto" w:fill="auto"/>
            <w:noWrap/>
            <w:vAlign w:val="bottom"/>
          </w:tcPr>
          <w:p w14:paraId="7A0024E1" w14:textId="77777777" w:rsidR="00D86489" w:rsidRDefault="00D86489">
            <w:pPr>
              <w:widowControl/>
              <w:spacing w:line="220" w:lineRule="atLeast"/>
              <w:jc w:val="left"/>
              <w:rPr>
                <w:rFonts w:ascii="Times New Roman" w:eastAsia="Times New Roman" w:hAnsi="Times New Roman"/>
                <w:kern w:val="0"/>
                <w:szCs w:val="21"/>
              </w:rPr>
            </w:pPr>
          </w:p>
        </w:tc>
        <w:tc>
          <w:tcPr>
            <w:tcW w:w="847" w:type="dxa"/>
            <w:tcBorders>
              <w:top w:val="nil"/>
              <w:left w:val="nil"/>
              <w:bottom w:val="nil"/>
              <w:right w:val="nil"/>
            </w:tcBorders>
            <w:shd w:val="clear" w:color="auto" w:fill="auto"/>
            <w:noWrap/>
            <w:vAlign w:val="bottom"/>
          </w:tcPr>
          <w:p w14:paraId="7293CFE9" w14:textId="77777777" w:rsidR="00D86489" w:rsidRDefault="00D86489">
            <w:pPr>
              <w:widowControl/>
              <w:spacing w:line="220" w:lineRule="atLeast"/>
              <w:jc w:val="left"/>
              <w:rPr>
                <w:rFonts w:ascii="Times New Roman" w:eastAsia="等线" w:hAnsi="Times New Roman"/>
                <w:color w:val="000000"/>
                <w:kern w:val="0"/>
                <w:szCs w:val="21"/>
              </w:rPr>
            </w:pPr>
          </w:p>
        </w:tc>
      </w:tr>
      <w:tr w:rsidR="00D86489" w14:paraId="7A11C336" w14:textId="77777777">
        <w:trPr>
          <w:trHeight w:val="276"/>
          <w:jc w:val="center"/>
        </w:trPr>
        <w:tc>
          <w:tcPr>
            <w:tcW w:w="1668" w:type="dxa"/>
            <w:tcBorders>
              <w:top w:val="nil"/>
              <w:left w:val="nil"/>
              <w:bottom w:val="nil"/>
              <w:right w:val="nil"/>
            </w:tcBorders>
            <w:shd w:val="clear" w:color="auto" w:fill="auto"/>
            <w:noWrap/>
            <w:vAlign w:val="bottom"/>
          </w:tcPr>
          <w:p w14:paraId="1BD38661" w14:textId="77777777" w:rsidR="00D86489" w:rsidRDefault="00B22FD0">
            <w:pPr>
              <w:widowControl/>
              <w:spacing w:line="220" w:lineRule="atLeast"/>
              <w:jc w:val="left"/>
              <w:rPr>
                <w:rFonts w:ascii="Times New Roman" w:eastAsia="等线" w:hAnsi="Times New Roman"/>
                <w:color w:val="000000"/>
                <w:kern w:val="0"/>
                <w:szCs w:val="21"/>
              </w:rPr>
            </w:pPr>
            <w:r>
              <w:rPr>
                <w:rFonts w:ascii="Times New Roman" w:eastAsia="等线" w:hAnsi="Times New Roman" w:hint="eastAsia"/>
                <w:color w:val="000000"/>
                <w:kern w:val="0"/>
                <w:szCs w:val="21"/>
              </w:rPr>
              <w:t>APP</w:t>
            </w:r>
          </w:p>
        </w:tc>
        <w:tc>
          <w:tcPr>
            <w:tcW w:w="1261" w:type="dxa"/>
            <w:tcBorders>
              <w:top w:val="nil"/>
              <w:left w:val="nil"/>
              <w:bottom w:val="nil"/>
              <w:right w:val="nil"/>
            </w:tcBorders>
            <w:shd w:val="clear" w:color="auto" w:fill="auto"/>
            <w:noWrap/>
            <w:vAlign w:val="bottom"/>
          </w:tcPr>
          <w:p w14:paraId="1CD6F9ED" w14:textId="77777777" w:rsidR="00D86489" w:rsidRDefault="00B22FD0">
            <w:pPr>
              <w:widowControl/>
              <w:spacing w:line="220" w:lineRule="atLeast"/>
              <w:jc w:val="left"/>
              <w:rPr>
                <w:rFonts w:ascii="Times New Roman" w:eastAsia="等线" w:hAnsi="Times New Roman"/>
                <w:color w:val="000000"/>
                <w:kern w:val="0"/>
                <w:szCs w:val="21"/>
              </w:rPr>
            </w:pPr>
            <w:r>
              <w:rPr>
                <w:rFonts w:ascii="Times New Roman" w:eastAsia="等线" w:hAnsi="Times New Roman" w:hint="eastAsia"/>
                <w:color w:val="000000"/>
                <w:kern w:val="0"/>
                <w:szCs w:val="21"/>
              </w:rPr>
              <w:t>sigma</w:t>
            </w:r>
          </w:p>
        </w:tc>
        <w:tc>
          <w:tcPr>
            <w:tcW w:w="1263" w:type="dxa"/>
            <w:tcBorders>
              <w:top w:val="nil"/>
              <w:left w:val="nil"/>
              <w:bottom w:val="nil"/>
              <w:right w:val="nil"/>
            </w:tcBorders>
            <w:shd w:val="clear" w:color="auto" w:fill="auto"/>
            <w:noWrap/>
            <w:vAlign w:val="bottom"/>
          </w:tcPr>
          <w:p w14:paraId="7E3EC5E5" w14:textId="77777777" w:rsidR="00D86489" w:rsidRDefault="00B22FD0">
            <w:pPr>
              <w:widowControl/>
              <w:spacing w:line="220" w:lineRule="atLeast"/>
              <w:jc w:val="left"/>
              <w:rPr>
                <w:rFonts w:ascii="Times New Roman" w:eastAsia="等线" w:hAnsi="Times New Roman"/>
                <w:color w:val="000000"/>
                <w:kern w:val="0"/>
                <w:szCs w:val="21"/>
              </w:rPr>
            </w:pPr>
            <w:r>
              <w:rPr>
                <w:rFonts w:ascii="Times New Roman" w:eastAsia="等线" w:hAnsi="Times New Roman"/>
                <w:color w:val="000000"/>
                <w:kern w:val="0"/>
                <w:szCs w:val="21"/>
              </w:rPr>
              <w:t>sab</w:t>
            </w:r>
            <w:r>
              <w:rPr>
                <w:rFonts w:ascii="Times New Roman" w:eastAsia="等线" w:hAnsi="Times New Roman" w:hint="eastAsia"/>
                <w:color w:val="000000"/>
                <w:kern w:val="0"/>
                <w:szCs w:val="21"/>
              </w:rPr>
              <w:t>4300464</w:t>
            </w:r>
          </w:p>
        </w:tc>
        <w:tc>
          <w:tcPr>
            <w:tcW w:w="1902" w:type="dxa"/>
            <w:tcBorders>
              <w:top w:val="nil"/>
              <w:left w:val="nil"/>
              <w:bottom w:val="nil"/>
              <w:right w:val="nil"/>
            </w:tcBorders>
            <w:shd w:val="clear" w:color="auto" w:fill="auto"/>
            <w:noWrap/>
            <w:vAlign w:val="bottom"/>
          </w:tcPr>
          <w:p w14:paraId="493AE95D" w14:textId="77777777" w:rsidR="00D86489" w:rsidRDefault="00B22FD0">
            <w:pPr>
              <w:widowControl/>
              <w:spacing w:line="220" w:lineRule="atLeast"/>
              <w:jc w:val="left"/>
              <w:rPr>
                <w:rFonts w:ascii="Times New Roman" w:eastAsia="等线" w:hAnsi="Times New Roman"/>
                <w:color w:val="000000"/>
                <w:kern w:val="0"/>
                <w:szCs w:val="21"/>
              </w:rPr>
            </w:pPr>
            <w:r>
              <w:rPr>
                <w:rFonts w:ascii="Times New Roman" w:eastAsia="等线" w:hAnsi="Times New Roman" w:hint="eastAsia"/>
                <w:color w:val="000000"/>
                <w:kern w:val="0"/>
                <w:szCs w:val="21"/>
              </w:rPr>
              <w:t>rabbit polyclonal</w:t>
            </w:r>
          </w:p>
        </w:tc>
        <w:tc>
          <w:tcPr>
            <w:tcW w:w="848" w:type="dxa"/>
            <w:tcBorders>
              <w:top w:val="nil"/>
              <w:left w:val="nil"/>
              <w:bottom w:val="nil"/>
              <w:right w:val="nil"/>
            </w:tcBorders>
            <w:shd w:val="clear" w:color="auto" w:fill="auto"/>
            <w:noWrap/>
            <w:vAlign w:val="bottom"/>
          </w:tcPr>
          <w:p w14:paraId="74176255" w14:textId="77777777" w:rsidR="00D86489" w:rsidRDefault="00B22FD0">
            <w:pPr>
              <w:widowControl/>
              <w:spacing w:line="220" w:lineRule="atLeast"/>
              <w:jc w:val="left"/>
              <w:rPr>
                <w:rFonts w:ascii="Times New Roman" w:eastAsia="等线" w:hAnsi="Times New Roman"/>
                <w:color w:val="000000"/>
                <w:kern w:val="0"/>
                <w:szCs w:val="21"/>
              </w:rPr>
            </w:pPr>
            <w:r>
              <w:rPr>
                <w:rFonts w:ascii="Times New Roman" w:eastAsia="等线" w:hAnsi="Times New Roman" w:hint="eastAsia"/>
                <w:color w:val="000000"/>
                <w:kern w:val="0"/>
                <w:szCs w:val="21"/>
              </w:rPr>
              <w:t>1:1000</w:t>
            </w:r>
          </w:p>
        </w:tc>
        <w:tc>
          <w:tcPr>
            <w:tcW w:w="733" w:type="dxa"/>
            <w:tcBorders>
              <w:top w:val="nil"/>
              <w:left w:val="nil"/>
              <w:bottom w:val="nil"/>
              <w:right w:val="nil"/>
            </w:tcBorders>
            <w:shd w:val="clear" w:color="auto" w:fill="auto"/>
            <w:noWrap/>
            <w:vAlign w:val="bottom"/>
          </w:tcPr>
          <w:p w14:paraId="40245702" w14:textId="77777777" w:rsidR="00D86489" w:rsidRDefault="00D86489">
            <w:pPr>
              <w:widowControl/>
              <w:spacing w:line="220" w:lineRule="atLeast"/>
              <w:jc w:val="left"/>
              <w:rPr>
                <w:rFonts w:ascii="Times New Roman" w:eastAsia="Times New Roman" w:hAnsi="Times New Roman"/>
                <w:kern w:val="0"/>
                <w:szCs w:val="21"/>
              </w:rPr>
            </w:pPr>
          </w:p>
        </w:tc>
        <w:tc>
          <w:tcPr>
            <w:tcW w:w="847" w:type="dxa"/>
            <w:tcBorders>
              <w:top w:val="nil"/>
              <w:left w:val="nil"/>
              <w:bottom w:val="nil"/>
              <w:right w:val="nil"/>
            </w:tcBorders>
            <w:shd w:val="clear" w:color="auto" w:fill="auto"/>
            <w:noWrap/>
            <w:vAlign w:val="bottom"/>
          </w:tcPr>
          <w:p w14:paraId="4D2AB294" w14:textId="77777777" w:rsidR="00D86489" w:rsidRDefault="00D86489">
            <w:pPr>
              <w:widowControl/>
              <w:spacing w:line="220" w:lineRule="atLeast"/>
              <w:jc w:val="left"/>
              <w:rPr>
                <w:rFonts w:ascii="Times New Roman" w:eastAsia="等线" w:hAnsi="Times New Roman"/>
                <w:color w:val="000000"/>
                <w:kern w:val="0"/>
                <w:szCs w:val="21"/>
              </w:rPr>
            </w:pPr>
          </w:p>
        </w:tc>
      </w:tr>
      <w:tr w:rsidR="00D86489" w14:paraId="600F89B0" w14:textId="77777777">
        <w:trPr>
          <w:trHeight w:val="276"/>
          <w:jc w:val="center"/>
        </w:trPr>
        <w:tc>
          <w:tcPr>
            <w:tcW w:w="1668" w:type="dxa"/>
            <w:tcBorders>
              <w:top w:val="nil"/>
              <w:left w:val="nil"/>
              <w:bottom w:val="nil"/>
              <w:right w:val="nil"/>
            </w:tcBorders>
            <w:shd w:val="clear" w:color="auto" w:fill="auto"/>
            <w:noWrap/>
            <w:vAlign w:val="bottom"/>
          </w:tcPr>
          <w:p w14:paraId="167ADA97" w14:textId="77777777" w:rsidR="00D86489" w:rsidRDefault="00B22FD0">
            <w:pPr>
              <w:widowControl/>
              <w:spacing w:line="220" w:lineRule="atLeast"/>
              <w:jc w:val="left"/>
              <w:rPr>
                <w:rFonts w:ascii="Times New Roman" w:eastAsia="等线" w:hAnsi="Times New Roman"/>
                <w:color w:val="000000"/>
                <w:kern w:val="0"/>
                <w:szCs w:val="21"/>
              </w:rPr>
            </w:pPr>
            <w:r>
              <w:rPr>
                <w:rFonts w:ascii="Times New Roman" w:eastAsia="等线" w:hAnsi="Times New Roman" w:hint="eastAsia"/>
                <w:color w:val="000000"/>
                <w:kern w:val="0"/>
                <w:szCs w:val="21"/>
              </w:rPr>
              <w:t>NEP</w:t>
            </w:r>
          </w:p>
        </w:tc>
        <w:tc>
          <w:tcPr>
            <w:tcW w:w="1261" w:type="dxa"/>
            <w:tcBorders>
              <w:top w:val="nil"/>
              <w:left w:val="nil"/>
              <w:bottom w:val="nil"/>
              <w:right w:val="nil"/>
            </w:tcBorders>
            <w:shd w:val="clear" w:color="auto" w:fill="auto"/>
            <w:noWrap/>
            <w:vAlign w:val="bottom"/>
          </w:tcPr>
          <w:p w14:paraId="0220A2F5" w14:textId="77777777" w:rsidR="00D86489" w:rsidRDefault="00B22FD0">
            <w:pPr>
              <w:widowControl/>
              <w:spacing w:line="220" w:lineRule="atLeast"/>
              <w:jc w:val="left"/>
              <w:rPr>
                <w:rFonts w:ascii="Times New Roman" w:eastAsia="等线" w:hAnsi="Times New Roman"/>
                <w:color w:val="000000"/>
                <w:kern w:val="0"/>
                <w:szCs w:val="21"/>
              </w:rPr>
            </w:pPr>
            <w:r>
              <w:rPr>
                <w:rFonts w:ascii="Times New Roman" w:eastAsia="等线" w:hAnsi="Times New Roman"/>
                <w:color w:val="000000"/>
                <w:kern w:val="0"/>
                <w:szCs w:val="21"/>
              </w:rPr>
              <w:t>millipore</w:t>
            </w:r>
          </w:p>
        </w:tc>
        <w:tc>
          <w:tcPr>
            <w:tcW w:w="1263" w:type="dxa"/>
            <w:tcBorders>
              <w:top w:val="nil"/>
              <w:left w:val="nil"/>
              <w:bottom w:val="nil"/>
              <w:right w:val="nil"/>
            </w:tcBorders>
            <w:shd w:val="clear" w:color="auto" w:fill="auto"/>
            <w:noWrap/>
            <w:vAlign w:val="bottom"/>
          </w:tcPr>
          <w:p w14:paraId="39184B26" w14:textId="77777777" w:rsidR="00D86489" w:rsidRDefault="00B22FD0">
            <w:pPr>
              <w:widowControl/>
              <w:spacing w:line="220" w:lineRule="atLeast"/>
              <w:jc w:val="left"/>
              <w:rPr>
                <w:rFonts w:ascii="Times New Roman" w:eastAsia="等线" w:hAnsi="Times New Roman"/>
                <w:color w:val="000000"/>
                <w:kern w:val="0"/>
                <w:szCs w:val="21"/>
              </w:rPr>
            </w:pPr>
            <w:r>
              <w:rPr>
                <w:rFonts w:ascii="Times New Roman" w:eastAsia="等线" w:hAnsi="Times New Roman" w:hint="eastAsia"/>
                <w:color w:val="000000"/>
                <w:kern w:val="0"/>
                <w:szCs w:val="21"/>
              </w:rPr>
              <w:t>AB5458</w:t>
            </w:r>
          </w:p>
        </w:tc>
        <w:tc>
          <w:tcPr>
            <w:tcW w:w="1902" w:type="dxa"/>
            <w:tcBorders>
              <w:top w:val="nil"/>
              <w:left w:val="nil"/>
              <w:bottom w:val="nil"/>
              <w:right w:val="nil"/>
            </w:tcBorders>
            <w:shd w:val="clear" w:color="auto" w:fill="auto"/>
            <w:noWrap/>
            <w:vAlign w:val="bottom"/>
          </w:tcPr>
          <w:p w14:paraId="7407C8D8" w14:textId="77777777" w:rsidR="00D86489" w:rsidRDefault="00B22FD0">
            <w:pPr>
              <w:widowControl/>
              <w:spacing w:line="220" w:lineRule="atLeast"/>
              <w:jc w:val="left"/>
              <w:rPr>
                <w:rFonts w:ascii="Times New Roman" w:eastAsia="等线" w:hAnsi="Times New Roman"/>
                <w:color w:val="000000"/>
                <w:kern w:val="0"/>
                <w:szCs w:val="21"/>
              </w:rPr>
            </w:pPr>
            <w:r>
              <w:rPr>
                <w:rFonts w:ascii="Times New Roman" w:eastAsia="等线" w:hAnsi="Times New Roman" w:hint="eastAsia"/>
                <w:color w:val="000000"/>
                <w:kern w:val="0"/>
                <w:szCs w:val="21"/>
              </w:rPr>
              <w:t>rabbit polyclonal</w:t>
            </w:r>
          </w:p>
        </w:tc>
        <w:tc>
          <w:tcPr>
            <w:tcW w:w="848" w:type="dxa"/>
            <w:tcBorders>
              <w:top w:val="nil"/>
              <w:left w:val="nil"/>
              <w:bottom w:val="nil"/>
              <w:right w:val="nil"/>
            </w:tcBorders>
            <w:shd w:val="clear" w:color="auto" w:fill="auto"/>
            <w:noWrap/>
            <w:vAlign w:val="bottom"/>
          </w:tcPr>
          <w:p w14:paraId="69B107B8" w14:textId="77777777" w:rsidR="00D86489" w:rsidRDefault="00B22FD0">
            <w:pPr>
              <w:widowControl/>
              <w:spacing w:line="220" w:lineRule="atLeast"/>
              <w:jc w:val="left"/>
              <w:rPr>
                <w:rFonts w:ascii="Times New Roman" w:eastAsia="等线" w:hAnsi="Times New Roman"/>
                <w:color w:val="000000"/>
                <w:kern w:val="0"/>
                <w:szCs w:val="21"/>
              </w:rPr>
            </w:pPr>
            <w:r>
              <w:rPr>
                <w:rFonts w:ascii="Times New Roman" w:eastAsia="等线" w:hAnsi="Times New Roman" w:hint="eastAsia"/>
                <w:color w:val="000000"/>
                <w:kern w:val="0"/>
                <w:szCs w:val="21"/>
              </w:rPr>
              <w:t>1:1000</w:t>
            </w:r>
          </w:p>
        </w:tc>
        <w:tc>
          <w:tcPr>
            <w:tcW w:w="733" w:type="dxa"/>
            <w:tcBorders>
              <w:top w:val="nil"/>
              <w:left w:val="nil"/>
              <w:bottom w:val="nil"/>
              <w:right w:val="nil"/>
            </w:tcBorders>
            <w:shd w:val="clear" w:color="auto" w:fill="auto"/>
            <w:noWrap/>
            <w:vAlign w:val="bottom"/>
          </w:tcPr>
          <w:p w14:paraId="4782046C" w14:textId="77777777" w:rsidR="00D86489" w:rsidRDefault="00D86489">
            <w:pPr>
              <w:widowControl/>
              <w:spacing w:line="220" w:lineRule="atLeast"/>
              <w:jc w:val="left"/>
              <w:rPr>
                <w:rFonts w:ascii="Times New Roman" w:eastAsia="等线" w:hAnsi="Times New Roman"/>
                <w:color w:val="000000"/>
                <w:kern w:val="0"/>
                <w:szCs w:val="21"/>
              </w:rPr>
            </w:pPr>
          </w:p>
        </w:tc>
        <w:tc>
          <w:tcPr>
            <w:tcW w:w="847" w:type="dxa"/>
            <w:tcBorders>
              <w:top w:val="nil"/>
              <w:left w:val="nil"/>
              <w:bottom w:val="nil"/>
              <w:right w:val="nil"/>
            </w:tcBorders>
            <w:shd w:val="clear" w:color="auto" w:fill="auto"/>
            <w:noWrap/>
            <w:vAlign w:val="bottom"/>
          </w:tcPr>
          <w:p w14:paraId="61F07042" w14:textId="77777777" w:rsidR="00D86489" w:rsidRDefault="00D86489">
            <w:pPr>
              <w:widowControl/>
              <w:spacing w:line="220" w:lineRule="atLeast"/>
              <w:jc w:val="left"/>
              <w:rPr>
                <w:rFonts w:ascii="Times New Roman" w:eastAsia="Times New Roman" w:hAnsi="Times New Roman"/>
                <w:kern w:val="0"/>
                <w:szCs w:val="21"/>
              </w:rPr>
            </w:pPr>
          </w:p>
        </w:tc>
      </w:tr>
      <w:tr w:rsidR="00D86489" w14:paraId="400E19A9" w14:textId="77777777">
        <w:trPr>
          <w:trHeight w:val="276"/>
          <w:jc w:val="center"/>
        </w:trPr>
        <w:tc>
          <w:tcPr>
            <w:tcW w:w="1668" w:type="dxa"/>
            <w:tcBorders>
              <w:top w:val="nil"/>
              <w:left w:val="nil"/>
              <w:bottom w:val="nil"/>
              <w:right w:val="nil"/>
            </w:tcBorders>
            <w:shd w:val="clear" w:color="auto" w:fill="auto"/>
            <w:noWrap/>
            <w:vAlign w:val="bottom"/>
          </w:tcPr>
          <w:p w14:paraId="4F220C7D" w14:textId="77777777" w:rsidR="00D86489" w:rsidRDefault="00B22FD0">
            <w:pPr>
              <w:widowControl/>
              <w:spacing w:line="220" w:lineRule="atLeast"/>
              <w:jc w:val="left"/>
              <w:rPr>
                <w:rFonts w:ascii="Times New Roman" w:eastAsia="等线" w:hAnsi="Times New Roman"/>
                <w:color w:val="000000"/>
                <w:kern w:val="0"/>
                <w:szCs w:val="21"/>
              </w:rPr>
            </w:pPr>
            <w:r>
              <w:rPr>
                <w:rFonts w:ascii="Times New Roman" w:eastAsia="等线" w:hAnsi="Times New Roman" w:hint="eastAsia"/>
                <w:color w:val="000000"/>
                <w:kern w:val="0"/>
                <w:szCs w:val="21"/>
              </w:rPr>
              <w:t>IDE</w:t>
            </w:r>
          </w:p>
        </w:tc>
        <w:tc>
          <w:tcPr>
            <w:tcW w:w="1261" w:type="dxa"/>
            <w:tcBorders>
              <w:top w:val="nil"/>
              <w:left w:val="nil"/>
              <w:bottom w:val="nil"/>
              <w:right w:val="nil"/>
            </w:tcBorders>
            <w:shd w:val="clear" w:color="auto" w:fill="auto"/>
            <w:noWrap/>
            <w:vAlign w:val="bottom"/>
          </w:tcPr>
          <w:p w14:paraId="6845F24C" w14:textId="77777777" w:rsidR="00D86489" w:rsidRDefault="00B22FD0">
            <w:pPr>
              <w:widowControl/>
              <w:spacing w:line="220" w:lineRule="atLeast"/>
              <w:jc w:val="left"/>
              <w:rPr>
                <w:rFonts w:ascii="Times New Roman" w:eastAsia="等线" w:hAnsi="Times New Roman"/>
                <w:color w:val="000000"/>
                <w:kern w:val="0"/>
                <w:szCs w:val="21"/>
              </w:rPr>
            </w:pPr>
            <w:r>
              <w:rPr>
                <w:rFonts w:ascii="Times New Roman" w:eastAsia="等线" w:hAnsi="Times New Roman" w:hint="eastAsia"/>
                <w:color w:val="000000"/>
                <w:kern w:val="0"/>
                <w:szCs w:val="21"/>
              </w:rPr>
              <w:t>abcam</w:t>
            </w:r>
          </w:p>
        </w:tc>
        <w:tc>
          <w:tcPr>
            <w:tcW w:w="1263" w:type="dxa"/>
            <w:tcBorders>
              <w:top w:val="nil"/>
              <w:left w:val="nil"/>
              <w:bottom w:val="nil"/>
              <w:right w:val="nil"/>
            </w:tcBorders>
            <w:shd w:val="clear" w:color="auto" w:fill="auto"/>
            <w:noWrap/>
            <w:vAlign w:val="bottom"/>
          </w:tcPr>
          <w:p w14:paraId="5E6D341C" w14:textId="77777777" w:rsidR="00D86489" w:rsidRDefault="00B22FD0">
            <w:pPr>
              <w:widowControl/>
              <w:spacing w:line="220" w:lineRule="atLeast"/>
              <w:jc w:val="left"/>
              <w:rPr>
                <w:rFonts w:ascii="Times New Roman" w:eastAsia="等线" w:hAnsi="Times New Roman"/>
                <w:color w:val="000000"/>
                <w:kern w:val="0"/>
                <w:szCs w:val="21"/>
              </w:rPr>
            </w:pPr>
            <w:r>
              <w:rPr>
                <w:rFonts w:ascii="Times New Roman" w:eastAsia="等线" w:hAnsi="Times New Roman"/>
                <w:color w:val="000000"/>
                <w:kern w:val="0"/>
                <w:szCs w:val="21"/>
              </w:rPr>
              <w:t>ab</w:t>
            </w:r>
            <w:r>
              <w:rPr>
                <w:rFonts w:ascii="Times New Roman" w:eastAsia="等线" w:hAnsi="Times New Roman" w:hint="eastAsia"/>
                <w:color w:val="000000"/>
                <w:kern w:val="0"/>
                <w:szCs w:val="21"/>
              </w:rPr>
              <w:t>32216</w:t>
            </w:r>
          </w:p>
        </w:tc>
        <w:tc>
          <w:tcPr>
            <w:tcW w:w="1902" w:type="dxa"/>
            <w:tcBorders>
              <w:top w:val="nil"/>
              <w:left w:val="nil"/>
              <w:bottom w:val="nil"/>
              <w:right w:val="nil"/>
            </w:tcBorders>
            <w:shd w:val="clear" w:color="auto" w:fill="auto"/>
            <w:noWrap/>
            <w:vAlign w:val="bottom"/>
          </w:tcPr>
          <w:p w14:paraId="1E750298" w14:textId="77777777" w:rsidR="00D86489" w:rsidRDefault="00B22FD0">
            <w:pPr>
              <w:widowControl/>
              <w:spacing w:line="220" w:lineRule="atLeast"/>
              <w:jc w:val="left"/>
              <w:rPr>
                <w:rFonts w:ascii="Times New Roman" w:eastAsia="等线" w:hAnsi="Times New Roman"/>
                <w:color w:val="000000"/>
                <w:kern w:val="0"/>
                <w:szCs w:val="21"/>
              </w:rPr>
            </w:pPr>
            <w:r>
              <w:rPr>
                <w:rFonts w:ascii="Times New Roman" w:eastAsia="等线" w:hAnsi="Times New Roman" w:hint="eastAsia"/>
                <w:color w:val="000000"/>
                <w:kern w:val="0"/>
                <w:szCs w:val="21"/>
              </w:rPr>
              <w:t>rabbit polyclonal</w:t>
            </w:r>
          </w:p>
        </w:tc>
        <w:tc>
          <w:tcPr>
            <w:tcW w:w="848" w:type="dxa"/>
            <w:tcBorders>
              <w:top w:val="nil"/>
              <w:left w:val="nil"/>
              <w:bottom w:val="nil"/>
              <w:right w:val="nil"/>
            </w:tcBorders>
            <w:shd w:val="clear" w:color="auto" w:fill="auto"/>
            <w:noWrap/>
            <w:vAlign w:val="bottom"/>
          </w:tcPr>
          <w:p w14:paraId="09F154B1" w14:textId="77777777" w:rsidR="00D86489" w:rsidRDefault="00B22FD0">
            <w:pPr>
              <w:widowControl/>
              <w:spacing w:line="220" w:lineRule="atLeast"/>
              <w:jc w:val="left"/>
              <w:rPr>
                <w:rFonts w:ascii="Times New Roman" w:eastAsia="等线" w:hAnsi="Times New Roman"/>
                <w:color w:val="000000"/>
                <w:kern w:val="0"/>
                <w:szCs w:val="21"/>
              </w:rPr>
            </w:pPr>
            <w:r>
              <w:rPr>
                <w:rFonts w:ascii="Times New Roman" w:eastAsia="等线" w:hAnsi="Times New Roman" w:hint="eastAsia"/>
                <w:color w:val="000000"/>
                <w:kern w:val="0"/>
                <w:szCs w:val="21"/>
              </w:rPr>
              <w:t>1:1000</w:t>
            </w:r>
          </w:p>
        </w:tc>
        <w:tc>
          <w:tcPr>
            <w:tcW w:w="733" w:type="dxa"/>
            <w:tcBorders>
              <w:top w:val="nil"/>
              <w:left w:val="nil"/>
              <w:bottom w:val="nil"/>
              <w:right w:val="nil"/>
            </w:tcBorders>
            <w:shd w:val="clear" w:color="auto" w:fill="auto"/>
            <w:noWrap/>
            <w:vAlign w:val="bottom"/>
          </w:tcPr>
          <w:p w14:paraId="0A4ACB1E" w14:textId="77777777" w:rsidR="00D86489" w:rsidRDefault="00D86489">
            <w:pPr>
              <w:widowControl/>
              <w:spacing w:line="220" w:lineRule="atLeast"/>
              <w:jc w:val="left"/>
              <w:rPr>
                <w:rFonts w:ascii="Times New Roman" w:eastAsia="等线" w:hAnsi="Times New Roman"/>
                <w:color w:val="000000"/>
                <w:kern w:val="0"/>
                <w:szCs w:val="21"/>
              </w:rPr>
            </w:pPr>
          </w:p>
        </w:tc>
        <w:tc>
          <w:tcPr>
            <w:tcW w:w="847" w:type="dxa"/>
            <w:tcBorders>
              <w:top w:val="nil"/>
              <w:left w:val="nil"/>
              <w:bottom w:val="nil"/>
              <w:right w:val="nil"/>
            </w:tcBorders>
            <w:shd w:val="clear" w:color="auto" w:fill="auto"/>
            <w:noWrap/>
            <w:vAlign w:val="bottom"/>
          </w:tcPr>
          <w:p w14:paraId="725EF5F1" w14:textId="77777777" w:rsidR="00D86489" w:rsidRDefault="00D86489">
            <w:pPr>
              <w:widowControl/>
              <w:spacing w:line="220" w:lineRule="atLeast"/>
              <w:jc w:val="left"/>
              <w:rPr>
                <w:rFonts w:ascii="Times New Roman" w:eastAsia="等线" w:hAnsi="Times New Roman"/>
                <w:color w:val="000000"/>
                <w:kern w:val="0"/>
                <w:szCs w:val="21"/>
              </w:rPr>
            </w:pPr>
          </w:p>
        </w:tc>
      </w:tr>
      <w:tr w:rsidR="00D86489" w14:paraId="1AC7F3A9" w14:textId="77777777">
        <w:trPr>
          <w:trHeight w:val="276"/>
          <w:jc w:val="center"/>
        </w:trPr>
        <w:tc>
          <w:tcPr>
            <w:tcW w:w="1668" w:type="dxa"/>
            <w:tcBorders>
              <w:top w:val="nil"/>
              <w:left w:val="nil"/>
              <w:bottom w:val="nil"/>
              <w:right w:val="nil"/>
            </w:tcBorders>
            <w:shd w:val="clear" w:color="auto" w:fill="auto"/>
            <w:noWrap/>
            <w:vAlign w:val="bottom"/>
          </w:tcPr>
          <w:p w14:paraId="77FB2CA7" w14:textId="77777777" w:rsidR="00D86489" w:rsidRDefault="00B22FD0">
            <w:pPr>
              <w:widowControl/>
              <w:spacing w:line="220" w:lineRule="atLeast"/>
              <w:jc w:val="left"/>
              <w:rPr>
                <w:rFonts w:ascii="Times New Roman" w:eastAsia="等线" w:hAnsi="Times New Roman"/>
                <w:color w:val="000000"/>
                <w:kern w:val="0"/>
                <w:szCs w:val="21"/>
              </w:rPr>
            </w:pPr>
            <w:r>
              <w:rPr>
                <w:rFonts w:ascii="Times New Roman" w:eastAsia="等线" w:hAnsi="Times New Roman" w:hint="eastAsia"/>
                <w:color w:val="000000"/>
                <w:kern w:val="0"/>
                <w:szCs w:val="21"/>
              </w:rPr>
              <w:t>LRP1</w:t>
            </w:r>
          </w:p>
        </w:tc>
        <w:tc>
          <w:tcPr>
            <w:tcW w:w="1261" w:type="dxa"/>
            <w:tcBorders>
              <w:top w:val="nil"/>
              <w:left w:val="nil"/>
              <w:bottom w:val="nil"/>
              <w:right w:val="nil"/>
            </w:tcBorders>
            <w:shd w:val="clear" w:color="auto" w:fill="auto"/>
            <w:noWrap/>
            <w:vAlign w:val="bottom"/>
          </w:tcPr>
          <w:p w14:paraId="79ECEEB6" w14:textId="77777777" w:rsidR="00D86489" w:rsidRDefault="00B22FD0">
            <w:pPr>
              <w:widowControl/>
              <w:spacing w:line="220" w:lineRule="atLeast"/>
              <w:jc w:val="left"/>
              <w:rPr>
                <w:rFonts w:ascii="Times New Roman" w:eastAsia="等线" w:hAnsi="Times New Roman"/>
                <w:color w:val="000000"/>
                <w:kern w:val="0"/>
                <w:szCs w:val="21"/>
              </w:rPr>
            </w:pPr>
            <w:r>
              <w:rPr>
                <w:rFonts w:ascii="Times New Roman" w:eastAsia="等线" w:hAnsi="Times New Roman" w:hint="eastAsia"/>
                <w:color w:val="000000"/>
                <w:kern w:val="0"/>
                <w:szCs w:val="21"/>
              </w:rPr>
              <w:t>abcam</w:t>
            </w:r>
          </w:p>
        </w:tc>
        <w:tc>
          <w:tcPr>
            <w:tcW w:w="1263" w:type="dxa"/>
            <w:tcBorders>
              <w:top w:val="nil"/>
              <w:left w:val="nil"/>
              <w:bottom w:val="nil"/>
              <w:right w:val="nil"/>
            </w:tcBorders>
            <w:shd w:val="clear" w:color="auto" w:fill="auto"/>
            <w:noWrap/>
            <w:vAlign w:val="bottom"/>
          </w:tcPr>
          <w:p w14:paraId="118EB9A0" w14:textId="77777777" w:rsidR="00D86489" w:rsidRDefault="00B22FD0">
            <w:pPr>
              <w:widowControl/>
              <w:spacing w:line="220" w:lineRule="atLeast"/>
              <w:jc w:val="left"/>
              <w:rPr>
                <w:rFonts w:ascii="Times New Roman" w:eastAsia="等线" w:hAnsi="Times New Roman"/>
                <w:color w:val="000000"/>
                <w:kern w:val="0"/>
                <w:szCs w:val="21"/>
              </w:rPr>
            </w:pPr>
            <w:r>
              <w:rPr>
                <w:rFonts w:ascii="Times New Roman" w:eastAsia="等线" w:hAnsi="Times New Roman"/>
                <w:color w:val="000000"/>
                <w:kern w:val="0"/>
                <w:szCs w:val="21"/>
              </w:rPr>
              <w:t>ab</w:t>
            </w:r>
            <w:r>
              <w:rPr>
                <w:rFonts w:ascii="Times New Roman" w:eastAsia="等线" w:hAnsi="Times New Roman" w:hint="eastAsia"/>
                <w:color w:val="000000"/>
                <w:kern w:val="0"/>
                <w:szCs w:val="21"/>
              </w:rPr>
              <w:t>92544</w:t>
            </w:r>
          </w:p>
        </w:tc>
        <w:tc>
          <w:tcPr>
            <w:tcW w:w="1902" w:type="dxa"/>
            <w:tcBorders>
              <w:top w:val="nil"/>
              <w:left w:val="nil"/>
              <w:bottom w:val="nil"/>
              <w:right w:val="nil"/>
            </w:tcBorders>
            <w:shd w:val="clear" w:color="auto" w:fill="auto"/>
            <w:noWrap/>
            <w:vAlign w:val="bottom"/>
          </w:tcPr>
          <w:p w14:paraId="2B73EC31" w14:textId="77777777" w:rsidR="00D86489" w:rsidRDefault="00B22FD0">
            <w:pPr>
              <w:widowControl/>
              <w:spacing w:line="220" w:lineRule="atLeast"/>
              <w:jc w:val="left"/>
              <w:rPr>
                <w:rFonts w:ascii="Times New Roman" w:eastAsia="等线" w:hAnsi="Times New Roman"/>
                <w:color w:val="000000"/>
                <w:kern w:val="0"/>
                <w:szCs w:val="21"/>
              </w:rPr>
            </w:pPr>
            <w:r>
              <w:rPr>
                <w:rFonts w:ascii="Times New Roman" w:eastAsia="等线" w:hAnsi="Times New Roman" w:hint="eastAsia"/>
                <w:color w:val="000000"/>
                <w:kern w:val="0"/>
                <w:szCs w:val="21"/>
              </w:rPr>
              <w:t>rabbit monoclonal</w:t>
            </w:r>
          </w:p>
        </w:tc>
        <w:tc>
          <w:tcPr>
            <w:tcW w:w="848" w:type="dxa"/>
            <w:tcBorders>
              <w:top w:val="nil"/>
              <w:left w:val="nil"/>
              <w:bottom w:val="nil"/>
              <w:right w:val="nil"/>
            </w:tcBorders>
            <w:shd w:val="clear" w:color="auto" w:fill="auto"/>
            <w:noWrap/>
            <w:vAlign w:val="bottom"/>
          </w:tcPr>
          <w:p w14:paraId="1938EF11" w14:textId="77777777" w:rsidR="00D86489" w:rsidRDefault="00B22FD0">
            <w:pPr>
              <w:widowControl/>
              <w:spacing w:line="220" w:lineRule="atLeast"/>
              <w:jc w:val="left"/>
              <w:rPr>
                <w:rFonts w:ascii="Times New Roman" w:eastAsia="等线" w:hAnsi="Times New Roman"/>
                <w:color w:val="000000"/>
                <w:kern w:val="0"/>
                <w:szCs w:val="21"/>
              </w:rPr>
            </w:pPr>
            <w:r>
              <w:rPr>
                <w:rFonts w:ascii="Times New Roman" w:eastAsia="等线" w:hAnsi="Times New Roman" w:hint="eastAsia"/>
                <w:color w:val="000000"/>
                <w:kern w:val="0"/>
                <w:szCs w:val="21"/>
              </w:rPr>
              <w:t>1:1000</w:t>
            </w:r>
          </w:p>
        </w:tc>
        <w:tc>
          <w:tcPr>
            <w:tcW w:w="733" w:type="dxa"/>
            <w:tcBorders>
              <w:top w:val="nil"/>
              <w:left w:val="nil"/>
              <w:bottom w:val="nil"/>
              <w:right w:val="nil"/>
            </w:tcBorders>
            <w:shd w:val="clear" w:color="auto" w:fill="auto"/>
            <w:noWrap/>
            <w:vAlign w:val="bottom"/>
          </w:tcPr>
          <w:p w14:paraId="38381BCB" w14:textId="77777777" w:rsidR="00D86489" w:rsidRDefault="00D86489">
            <w:pPr>
              <w:widowControl/>
              <w:spacing w:line="220" w:lineRule="atLeast"/>
              <w:jc w:val="left"/>
              <w:rPr>
                <w:rFonts w:ascii="Times New Roman" w:eastAsia="等线" w:hAnsi="Times New Roman"/>
                <w:color w:val="000000"/>
                <w:kern w:val="0"/>
                <w:szCs w:val="21"/>
              </w:rPr>
            </w:pPr>
          </w:p>
        </w:tc>
        <w:tc>
          <w:tcPr>
            <w:tcW w:w="847" w:type="dxa"/>
            <w:tcBorders>
              <w:top w:val="nil"/>
              <w:left w:val="nil"/>
              <w:bottom w:val="nil"/>
              <w:right w:val="nil"/>
            </w:tcBorders>
            <w:shd w:val="clear" w:color="auto" w:fill="auto"/>
            <w:noWrap/>
            <w:vAlign w:val="bottom"/>
          </w:tcPr>
          <w:p w14:paraId="5B8F1290" w14:textId="77777777" w:rsidR="00D86489" w:rsidRDefault="00D86489">
            <w:pPr>
              <w:widowControl/>
              <w:spacing w:line="220" w:lineRule="atLeast"/>
              <w:jc w:val="left"/>
              <w:rPr>
                <w:rFonts w:ascii="Times New Roman" w:eastAsia="等线" w:hAnsi="Times New Roman"/>
                <w:color w:val="000000"/>
                <w:kern w:val="0"/>
                <w:szCs w:val="21"/>
              </w:rPr>
            </w:pPr>
          </w:p>
        </w:tc>
      </w:tr>
      <w:tr w:rsidR="00D86489" w14:paraId="47F7E115" w14:textId="77777777">
        <w:trPr>
          <w:trHeight w:val="276"/>
          <w:jc w:val="center"/>
        </w:trPr>
        <w:tc>
          <w:tcPr>
            <w:tcW w:w="1668" w:type="dxa"/>
            <w:tcBorders>
              <w:top w:val="nil"/>
              <w:left w:val="nil"/>
              <w:bottom w:val="nil"/>
              <w:right w:val="nil"/>
            </w:tcBorders>
            <w:shd w:val="clear" w:color="auto" w:fill="auto"/>
            <w:noWrap/>
            <w:vAlign w:val="bottom"/>
          </w:tcPr>
          <w:p w14:paraId="03DB499A" w14:textId="77777777" w:rsidR="00D86489" w:rsidRDefault="00B22FD0">
            <w:pPr>
              <w:widowControl/>
              <w:spacing w:line="220" w:lineRule="atLeast"/>
              <w:jc w:val="left"/>
              <w:rPr>
                <w:rFonts w:ascii="Times New Roman" w:eastAsia="等线" w:hAnsi="Times New Roman"/>
                <w:color w:val="000000"/>
                <w:kern w:val="0"/>
                <w:szCs w:val="21"/>
              </w:rPr>
            </w:pPr>
            <w:r>
              <w:rPr>
                <w:rFonts w:ascii="Times New Roman" w:eastAsia="等线" w:hAnsi="Times New Roman" w:hint="eastAsia"/>
                <w:color w:val="000000"/>
                <w:kern w:val="0"/>
                <w:szCs w:val="21"/>
              </w:rPr>
              <w:t>IL-12RB2</w:t>
            </w:r>
          </w:p>
        </w:tc>
        <w:tc>
          <w:tcPr>
            <w:tcW w:w="1261" w:type="dxa"/>
            <w:tcBorders>
              <w:top w:val="nil"/>
              <w:left w:val="nil"/>
              <w:bottom w:val="nil"/>
              <w:right w:val="nil"/>
            </w:tcBorders>
            <w:shd w:val="clear" w:color="auto" w:fill="auto"/>
            <w:noWrap/>
            <w:vAlign w:val="bottom"/>
          </w:tcPr>
          <w:p w14:paraId="0EA35D0F" w14:textId="77777777" w:rsidR="00D86489" w:rsidRDefault="00B22FD0">
            <w:pPr>
              <w:widowControl/>
              <w:spacing w:line="220" w:lineRule="atLeast"/>
              <w:jc w:val="left"/>
              <w:rPr>
                <w:rFonts w:ascii="Times New Roman" w:eastAsia="等线" w:hAnsi="Times New Roman"/>
                <w:color w:val="000000"/>
                <w:kern w:val="0"/>
                <w:szCs w:val="21"/>
              </w:rPr>
            </w:pPr>
            <w:r>
              <w:rPr>
                <w:rFonts w:ascii="Times New Roman" w:eastAsia="等线" w:hAnsi="Times New Roman" w:hint="eastAsia"/>
                <w:color w:val="000000"/>
                <w:kern w:val="0"/>
                <w:szCs w:val="21"/>
              </w:rPr>
              <w:t>LSBio</w:t>
            </w:r>
          </w:p>
        </w:tc>
        <w:tc>
          <w:tcPr>
            <w:tcW w:w="1263" w:type="dxa"/>
            <w:tcBorders>
              <w:top w:val="nil"/>
              <w:left w:val="nil"/>
              <w:bottom w:val="nil"/>
              <w:right w:val="nil"/>
            </w:tcBorders>
            <w:shd w:val="clear" w:color="auto" w:fill="auto"/>
            <w:noWrap/>
            <w:vAlign w:val="bottom"/>
          </w:tcPr>
          <w:p w14:paraId="2C35C033" w14:textId="77777777" w:rsidR="00D86489" w:rsidRDefault="00B22FD0">
            <w:pPr>
              <w:widowControl/>
              <w:spacing w:line="220" w:lineRule="atLeast"/>
              <w:jc w:val="left"/>
              <w:rPr>
                <w:rFonts w:ascii="Times New Roman" w:eastAsia="等线" w:hAnsi="Times New Roman"/>
                <w:color w:val="000000"/>
                <w:kern w:val="0"/>
                <w:szCs w:val="21"/>
              </w:rPr>
            </w:pPr>
            <w:r>
              <w:rPr>
                <w:rFonts w:ascii="Times New Roman" w:eastAsia="等线" w:hAnsi="Times New Roman" w:hint="eastAsia"/>
                <w:color w:val="000000"/>
                <w:kern w:val="0"/>
                <w:szCs w:val="21"/>
              </w:rPr>
              <w:t>LS-C294829</w:t>
            </w:r>
          </w:p>
        </w:tc>
        <w:tc>
          <w:tcPr>
            <w:tcW w:w="1902" w:type="dxa"/>
            <w:tcBorders>
              <w:top w:val="nil"/>
              <w:left w:val="nil"/>
              <w:bottom w:val="nil"/>
              <w:right w:val="nil"/>
            </w:tcBorders>
            <w:shd w:val="clear" w:color="auto" w:fill="auto"/>
            <w:noWrap/>
            <w:vAlign w:val="bottom"/>
          </w:tcPr>
          <w:p w14:paraId="251B1D66" w14:textId="77777777" w:rsidR="00D86489" w:rsidRDefault="00B22FD0">
            <w:pPr>
              <w:widowControl/>
              <w:spacing w:line="220" w:lineRule="atLeast"/>
              <w:jc w:val="left"/>
              <w:rPr>
                <w:rFonts w:ascii="Times New Roman" w:eastAsia="等线" w:hAnsi="Times New Roman"/>
                <w:color w:val="000000"/>
                <w:kern w:val="0"/>
                <w:szCs w:val="21"/>
              </w:rPr>
            </w:pPr>
            <w:r>
              <w:rPr>
                <w:rFonts w:ascii="Times New Roman" w:eastAsia="等线" w:hAnsi="Times New Roman" w:hint="eastAsia"/>
                <w:color w:val="000000"/>
                <w:kern w:val="0"/>
                <w:szCs w:val="21"/>
              </w:rPr>
              <w:t>rabbit polyclonal</w:t>
            </w:r>
          </w:p>
        </w:tc>
        <w:tc>
          <w:tcPr>
            <w:tcW w:w="848" w:type="dxa"/>
            <w:tcBorders>
              <w:top w:val="nil"/>
              <w:left w:val="nil"/>
              <w:bottom w:val="nil"/>
              <w:right w:val="nil"/>
            </w:tcBorders>
            <w:shd w:val="clear" w:color="auto" w:fill="auto"/>
            <w:noWrap/>
            <w:vAlign w:val="bottom"/>
          </w:tcPr>
          <w:p w14:paraId="1C43A6BA" w14:textId="77777777" w:rsidR="00D86489" w:rsidRDefault="00B22FD0">
            <w:pPr>
              <w:widowControl/>
              <w:spacing w:line="220" w:lineRule="atLeast"/>
              <w:jc w:val="left"/>
              <w:rPr>
                <w:rFonts w:ascii="Times New Roman" w:eastAsia="等线" w:hAnsi="Times New Roman"/>
                <w:color w:val="000000"/>
                <w:kern w:val="0"/>
                <w:szCs w:val="21"/>
              </w:rPr>
            </w:pPr>
            <w:r>
              <w:rPr>
                <w:rFonts w:ascii="Times New Roman" w:eastAsia="等线" w:hAnsi="Times New Roman" w:hint="eastAsia"/>
                <w:color w:val="000000"/>
                <w:kern w:val="0"/>
                <w:szCs w:val="21"/>
              </w:rPr>
              <w:t>1:1000</w:t>
            </w:r>
          </w:p>
        </w:tc>
        <w:tc>
          <w:tcPr>
            <w:tcW w:w="733" w:type="dxa"/>
            <w:tcBorders>
              <w:top w:val="nil"/>
              <w:left w:val="nil"/>
              <w:bottom w:val="nil"/>
              <w:right w:val="nil"/>
            </w:tcBorders>
            <w:shd w:val="clear" w:color="auto" w:fill="auto"/>
            <w:noWrap/>
            <w:vAlign w:val="bottom"/>
          </w:tcPr>
          <w:p w14:paraId="6A5FEAC9" w14:textId="77777777" w:rsidR="00D86489" w:rsidRDefault="00B22FD0">
            <w:pPr>
              <w:widowControl/>
              <w:spacing w:line="220" w:lineRule="atLeast"/>
              <w:jc w:val="left"/>
              <w:rPr>
                <w:rFonts w:ascii="Times New Roman" w:eastAsia="等线" w:hAnsi="Times New Roman"/>
                <w:color w:val="000000"/>
                <w:kern w:val="0"/>
                <w:szCs w:val="21"/>
              </w:rPr>
            </w:pPr>
            <w:r>
              <w:rPr>
                <w:rFonts w:ascii="Times New Roman" w:eastAsia="等线" w:hAnsi="Times New Roman" w:hint="eastAsia"/>
                <w:color w:val="000000"/>
                <w:kern w:val="0"/>
                <w:szCs w:val="21"/>
              </w:rPr>
              <w:t>1:250</w:t>
            </w:r>
          </w:p>
        </w:tc>
        <w:tc>
          <w:tcPr>
            <w:tcW w:w="847" w:type="dxa"/>
            <w:tcBorders>
              <w:top w:val="nil"/>
              <w:left w:val="nil"/>
              <w:bottom w:val="nil"/>
              <w:right w:val="nil"/>
            </w:tcBorders>
            <w:shd w:val="clear" w:color="auto" w:fill="auto"/>
            <w:noWrap/>
            <w:vAlign w:val="bottom"/>
          </w:tcPr>
          <w:p w14:paraId="7CBF0A37" w14:textId="77777777" w:rsidR="00D86489" w:rsidRDefault="00D86489">
            <w:pPr>
              <w:widowControl/>
              <w:spacing w:line="220" w:lineRule="atLeast"/>
              <w:jc w:val="left"/>
              <w:rPr>
                <w:rFonts w:ascii="Times New Roman" w:eastAsia="等线" w:hAnsi="Times New Roman"/>
                <w:color w:val="000000"/>
                <w:kern w:val="0"/>
                <w:szCs w:val="21"/>
              </w:rPr>
            </w:pPr>
          </w:p>
        </w:tc>
      </w:tr>
      <w:tr w:rsidR="00D86489" w14:paraId="551E465F" w14:textId="77777777">
        <w:trPr>
          <w:trHeight w:val="276"/>
          <w:jc w:val="center"/>
        </w:trPr>
        <w:tc>
          <w:tcPr>
            <w:tcW w:w="1668" w:type="dxa"/>
            <w:tcBorders>
              <w:top w:val="nil"/>
              <w:left w:val="nil"/>
              <w:bottom w:val="nil"/>
              <w:right w:val="nil"/>
            </w:tcBorders>
            <w:shd w:val="clear" w:color="auto" w:fill="auto"/>
            <w:noWrap/>
            <w:vAlign w:val="bottom"/>
          </w:tcPr>
          <w:p w14:paraId="0B82BB46" w14:textId="77777777" w:rsidR="00D86489" w:rsidRDefault="00B22FD0">
            <w:pPr>
              <w:widowControl/>
              <w:spacing w:line="220" w:lineRule="atLeast"/>
              <w:jc w:val="left"/>
              <w:rPr>
                <w:rFonts w:ascii="Times New Roman" w:eastAsia="等线" w:hAnsi="Times New Roman"/>
                <w:color w:val="000000"/>
                <w:kern w:val="0"/>
                <w:szCs w:val="21"/>
              </w:rPr>
            </w:pPr>
            <w:r>
              <w:rPr>
                <w:rFonts w:ascii="Times New Roman" w:eastAsia="等线" w:hAnsi="Times New Roman" w:hint="eastAsia"/>
                <w:color w:val="000000"/>
                <w:kern w:val="0"/>
                <w:szCs w:val="21"/>
              </w:rPr>
              <w:t>GP130</w:t>
            </w:r>
          </w:p>
        </w:tc>
        <w:tc>
          <w:tcPr>
            <w:tcW w:w="1261" w:type="dxa"/>
            <w:tcBorders>
              <w:top w:val="nil"/>
              <w:left w:val="nil"/>
              <w:bottom w:val="nil"/>
              <w:right w:val="nil"/>
            </w:tcBorders>
            <w:shd w:val="clear" w:color="auto" w:fill="auto"/>
            <w:noWrap/>
            <w:vAlign w:val="bottom"/>
          </w:tcPr>
          <w:p w14:paraId="31571B56" w14:textId="77777777" w:rsidR="00D86489" w:rsidRDefault="00B22FD0">
            <w:pPr>
              <w:widowControl/>
              <w:spacing w:line="220" w:lineRule="atLeast"/>
              <w:jc w:val="left"/>
              <w:rPr>
                <w:rFonts w:ascii="Times New Roman" w:eastAsia="等线" w:hAnsi="Times New Roman"/>
                <w:color w:val="000000"/>
                <w:kern w:val="0"/>
                <w:szCs w:val="21"/>
              </w:rPr>
            </w:pPr>
            <w:r>
              <w:rPr>
                <w:rFonts w:ascii="Times New Roman" w:eastAsia="等线" w:hAnsi="Times New Roman"/>
                <w:color w:val="000000"/>
                <w:kern w:val="0"/>
                <w:szCs w:val="21"/>
              </w:rPr>
              <w:t>S</w:t>
            </w:r>
            <w:r>
              <w:rPr>
                <w:rFonts w:ascii="Times New Roman" w:eastAsia="等线" w:hAnsi="Times New Roman" w:hint="eastAsia"/>
                <w:color w:val="000000"/>
                <w:kern w:val="0"/>
                <w:szCs w:val="21"/>
              </w:rPr>
              <w:t>anta cruz</w:t>
            </w:r>
          </w:p>
        </w:tc>
        <w:tc>
          <w:tcPr>
            <w:tcW w:w="1263" w:type="dxa"/>
            <w:tcBorders>
              <w:top w:val="nil"/>
              <w:left w:val="nil"/>
              <w:bottom w:val="nil"/>
              <w:right w:val="nil"/>
            </w:tcBorders>
            <w:shd w:val="clear" w:color="auto" w:fill="auto"/>
            <w:noWrap/>
            <w:vAlign w:val="bottom"/>
          </w:tcPr>
          <w:p w14:paraId="75C080D7" w14:textId="77777777" w:rsidR="00D86489" w:rsidRDefault="00B22FD0">
            <w:pPr>
              <w:widowControl/>
              <w:spacing w:line="220" w:lineRule="atLeast"/>
              <w:jc w:val="left"/>
              <w:rPr>
                <w:rFonts w:ascii="Times New Roman" w:eastAsia="等线" w:hAnsi="Times New Roman"/>
                <w:color w:val="000000"/>
                <w:kern w:val="0"/>
                <w:szCs w:val="21"/>
              </w:rPr>
            </w:pPr>
            <w:r>
              <w:rPr>
                <w:rFonts w:ascii="Times New Roman" w:eastAsia="等线" w:hAnsi="Times New Roman"/>
                <w:color w:val="000000"/>
                <w:kern w:val="0"/>
                <w:szCs w:val="21"/>
              </w:rPr>
              <w:t>sc</w:t>
            </w:r>
            <w:r>
              <w:rPr>
                <w:rFonts w:ascii="Times New Roman" w:eastAsia="等线" w:hAnsi="Times New Roman" w:hint="eastAsia"/>
                <w:color w:val="000000"/>
                <w:kern w:val="0"/>
                <w:szCs w:val="21"/>
              </w:rPr>
              <w:t>-376280</w:t>
            </w:r>
          </w:p>
        </w:tc>
        <w:tc>
          <w:tcPr>
            <w:tcW w:w="1902" w:type="dxa"/>
            <w:tcBorders>
              <w:top w:val="nil"/>
              <w:left w:val="nil"/>
              <w:bottom w:val="nil"/>
              <w:right w:val="nil"/>
            </w:tcBorders>
            <w:shd w:val="clear" w:color="auto" w:fill="auto"/>
            <w:noWrap/>
            <w:vAlign w:val="bottom"/>
          </w:tcPr>
          <w:p w14:paraId="751BA6B2" w14:textId="77777777" w:rsidR="00D86489" w:rsidRDefault="00B22FD0">
            <w:pPr>
              <w:widowControl/>
              <w:spacing w:line="220" w:lineRule="atLeast"/>
              <w:jc w:val="left"/>
              <w:rPr>
                <w:rFonts w:ascii="Times New Roman" w:eastAsia="等线" w:hAnsi="Times New Roman"/>
                <w:color w:val="000000"/>
                <w:kern w:val="0"/>
                <w:szCs w:val="21"/>
              </w:rPr>
            </w:pPr>
            <w:r>
              <w:rPr>
                <w:rFonts w:ascii="Times New Roman" w:eastAsia="等线" w:hAnsi="Times New Roman" w:hint="eastAsia"/>
                <w:color w:val="000000"/>
                <w:kern w:val="0"/>
                <w:szCs w:val="21"/>
              </w:rPr>
              <w:t>mouse monoclonal</w:t>
            </w:r>
          </w:p>
        </w:tc>
        <w:tc>
          <w:tcPr>
            <w:tcW w:w="848" w:type="dxa"/>
            <w:tcBorders>
              <w:top w:val="nil"/>
              <w:left w:val="nil"/>
              <w:bottom w:val="nil"/>
              <w:right w:val="nil"/>
            </w:tcBorders>
            <w:shd w:val="clear" w:color="auto" w:fill="auto"/>
            <w:noWrap/>
            <w:vAlign w:val="bottom"/>
          </w:tcPr>
          <w:p w14:paraId="40D6FEC3" w14:textId="77777777" w:rsidR="00D86489" w:rsidRDefault="00B22FD0">
            <w:pPr>
              <w:widowControl/>
              <w:spacing w:line="220" w:lineRule="atLeast"/>
              <w:jc w:val="left"/>
              <w:rPr>
                <w:rFonts w:ascii="Times New Roman" w:eastAsia="等线" w:hAnsi="Times New Roman"/>
                <w:color w:val="000000"/>
                <w:kern w:val="0"/>
                <w:szCs w:val="21"/>
              </w:rPr>
            </w:pPr>
            <w:r>
              <w:rPr>
                <w:rFonts w:ascii="Times New Roman" w:eastAsia="等线" w:hAnsi="Times New Roman" w:hint="eastAsia"/>
                <w:color w:val="000000"/>
                <w:kern w:val="0"/>
                <w:szCs w:val="21"/>
              </w:rPr>
              <w:t>1:1000</w:t>
            </w:r>
          </w:p>
        </w:tc>
        <w:tc>
          <w:tcPr>
            <w:tcW w:w="733" w:type="dxa"/>
            <w:tcBorders>
              <w:top w:val="nil"/>
              <w:left w:val="nil"/>
              <w:bottom w:val="nil"/>
              <w:right w:val="nil"/>
            </w:tcBorders>
            <w:shd w:val="clear" w:color="auto" w:fill="auto"/>
            <w:noWrap/>
            <w:vAlign w:val="bottom"/>
          </w:tcPr>
          <w:p w14:paraId="12F861AC" w14:textId="77777777" w:rsidR="00D86489" w:rsidRDefault="00B22FD0">
            <w:pPr>
              <w:widowControl/>
              <w:spacing w:line="220" w:lineRule="atLeast"/>
              <w:jc w:val="left"/>
              <w:rPr>
                <w:rFonts w:ascii="Times New Roman" w:eastAsia="等线" w:hAnsi="Times New Roman"/>
                <w:color w:val="000000"/>
                <w:kern w:val="0"/>
                <w:szCs w:val="21"/>
              </w:rPr>
            </w:pPr>
            <w:r>
              <w:rPr>
                <w:rFonts w:ascii="Times New Roman" w:eastAsia="等线" w:hAnsi="Times New Roman" w:hint="eastAsia"/>
                <w:color w:val="000000"/>
                <w:kern w:val="0"/>
                <w:szCs w:val="21"/>
              </w:rPr>
              <w:t>1:200</w:t>
            </w:r>
          </w:p>
        </w:tc>
        <w:tc>
          <w:tcPr>
            <w:tcW w:w="847" w:type="dxa"/>
            <w:tcBorders>
              <w:top w:val="nil"/>
              <w:left w:val="nil"/>
              <w:bottom w:val="nil"/>
              <w:right w:val="nil"/>
            </w:tcBorders>
            <w:shd w:val="clear" w:color="auto" w:fill="auto"/>
            <w:noWrap/>
            <w:vAlign w:val="bottom"/>
          </w:tcPr>
          <w:p w14:paraId="5DC7CD5D" w14:textId="77777777" w:rsidR="00D86489" w:rsidRDefault="00D86489">
            <w:pPr>
              <w:widowControl/>
              <w:spacing w:line="220" w:lineRule="atLeast"/>
              <w:jc w:val="left"/>
              <w:rPr>
                <w:rFonts w:ascii="Times New Roman" w:eastAsia="等线" w:hAnsi="Times New Roman"/>
                <w:color w:val="000000"/>
                <w:kern w:val="0"/>
                <w:szCs w:val="21"/>
              </w:rPr>
            </w:pPr>
          </w:p>
        </w:tc>
      </w:tr>
      <w:tr w:rsidR="00D86489" w14:paraId="4A116CD0" w14:textId="77777777">
        <w:trPr>
          <w:trHeight w:val="276"/>
          <w:jc w:val="center"/>
        </w:trPr>
        <w:tc>
          <w:tcPr>
            <w:tcW w:w="1668" w:type="dxa"/>
            <w:tcBorders>
              <w:top w:val="nil"/>
              <w:left w:val="nil"/>
              <w:bottom w:val="nil"/>
              <w:right w:val="nil"/>
            </w:tcBorders>
            <w:shd w:val="clear" w:color="auto" w:fill="auto"/>
            <w:noWrap/>
            <w:vAlign w:val="bottom"/>
          </w:tcPr>
          <w:p w14:paraId="057E7F56" w14:textId="77777777" w:rsidR="00D86489" w:rsidRDefault="00B22FD0">
            <w:pPr>
              <w:widowControl/>
              <w:spacing w:line="220" w:lineRule="atLeast"/>
              <w:jc w:val="left"/>
              <w:rPr>
                <w:rFonts w:ascii="Times New Roman" w:eastAsia="等线" w:hAnsi="Times New Roman"/>
                <w:color w:val="000000"/>
                <w:kern w:val="0"/>
                <w:szCs w:val="21"/>
              </w:rPr>
            </w:pPr>
            <w:r>
              <w:rPr>
                <w:rFonts w:ascii="Times New Roman" w:eastAsia="等线" w:hAnsi="Times New Roman" w:hint="eastAsia"/>
                <w:color w:val="000000"/>
                <w:kern w:val="0"/>
                <w:szCs w:val="21"/>
              </w:rPr>
              <w:t>NenN</w:t>
            </w:r>
          </w:p>
        </w:tc>
        <w:tc>
          <w:tcPr>
            <w:tcW w:w="1261" w:type="dxa"/>
            <w:tcBorders>
              <w:top w:val="nil"/>
              <w:left w:val="nil"/>
              <w:bottom w:val="nil"/>
              <w:right w:val="nil"/>
            </w:tcBorders>
            <w:shd w:val="clear" w:color="auto" w:fill="auto"/>
            <w:noWrap/>
            <w:vAlign w:val="bottom"/>
          </w:tcPr>
          <w:p w14:paraId="60E7AB08" w14:textId="77777777" w:rsidR="00D86489" w:rsidRDefault="00B22FD0">
            <w:pPr>
              <w:widowControl/>
              <w:spacing w:line="220" w:lineRule="atLeast"/>
              <w:jc w:val="left"/>
              <w:rPr>
                <w:rFonts w:ascii="Times New Roman" w:eastAsia="等线" w:hAnsi="Times New Roman"/>
                <w:color w:val="000000"/>
                <w:kern w:val="0"/>
                <w:szCs w:val="21"/>
              </w:rPr>
            </w:pPr>
            <w:r>
              <w:rPr>
                <w:rFonts w:ascii="Times New Roman" w:eastAsia="等线" w:hAnsi="Times New Roman"/>
                <w:color w:val="000000"/>
                <w:kern w:val="0"/>
                <w:szCs w:val="21"/>
              </w:rPr>
              <w:t>millipore</w:t>
            </w:r>
          </w:p>
        </w:tc>
        <w:tc>
          <w:tcPr>
            <w:tcW w:w="1263" w:type="dxa"/>
            <w:tcBorders>
              <w:top w:val="nil"/>
              <w:left w:val="nil"/>
              <w:bottom w:val="nil"/>
              <w:right w:val="nil"/>
            </w:tcBorders>
            <w:shd w:val="clear" w:color="auto" w:fill="auto"/>
            <w:noWrap/>
            <w:vAlign w:val="bottom"/>
          </w:tcPr>
          <w:p w14:paraId="329932DD" w14:textId="77777777" w:rsidR="00D86489" w:rsidRDefault="00B22FD0">
            <w:pPr>
              <w:widowControl/>
              <w:spacing w:line="220" w:lineRule="atLeast"/>
              <w:jc w:val="left"/>
              <w:rPr>
                <w:rFonts w:ascii="Times New Roman" w:eastAsia="等线" w:hAnsi="Times New Roman"/>
                <w:color w:val="000000"/>
                <w:kern w:val="0"/>
                <w:szCs w:val="21"/>
              </w:rPr>
            </w:pPr>
            <w:r>
              <w:rPr>
                <w:rFonts w:ascii="Times New Roman" w:eastAsia="等线" w:hAnsi="Times New Roman" w:hint="eastAsia"/>
                <w:color w:val="000000"/>
                <w:kern w:val="0"/>
                <w:szCs w:val="21"/>
              </w:rPr>
              <w:t>MAB377</w:t>
            </w:r>
          </w:p>
        </w:tc>
        <w:tc>
          <w:tcPr>
            <w:tcW w:w="1902" w:type="dxa"/>
            <w:tcBorders>
              <w:top w:val="nil"/>
              <w:left w:val="nil"/>
              <w:bottom w:val="nil"/>
              <w:right w:val="nil"/>
            </w:tcBorders>
            <w:shd w:val="clear" w:color="auto" w:fill="auto"/>
            <w:noWrap/>
            <w:vAlign w:val="bottom"/>
          </w:tcPr>
          <w:p w14:paraId="3A4123C6" w14:textId="77777777" w:rsidR="00D86489" w:rsidRDefault="00B22FD0">
            <w:pPr>
              <w:widowControl/>
              <w:spacing w:line="220" w:lineRule="atLeast"/>
              <w:jc w:val="left"/>
              <w:rPr>
                <w:rFonts w:ascii="Times New Roman" w:eastAsia="等线" w:hAnsi="Times New Roman"/>
                <w:color w:val="000000"/>
                <w:kern w:val="0"/>
                <w:szCs w:val="21"/>
              </w:rPr>
            </w:pPr>
            <w:r>
              <w:rPr>
                <w:rFonts w:ascii="Times New Roman" w:eastAsia="等线" w:hAnsi="Times New Roman" w:hint="eastAsia"/>
                <w:color w:val="000000"/>
                <w:kern w:val="0"/>
                <w:szCs w:val="21"/>
              </w:rPr>
              <w:t>mouse monoclonal</w:t>
            </w:r>
          </w:p>
        </w:tc>
        <w:tc>
          <w:tcPr>
            <w:tcW w:w="848" w:type="dxa"/>
            <w:tcBorders>
              <w:top w:val="nil"/>
              <w:left w:val="nil"/>
              <w:bottom w:val="nil"/>
              <w:right w:val="nil"/>
            </w:tcBorders>
            <w:shd w:val="clear" w:color="auto" w:fill="auto"/>
            <w:noWrap/>
            <w:vAlign w:val="bottom"/>
          </w:tcPr>
          <w:p w14:paraId="70063473" w14:textId="77777777" w:rsidR="00D86489" w:rsidRDefault="00D86489">
            <w:pPr>
              <w:widowControl/>
              <w:spacing w:line="220" w:lineRule="atLeast"/>
              <w:jc w:val="left"/>
              <w:rPr>
                <w:rFonts w:ascii="Times New Roman" w:eastAsia="等线" w:hAnsi="Times New Roman"/>
                <w:color w:val="000000"/>
                <w:kern w:val="0"/>
                <w:szCs w:val="21"/>
              </w:rPr>
            </w:pPr>
          </w:p>
        </w:tc>
        <w:tc>
          <w:tcPr>
            <w:tcW w:w="733" w:type="dxa"/>
            <w:tcBorders>
              <w:top w:val="nil"/>
              <w:left w:val="nil"/>
              <w:bottom w:val="nil"/>
              <w:right w:val="nil"/>
            </w:tcBorders>
            <w:shd w:val="clear" w:color="auto" w:fill="auto"/>
            <w:noWrap/>
            <w:vAlign w:val="bottom"/>
          </w:tcPr>
          <w:p w14:paraId="39171198" w14:textId="77777777" w:rsidR="00D86489" w:rsidRDefault="00B22FD0">
            <w:pPr>
              <w:widowControl/>
              <w:spacing w:line="220" w:lineRule="atLeast"/>
              <w:jc w:val="left"/>
              <w:rPr>
                <w:rFonts w:ascii="Times New Roman" w:eastAsia="等线" w:hAnsi="Times New Roman"/>
                <w:color w:val="000000"/>
                <w:kern w:val="0"/>
                <w:szCs w:val="21"/>
              </w:rPr>
            </w:pPr>
            <w:r>
              <w:rPr>
                <w:rFonts w:ascii="Times New Roman" w:eastAsia="等线" w:hAnsi="Times New Roman" w:hint="eastAsia"/>
                <w:color w:val="000000"/>
                <w:kern w:val="0"/>
                <w:szCs w:val="21"/>
              </w:rPr>
              <w:t>1:200</w:t>
            </w:r>
          </w:p>
        </w:tc>
        <w:tc>
          <w:tcPr>
            <w:tcW w:w="847" w:type="dxa"/>
            <w:tcBorders>
              <w:top w:val="nil"/>
              <w:left w:val="nil"/>
              <w:bottom w:val="nil"/>
              <w:right w:val="nil"/>
            </w:tcBorders>
            <w:shd w:val="clear" w:color="auto" w:fill="auto"/>
            <w:noWrap/>
            <w:vAlign w:val="bottom"/>
          </w:tcPr>
          <w:p w14:paraId="450ACAC3" w14:textId="77777777" w:rsidR="00D86489" w:rsidRDefault="00D86489">
            <w:pPr>
              <w:widowControl/>
              <w:spacing w:line="220" w:lineRule="atLeast"/>
              <w:jc w:val="left"/>
              <w:rPr>
                <w:rFonts w:ascii="Times New Roman" w:eastAsia="等线" w:hAnsi="Times New Roman"/>
                <w:color w:val="000000"/>
                <w:kern w:val="0"/>
                <w:szCs w:val="21"/>
              </w:rPr>
            </w:pPr>
          </w:p>
        </w:tc>
      </w:tr>
      <w:tr w:rsidR="00D86489" w14:paraId="61DBB515" w14:textId="77777777">
        <w:trPr>
          <w:trHeight w:val="276"/>
          <w:jc w:val="center"/>
        </w:trPr>
        <w:tc>
          <w:tcPr>
            <w:tcW w:w="1668" w:type="dxa"/>
            <w:tcBorders>
              <w:top w:val="nil"/>
              <w:left w:val="nil"/>
              <w:bottom w:val="nil"/>
              <w:right w:val="nil"/>
            </w:tcBorders>
            <w:shd w:val="clear" w:color="auto" w:fill="auto"/>
            <w:noWrap/>
            <w:vAlign w:val="bottom"/>
          </w:tcPr>
          <w:p w14:paraId="19883677" w14:textId="77777777" w:rsidR="00D86489" w:rsidRDefault="00B22FD0">
            <w:pPr>
              <w:widowControl/>
              <w:spacing w:line="220" w:lineRule="atLeast"/>
              <w:jc w:val="left"/>
              <w:rPr>
                <w:rFonts w:ascii="Times New Roman" w:eastAsia="等线" w:hAnsi="Times New Roman"/>
                <w:color w:val="000000"/>
                <w:kern w:val="0"/>
                <w:szCs w:val="21"/>
              </w:rPr>
            </w:pPr>
            <w:r>
              <w:rPr>
                <w:rFonts w:ascii="Times New Roman" w:eastAsia="等线" w:hAnsi="Times New Roman" w:hint="eastAsia"/>
                <w:color w:val="000000"/>
                <w:kern w:val="0"/>
                <w:szCs w:val="21"/>
              </w:rPr>
              <w:t>NenN</w:t>
            </w:r>
          </w:p>
        </w:tc>
        <w:tc>
          <w:tcPr>
            <w:tcW w:w="1261" w:type="dxa"/>
            <w:tcBorders>
              <w:top w:val="nil"/>
              <w:left w:val="nil"/>
              <w:bottom w:val="nil"/>
              <w:right w:val="nil"/>
            </w:tcBorders>
            <w:shd w:val="clear" w:color="auto" w:fill="auto"/>
            <w:noWrap/>
            <w:vAlign w:val="bottom"/>
          </w:tcPr>
          <w:p w14:paraId="199E30F9" w14:textId="77777777" w:rsidR="00D86489" w:rsidRDefault="00B22FD0">
            <w:pPr>
              <w:widowControl/>
              <w:spacing w:line="220" w:lineRule="atLeast"/>
              <w:jc w:val="left"/>
              <w:rPr>
                <w:rFonts w:ascii="Times New Roman" w:eastAsia="等线" w:hAnsi="Times New Roman"/>
                <w:color w:val="000000"/>
                <w:kern w:val="0"/>
                <w:szCs w:val="21"/>
              </w:rPr>
            </w:pPr>
            <w:r>
              <w:rPr>
                <w:rFonts w:ascii="Times New Roman" w:eastAsia="等线" w:hAnsi="Times New Roman" w:hint="eastAsia"/>
                <w:color w:val="000000"/>
                <w:kern w:val="0"/>
                <w:szCs w:val="21"/>
              </w:rPr>
              <w:t>abcam</w:t>
            </w:r>
          </w:p>
        </w:tc>
        <w:tc>
          <w:tcPr>
            <w:tcW w:w="1263" w:type="dxa"/>
            <w:tcBorders>
              <w:top w:val="nil"/>
              <w:left w:val="nil"/>
              <w:bottom w:val="nil"/>
              <w:right w:val="nil"/>
            </w:tcBorders>
            <w:shd w:val="clear" w:color="auto" w:fill="auto"/>
            <w:noWrap/>
            <w:vAlign w:val="bottom"/>
          </w:tcPr>
          <w:p w14:paraId="64C98DB5" w14:textId="77777777" w:rsidR="00D86489" w:rsidRDefault="00B22FD0">
            <w:pPr>
              <w:widowControl/>
              <w:spacing w:line="220" w:lineRule="atLeast"/>
              <w:jc w:val="left"/>
              <w:rPr>
                <w:rFonts w:ascii="Times New Roman" w:eastAsia="等线" w:hAnsi="Times New Roman"/>
                <w:color w:val="000000"/>
                <w:kern w:val="0"/>
                <w:szCs w:val="21"/>
              </w:rPr>
            </w:pPr>
            <w:r>
              <w:rPr>
                <w:rFonts w:ascii="Times New Roman" w:eastAsia="等线" w:hAnsi="Times New Roman"/>
                <w:color w:val="000000"/>
                <w:kern w:val="0"/>
                <w:szCs w:val="21"/>
              </w:rPr>
              <w:t>A</w:t>
            </w:r>
            <w:r>
              <w:rPr>
                <w:rFonts w:ascii="Times New Roman" w:eastAsia="等线" w:hAnsi="Times New Roman" w:hint="eastAsia"/>
                <w:color w:val="000000"/>
                <w:kern w:val="0"/>
                <w:szCs w:val="21"/>
              </w:rPr>
              <w:t>b177487</w:t>
            </w:r>
          </w:p>
        </w:tc>
        <w:tc>
          <w:tcPr>
            <w:tcW w:w="1902" w:type="dxa"/>
            <w:tcBorders>
              <w:top w:val="nil"/>
              <w:left w:val="nil"/>
              <w:bottom w:val="nil"/>
              <w:right w:val="nil"/>
            </w:tcBorders>
            <w:shd w:val="clear" w:color="auto" w:fill="auto"/>
            <w:noWrap/>
            <w:vAlign w:val="bottom"/>
          </w:tcPr>
          <w:p w14:paraId="234E3D03" w14:textId="77777777" w:rsidR="00D86489" w:rsidRDefault="00B22FD0">
            <w:pPr>
              <w:widowControl/>
              <w:spacing w:line="220" w:lineRule="atLeast"/>
              <w:jc w:val="left"/>
              <w:rPr>
                <w:rFonts w:ascii="Times New Roman" w:eastAsia="等线" w:hAnsi="Times New Roman"/>
                <w:color w:val="000000"/>
                <w:kern w:val="0"/>
                <w:szCs w:val="21"/>
              </w:rPr>
            </w:pPr>
            <w:r>
              <w:rPr>
                <w:rFonts w:ascii="Times New Roman" w:eastAsia="等线" w:hAnsi="Times New Roman"/>
                <w:color w:val="000000"/>
                <w:kern w:val="0"/>
                <w:szCs w:val="21"/>
              </w:rPr>
              <w:t>rabbit</w:t>
            </w:r>
            <w:r>
              <w:rPr>
                <w:rFonts w:ascii="Times New Roman" w:eastAsia="等线" w:hAnsi="Times New Roman" w:hint="eastAsia"/>
                <w:color w:val="000000"/>
                <w:kern w:val="0"/>
                <w:szCs w:val="21"/>
              </w:rPr>
              <w:t xml:space="preserve"> monoclonal</w:t>
            </w:r>
          </w:p>
        </w:tc>
        <w:tc>
          <w:tcPr>
            <w:tcW w:w="848" w:type="dxa"/>
            <w:tcBorders>
              <w:top w:val="nil"/>
              <w:left w:val="nil"/>
              <w:bottom w:val="nil"/>
              <w:right w:val="nil"/>
            </w:tcBorders>
            <w:shd w:val="clear" w:color="auto" w:fill="auto"/>
            <w:noWrap/>
            <w:vAlign w:val="bottom"/>
          </w:tcPr>
          <w:p w14:paraId="0B8750EB" w14:textId="77777777" w:rsidR="00D86489" w:rsidRDefault="00D86489">
            <w:pPr>
              <w:widowControl/>
              <w:spacing w:line="220" w:lineRule="atLeast"/>
              <w:jc w:val="left"/>
              <w:rPr>
                <w:rFonts w:ascii="Times New Roman" w:eastAsia="等线" w:hAnsi="Times New Roman"/>
                <w:color w:val="000000"/>
                <w:kern w:val="0"/>
                <w:szCs w:val="21"/>
              </w:rPr>
            </w:pPr>
          </w:p>
        </w:tc>
        <w:tc>
          <w:tcPr>
            <w:tcW w:w="733" w:type="dxa"/>
            <w:tcBorders>
              <w:top w:val="nil"/>
              <w:left w:val="nil"/>
              <w:bottom w:val="nil"/>
              <w:right w:val="nil"/>
            </w:tcBorders>
            <w:shd w:val="clear" w:color="auto" w:fill="auto"/>
            <w:noWrap/>
            <w:vAlign w:val="bottom"/>
          </w:tcPr>
          <w:p w14:paraId="6137FD05" w14:textId="77777777" w:rsidR="00D86489" w:rsidRDefault="00B22FD0">
            <w:pPr>
              <w:widowControl/>
              <w:spacing w:line="220" w:lineRule="atLeast"/>
              <w:jc w:val="left"/>
              <w:rPr>
                <w:rFonts w:ascii="Times New Roman" w:eastAsia="等线" w:hAnsi="Times New Roman"/>
                <w:color w:val="000000"/>
                <w:kern w:val="0"/>
                <w:szCs w:val="21"/>
              </w:rPr>
            </w:pPr>
            <w:r>
              <w:rPr>
                <w:rFonts w:ascii="Times New Roman" w:eastAsia="等线" w:hAnsi="Times New Roman" w:hint="eastAsia"/>
                <w:color w:val="000000"/>
                <w:kern w:val="0"/>
                <w:szCs w:val="21"/>
              </w:rPr>
              <w:t>1:800</w:t>
            </w:r>
          </w:p>
        </w:tc>
        <w:tc>
          <w:tcPr>
            <w:tcW w:w="847" w:type="dxa"/>
            <w:tcBorders>
              <w:top w:val="nil"/>
              <w:left w:val="nil"/>
              <w:bottom w:val="nil"/>
              <w:right w:val="nil"/>
            </w:tcBorders>
            <w:shd w:val="clear" w:color="auto" w:fill="auto"/>
            <w:noWrap/>
            <w:vAlign w:val="bottom"/>
          </w:tcPr>
          <w:p w14:paraId="3BF284C1" w14:textId="77777777" w:rsidR="00D86489" w:rsidRDefault="00D86489">
            <w:pPr>
              <w:widowControl/>
              <w:spacing w:line="220" w:lineRule="atLeast"/>
              <w:jc w:val="left"/>
              <w:rPr>
                <w:rFonts w:ascii="Times New Roman" w:eastAsia="等线" w:hAnsi="Times New Roman"/>
                <w:color w:val="000000"/>
                <w:kern w:val="0"/>
                <w:szCs w:val="21"/>
              </w:rPr>
            </w:pPr>
          </w:p>
        </w:tc>
      </w:tr>
      <w:tr w:rsidR="00D86489" w14:paraId="605E3E04" w14:textId="77777777">
        <w:trPr>
          <w:trHeight w:val="276"/>
          <w:jc w:val="center"/>
        </w:trPr>
        <w:tc>
          <w:tcPr>
            <w:tcW w:w="1668" w:type="dxa"/>
            <w:tcBorders>
              <w:top w:val="nil"/>
              <w:left w:val="nil"/>
              <w:bottom w:val="nil"/>
              <w:right w:val="nil"/>
            </w:tcBorders>
            <w:shd w:val="clear" w:color="auto" w:fill="auto"/>
            <w:noWrap/>
            <w:vAlign w:val="bottom"/>
          </w:tcPr>
          <w:p w14:paraId="44BEBFB8" w14:textId="77777777" w:rsidR="00D86489" w:rsidRDefault="00B22FD0">
            <w:pPr>
              <w:widowControl/>
              <w:spacing w:line="220" w:lineRule="atLeast"/>
              <w:jc w:val="left"/>
              <w:rPr>
                <w:rFonts w:ascii="Times New Roman" w:eastAsia="等线" w:hAnsi="Times New Roman"/>
                <w:color w:val="000000"/>
                <w:kern w:val="0"/>
                <w:szCs w:val="21"/>
              </w:rPr>
            </w:pPr>
            <w:r>
              <w:rPr>
                <w:rFonts w:ascii="Times New Roman" w:eastAsia="等线" w:hAnsi="Times New Roman" w:hint="eastAsia"/>
                <w:color w:val="000000"/>
                <w:kern w:val="0"/>
                <w:szCs w:val="21"/>
              </w:rPr>
              <w:t>SOCS1</w:t>
            </w:r>
          </w:p>
        </w:tc>
        <w:tc>
          <w:tcPr>
            <w:tcW w:w="1261" w:type="dxa"/>
            <w:tcBorders>
              <w:top w:val="nil"/>
              <w:left w:val="nil"/>
              <w:bottom w:val="nil"/>
              <w:right w:val="nil"/>
            </w:tcBorders>
            <w:shd w:val="clear" w:color="auto" w:fill="auto"/>
            <w:noWrap/>
            <w:vAlign w:val="bottom"/>
          </w:tcPr>
          <w:p w14:paraId="64CDCE8F" w14:textId="77777777" w:rsidR="00D86489" w:rsidRDefault="00B22FD0">
            <w:pPr>
              <w:widowControl/>
              <w:spacing w:line="220" w:lineRule="atLeast"/>
              <w:jc w:val="left"/>
              <w:rPr>
                <w:rFonts w:ascii="Times New Roman" w:eastAsia="等线" w:hAnsi="Times New Roman"/>
                <w:color w:val="000000"/>
                <w:kern w:val="0"/>
                <w:szCs w:val="21"/>
              </w:rPr>
            </w:pPr>
            <w:r>
              <w:rPr>
                <w:rFonts w:ascii="Times New Roman" w:eastAsia="等线" w:hAnsi="Times New Roman" w:hint="eastAsia"/>
                <w:color w:val="000000"/>
                <w:kern w:val="0"/>
                <w:szCs w:val="21"/>
              </w:rPr>
              <w:t>CST</w:t>
            </w:r>
          </w:p>
        </w:tc>
        <w:tc>
          <w:tcPr>
            <w:tcW w:w="1263" w:type="dxa"/>
            <w:tcBorders>
              <w:top w:val="nil"/>
              <w:left w:val="nil"/>
              <w:bottom w:val="nil"/>
              <w:right w:val="nil"/>
            </w:tcBorders>
            <w:shd w:val="clear" w:color="auto" w:fill="auto"/>
            <w:noWrap/>
            <w:vAlign w:val="bottom"/>
          </w:tcPr>
          <w:p w14:paraId="467A2030" w14:textId="77777777" w:rsidR="00D86489" w:rsidRDefault="00B22FD0">
            <w:pPr>
              <w:widowControl/>
              <w:spacing w:line="220" w:lineRule="atLeast"/>
              <w:jc w:val="left"/>
              <w:rPr>
                <w:rFonts w:ascii="Times New Roman" w:eastAsia="等线" w:hAnsi="Times New Roman"/>
                <w:color w:val="000000"/>
                <w:kern w:val="0"/>
                <w:szCs w:val="21"/>
              </w:rPr>
            </w:pPr>
            <w:r>
              <w:rPr>
                <w:rFonts w:ascii="Times New Roman" w:eastAsia="等线" w:hAnsi="Times New Roman" w:hint="eastAsia"/>
                <w:color w:val="000000"/>
                <w:kern w:val="0"/>
                <w:szCs w:val="21"/>
              </w:rPr>
              <w:t>3950</w:t>
            </w:r>
          </w:p>
        </w:tc>
        <w:tc>
          <w:tcPr>
            <w:tcW w:w="1902" w:type="dxa"/>
            <w:tcBorders>
              <w:top w:val="nil"/>
              <w:left w:val="nil"/>
              <w:bottom w:val="nil"/>
              <w:right w:val="nil"/>
            </w:tcBorders>
            <w:shd w:val="clear" w:color="auto" w:fill="auto"/>
            <w:noWrap/>
            <w:vAlign w:val="bottom"/>
          </w:tcPr>
          <w:p w14:paraId="56319BEA" w14:textId="77777777" w:rsidR="00D86489" w:rsidRDefault="00B22FD0">
            <w:pPr>
              <w:widowControl/>
              <w:spacing w:line="220" w:lineRule="atLeast"/>
              <w:jc w:val="left"/>
              <w:rPr>
                <w:rFonts w:ascii="Times New Roman" w:eastAsia="等线" w:hAnsi="Times New Roman"/>
                <w:color w:val="000000"/>
                <w:kern w:val="0"/>
                <w:szCs w:val="21"/>
              </w:rPr>
            </w:pPr>
            <w:r>
              <w:rPr>
                <w:rFonts w:ascii="Times New Roman" w:eastAsia="等线" w:hAnsi="Times New Roman" w:hint="eastAsia"/>
                <w:color w:val="000000"/>
                <w:kern w:val="0"/>
                <w:szCs w:val="21"/>
              </w:rPr>
              <w:t>rabbit polyclonal</w:t>
            </w:r>
          </w:p>
        </w:tc>
        <w:tc>
          <w:tcPr>
            <w:tcW w:w="848" w:type="dxa"/>
            <w:tcBorders>
              <w:top w:val="nil"/>
              <w:left w:val="nil"/>
              <w:bottom w:val="nil"/>
              <w:right w:val="nil"/>
            </w:tcBorders>
            <w:shd w:val="clear" w:color="auto" w:fill="auto"/>
            <w:noWrap/>
            <w:vAlign w:val="bottom"/>
          </w:tcPr>
          <w:p w14:paraId="48374EFA" w14:textId="77777777" w:rsidR="00D86489" w:rsidRDefault="00B22FD0">
            <w:pPr>
              <w:widowControl/>
              <w:spacing w:line="220" w:lineRule="atLeast"/>
              <w:jc w:val="left"/>
              <w:rPr>
                <w:rFonts w:ascii="Times New Roman" w:eastAsia="等线" w:hAnsi="Times New Roman"/>
                <w:color w:val="000000"/>
                <w:kern w:val="0"/>
                <w:szCs w:val="21"/>
              </w:rPr>
            </w:pPr>
            <w:r>
              <w:rPr>
                <w:rFonts w:ascii="Times New Roman" w:eastAsia="等线" w:hAnsi="Times New Roman" w:hint="eastAsia"/>
                <w:color w:val="000000"/>
                <w:kern w:val="0"/>
                <w:szCs w:val="21"/>
              </w:rPr>
              <w:t>1:1000</w:t>
            </w:r>
          </w:p>
        </w:tc>
        <w:tc>
          <w:tcPr>
            <w:tcW w:w="733" w:type="dxa"/>
            <w:tcBorders>
              <w:top w:val="nil"/>
              <w:left w:val="nil"/>
              <w:bottom w:val="nil"/>
              <w:right w:val="nil"/>
            </w:tcBorders>
            <w:shd w:val="clear" w:color="auto" w:fill="auto"/>
            <w:noWrap/>
            <w:vAlign w:val="bottom"/>
          </w:tcPr>
          <w:p w14:paraId="0CDDA70A" w14:textId="77777777" w:rsidR="00D86489" w:rsidRDefault="00D86489">
            <w:pPr>
              <w:widowControl/>
              <w:spacing w:line="220" w:lineRule="atLeast"/>
              <w:jc w:val="left"/>
              <w:rPr>
                <w:rFonts w:ascii="Times New Roman" w:eastAsia="等线" w:hAnsi="Times New Roman"/>
                <w:color w:val="000000"/>
                <w:kern w:val="0"/>
                <w:szCs w:val="21"/>
              </w:rPr>
            </w:pPr>
          </w:p>
        </w:tc>
        <w:tc>
          <w:tcPr>
            <w:tcW w:w="847" w:type="dxa"/>
            <w:tcBorders>
              <w:top w:val="nil"/>
              <w:left w:val="nil"/>
              <w:bottom w:val="nil"/>
              <w:right w:val="nil"/>
            </w:tcBorders>
            <w:shd w:val="clear" w:color="auto" w:fill="auto"/>
            <w:noWrap/>
            <w:vAlign w:val="bottom"/>
          </w:tcPr>
          <w:p w14:paraId="2E5DD26C" w14:textId="77777777" w:rsidR="00D86489" w:rsidRDefault="00D86489">
            <w:pPr>
              <w:widowControl/>
              <w:spacing w:line="220" w:lineRule="atLeast"/>
              <w:jc w:val="left"/>
              <w:rPr>
                <w:rFonts w:ascii="Times New Roman" w:eastAsia="等线" w:hAnsi="Times New Roman"/>
                <w:color w:val="000000"/>
                <w:kern w:val="0"/>
                <w:szCs w:val="21"/>
              </w:rPr>
            </w:pPr>
          </w:p>
        </w:tc>
      </w:tr>
      <w:tr w:rsidR="00D86489" w14:paraId="16B8A58E" w14:textId="77777777">
        <w:trPr>
          <w:trHeight w:val="276"/>
          <w:jc w:val="center"/>
        </w:trPr>
        <w:tc>
          <w:tcPr>
            <w:tcW w:w="1668" w:type="dxa"/>
            <w:tcBorders>
              <w:top w:val="nil"/>
              <w:left w:val="nil"/>
              <w:bottom w:val="nil"/>
              <w:right w:val="nil"/>
            </w:tcBorders>
            <w:shd w:val="clear" w:color="auto" w:fill="auto"/>
            <w:noWrap/>
            <w:vAlign w:val="bottom"/>
          </w:tcPr>
          <w:p w14:paraId="1A7E15EB" w14:textId="77777777" w:rsidR="00D86489" w:rsidRDefault="00B22FD0">
            <w:pPr>
              <w:widowControl/>
              <w:spacing w:line="220" w:lineRule="atLeast"/>
              <w:jc w:val="left"/>
              <w:rPr>
                <w:rFonts w:ascii="Times New Roman" w:eastAsia="等线" w:hAnsi="Times New Roman"/>
                <w:color w:val="000000"/>
                <w:kern w:val="0"/>
                <w:szCs w:val="21"/>
              </w:rPr>
            </w:pPr>
            <w:r>
              <w:rPr>
                <w:rFonts w:ascii="Times New Roman" w:eastAsia="等线" w:hAnsi="Times New Roman" w:hint="eastAsia"/>
                <w:color w:val="000000"/>
                <w:kern w:val="0"/>
                <w:szCs w:val="21"/>
              </w:rPr>
              <w:t>SOCS3</w:t>
            </w:r>
          </w:p>
        </w:tc>
        <w:tc>
          <w:tcPr>
            <w:tcW w:w="1261" w:type="dxa"/>
            <w:tcBorders>
              <w:top w:val="nil"/>
              <w:left w:val="nil"/>
              <w:bottom w:val="nil"/>
              <w:right w:val="nil"/>
            </w:tcBorders>
            <w:shd w:val="clear" w:color="auto" w:fill="auto"/>
            <w:noWrap/>
            <w:vAlign w:val="bottom"/>
          </w:tcPr>
          <w:p w14:paraId="721B9283" w14:textId="77777777" w:rsidR="00D86489" w:rsidRDefault="00B22FD0">
            <w:pPr>
              <w:widowControl/>
              <w:spacing w:line="220" w:lineRule="atLeast"/>
              <w:jc w:val="left"/>
              <w:rPr>
                <w:rFonts w:ascii="Times New Roman" w:eastAsia="等线" w:hAnsi="Times New Roman"/>
                <w:color w:val="000000"/>
                <w:kern w:val="0"/>
                <w:szCs w:val="21"/>
              </w:rPr>
            </w:pPr>
            <w:r>
              <w:rPr>
                <w:rFonts w:ascii="Times New Roman" w:eastAsia="等线" w:hAnsi="Times New Roman" w:hint="eastAsia"/>
                <w:color w:val="000000"/>
                <w:kern w:val="0"/>
                <w:szCs w:val="21"/>
              </w:rPr>
              <w:t>proteintech</w:t>
            </w:r>
          </w:p>
        </w:tc>
        <w:tc>
          <w:tcPr>
            <w:tcW w:w="1263" w:type="dxa"/>
            <w:tcBorders>
              <w:top w:val="nil"/>
              <w:left w:val="nil"/>
              <w:bottom w:val="nil"/>
              <w:right w:val="nil"/>
            </w:tcBorders>
            <w:shd w:val="clear" w:color="auto" w:fill="auto"/>
            <w:noWrap/>
            <w:vAlign w:val="bottom"/>
          </w:tcPr>
          <w:p w14:paraId="26D0A9FF" w14:textId="77777777" w:rsidR="00D86489" w:rsidRDefault="00B22FD0">
            <w:pPr>
              <w:widowControl/>
              <w:spacing w:line="220" w:lineRule="atLeast"/>
              <w:jc w:val="left"/>
              <w:rPr>
                <w:rFonts w:ascii="Times New Roman" w:eastAsia="等线" w:hAnsi="Times New Roman"/>
                <w:color w:val="000000"/>
                <w:kern w:val="0"/>
                <w:szCs w:val="21"/>
              </w:rPr>
            </w:pPr>
            <w:r>
              <w:rPr>
                <w:rFonts w:ascii="Times New Roman" w:eastAsia="等线" w:hAnsi="Times New Roman" w:hint="eastAsia"/>
                <w:color w:val="000000"/>
                <w:kern w:val="0"/>
                <w:szCs w:val="21"/>
              </w:rPr>
              <w:t>14025-1-AP</w:t>
            </w:r>
          </w:p>
        </w:tc>
        <w:tc>
          <w:tcPr>
            <w:tcW w:w="1902" w:type="dxa"/>
            <w:tcBorders>
              <w:top w:val="nil"/>
              <w:left w:val="nil"/>
              <w:bottom w:val="nil"/>
              <w:right w:val="nil"/>
            </w:tcBorders>
            <w:shd w:val="clear" w:color="auto" w:fill="auto"/>
            <w:noWrap/>
            <w:vAlign w:val="bottom"/>
          </w:tcPr>
          <w:p w14:paraId="2E165F99" w14:textId="77777777" w:rsidR="00D86489" w:rsidRDefault="00B22FD0">
            <w:pPr>
              <w:widowControl/>
              <w:spacing w:line="220" w:lineRule="atLeast"/>
              <w:jc w:val="left"/>
              <w:rPr>
                <w:rFonts w:ascii="Times New Roman" w:eastAsia="等线" w:hAnsi="Times New Roman"/>
                <w:color w:val="000000"/>
                <w:kern w:val="0"/>
                <w:szCs w:val="21"/>
              </w:rPr>
            </w:pPr>
            <w:r>
              <w:rPr>
                <w:rFonts w:ascii="Times New Roman" w:eastAsia="等线" w:hAnsi="Times New Roman" w:hint="eastAsia"/>
                <w:color w:val="000000"/>
                <w:kern w:val="0"/>
                <w:szCs w:val="21"/>
              </w:rPr>
              <w:t>rabbit polyclonal</w:t>
            </w:r>
          </w:p>
        </w:tc>
        <w:tc>
          <w:tcPr>
            <w:tcW w:w="848" w:type="dxa"/>
            <w:tcBorders>
              <w:top w:val="nil"/>
              <w:left w:val="nil"/>
              <w:bottom w:val="nil"/>
              <w:right w:val="nil"/>
            </w:tcBorders>
            <w:shd w:val="clear" w:color="auto" w:fill="auto"/>
            <w:noWrap/>
            <w:vAlign w:val="bottom"/>
          </w:tcPr>
          <w:p w14:paraId="2B5E40C2" w14:textId="77777777" w:rsidR="00D86489" w:rsidRDefault="00B22FD0">
            <w:pPr>
              <w:widowControl/>
              <w:spacing w:line="220" w:lineRule="atLeast"/>
              <w:jc w:val="left"/>
              <w:rPr>
                <w:rFonts w:ascii="Times New Roman" w:eastAsia="等线" w:hAnsi="Times New Roman"/>
                <w:color w:val="000000"/>
                <w:kern w:val="0"/>
                <w:szCs w:val="21"/>
              </w:rPr>
            </w:pPr>
            <w:r>
              <w:rPr>
                <w:rFonts w:ascii="Times New Roman" w:eastAsia="等线" w:hAnsi="Times New Roman" w:hint="eastAsia"/>
                <w:color w:val="000000"/>
                <w:kern w:val="0"/>
                <w:szCs w:val="21"/>
              </w:rPr>
              <w:t>1:1000</w:t>
            </w:r>
          </w:p>
        </w:tc>
        <w:tc>
          <w:tcPr>
            <w:tcW w:w="733" w:type="dxa"/>
            <w:tcBorders>
              <w:top w:val="nil"/>
              <w:left w:val="nil"/>
              <w:bottom w:val="nil"/>
              <w:right w:val="nil"/>
            </w:tcBorders>
            <w:shd w:val="clear" w:color="auto" w:fill="auto"/>
            <w:noWrap/>
            <w:vAlign w:val="bottom"/>
          </w:tcPr>
          <w:p w14:paraId="59E71397" w14:textId="77777777" w:rsidR="00D86489" w:rsidRDefault="00D86489">
            <w:pPr>
              <w:widowControl/>
              <w:spacing w:line="220" w:lineRule="atLeast"/>
              <w:jc w:val="left"/>
              <w:rPr>
                <w:rFonts w:ascii="Times New Roman" w:eastAsia="等线" w:hAnsi="Times New Roman"/>
                <w:color w:val="000000"/>
                <w:kern w:val="0"/>
                <w:szCs w:val="21"/>
              </w:rPr>
            </w:pPr>
          </w:p>
        </w:tc>
        <w:tc>
          <w:tcPr>
            <w:tcW w:w="847" w:type="dxa"/>
            <w:tcBorders>
              <w:top w:val="nil"/>
              <w:left w:val="nil"/>
              <w:bottom w:val="nil"/>
              <w:right w:val="nil"/>
            </w:tcBorders>
            <w:shd w:val="clear" w:color="auto" w:fill="auto"/>
            <w:noWrap/>
            <w:vAlign w:val="bottom"/>
          </w:tcPr>
          <w:p w14:paraId="10E75BC7" w14:textId="77777777" w:rsidR="00D86489" w:rsidRDefault="00D86489">
            <w:pPr>
              <w:widowControl/>
              <w:spacing w:line="220" w:lineRule="atLeast"/>
              <w:jc w:val="left"/>
              <w:rPr>
                <w:rFonts w:ascii="Times New Roman" w:eastAsia="等线" w:hAnsi="Times New Roman"/>
                <w:color w:val="000000"/>
                <w:kern w:val="0"/>
                <w:szCs w:val="21"/>
              </w:rPr>
            </w:pPr>
          </w:p>
        </w:tc>
      </w:tr>
      <w:tr w:rsidR="00D86489" w14:paraId="5A6F7EE7" w14:textId="77777777">
        <w:trPr>
          <w:trHeight w:val="276"/>
          <w:jc w:val="center"/>
        </w:trPr>
        <w:tc>
          <w:tcPr>
            <w:tcW w:w="1668" w:type="dxa"/>
            <w:tcBorders>
              <w:top w:val="nil"/>
              <w:left w:val="nil"/>
              <w:bottom w:val="nil"/>
              <w:right w:val="nil"/>
            </w:tcBorders>
            <w:shd w:val="clear" w:color="auto" w:fill="auto"/>
            <w:noWrap/>
            <w:vAlign w:val="bottom"/>
          </w:tcPr>
          <w:p w14:paraId="44B3FE45" w14:textId="77777777" w:rsidR="00D86489" w:rsidRDefault="00B22FD0">
            <w:pPr>
              <w:widowControl/>
              <w:spacing w:line="220" w:lineRule="atLeast"/>
              <w:jc w:val="left"/>
              <w:rPr>
                <w:rFonts w:ascii="Times New Roman" w:eastAsia="等线" w:hAnsi="Times New Roman"/>
                <w:color w:val="000000"/>
                <w:kern w:val="0"/>
                <w:szCs w:val="21"/>
              </w:rPr>
            </w:pPr>
            <w:r>
              <w:rPr>
                <w:rFonts w:ascii="Times New Roman" w:eastAsia="等线" w:hAnsi="Times New Roman" w:hint="eastAsia"/>
                <w:color w:val="000000"/>
                <w:kern w:val="0"/>
                <w:szCs w:val="21"/>
              </w:rPr>
              <w:lastRenderedPageBreak/>
              <w:t>STAT1</w:t>
            </w:r>
          </w:p>
        </w:tc>
        <w:tc>
          <w:tcPr>
            <w:tcW w:w="1261" w:type="dxa"/>
            <w:tcBorders>
              <w:top w:val="nil"/>
              <w:left w:val="nil"/>
              <w:bottom w:val="nil"/>
              <w:right w:val="nil"/>
            </w:tcBorders>
            <w:shd w:val="clear" w:color="auto" w:fill="auto"/>
            <w:noWrap/>
            <w:vAlign w:val="bottom"/>
          </w:tcPr>
          <w:p w14:paraId="482E740F" w14:textId="77777777" w:rsidR="00D86489" w:rsidRDefault="00B22FD0">
            <w:pPr>
              <w:widowControl/>
              <w:spacing w:line="220" w:lineRule="atLeast"/>
              <w:jc w:val="left"/>
              <w:rPr>
                <w:rFonts w:ascii="Times New Roman" w:eastAsia="等线" w:hAnsi="Times New Roman"/>
                <w:color w:val="000000"/>
                <w:kern w:val="0"/>
                <w:szCs w:val="21"/>
              </w:rPr>
            </w:pPr>
            <w:r>
              <w:rPr>
                <w:rFonts w:ascii="Times New Roman" w:eastAsia="等线" w:hAnsi="Times New Roman" w:hint="eastAsia"/>
                <w:color w:val="000000"/>
                <w:kern w:val="0"/>
                <w:szCs w:val="21"/>
              </w:rPr>
              <w:t>CST</w:t>
            </w:r>
          </w:p>
        </w:tc>
        <w:tc>
          <w:tcPr>
            <w:tcW w:w="1263" w:type="dxa"/>
            <w:tcBorders>
              <w:top w:val="nil"/>
              <w:left w:val="nil"/>
              <w:bottom w:val="nil"/>
              <w:right w:val="nil"/>
            </w:tcBorders>
            <w:shd w:val="clear" w:color="auto" w:fill="auto"/>
            <w:noWrap/>
            <w:vAlign w:val="bottom"/>
          </w:tcPr>
          <w:p w14:paraId="392738DE" w14:textId="77777777" w:rsidR="00D86489" w:rsidRDefault="00B22FD0">
            <w:pPr>
              <w:widowControl/>
              <w:spacing w:line="220" w:lineRule="atLeast"/>
              <w:jc w:val="left"/>
              <w:rPr>
                <w:rFonts w:ascii="Times New Roman" w:eastAsia="等线" w:hAnsi="Times New Roman"/>
                <w:color w:val="000000"/>
                <w:kern w:val="0"/>
                <w:szCs w:val="21"/>
              </w:rPr>
            </w:pPr>
            <w:r>
              <w:rPr>
                <w:rFonts w:ascii="Times New Roman" w:eastAsia="等线" w:hAnsi="Times New Roman" w:hint="eastAsia"/>
                <w:color w:val="000000"/>
                <w:kern w:val="0"/>
                <w:szCs w:val="21"/>
              </w:rPr>
              <w:t>14994</w:t>
            </w:r>
          </w:p>
        </w:tc>
        <w:tc>
          <w:tcPr>
            <w:tcW w:w="1902" w:type="dxa"/>
            <w:tcBorders>
              <w:top w:val="nil"/>
              <w:left w:val="nil"/>
              <w:bottom w:val="nil"/>
              <w:right w:val="nil"/>
            </w:tcBorders>
            <w:shd w:val="clear" w:color="auto" w:fill="auto"/>
            <w:noWrap/>
            <w:vAlign w:val="bottom"/>
          </w:tcPr>
          <w:p w14:paraId="30BD7930" w14:textId="77777777" w:rsidR="00D86489" w:rsidRDefault="00B22FD0">
            <w:pPr>
              <w:widowControl/>
              <w:spacing w:line="220" w:lineRule="atLeast"/>
              <w:jc w:val="left"/>
              <w:rPr>
                <w:rFonts w:ascii="Times New Roman" w:eastAsia="等线" w:hAnsi="Times New Roman"/>
                <w:color w:val="000000"/>
                <w:kern w:val="0"/>
                <w:szCs w:val="21"/>
              </w:rPr>
            </w:pPr>
            <w:r>
              <w:rPr>
                <w:rFonts w:ascii="Times New Roman" w:eastAsia="等线" w:hAnsi="Times New Roman" w:hint="eastAsia"/>
                <w:color w:val="000000"/>
                <w:kern w:val="0"/>
                <w:szCs w:val="21"/>
              </w:rPr>
              <w:t>rabbit monoclonal</w:t>
            </w:r>
          </w:p>
        </w:tc>
        <w:tc>
          <w:tcPr>
            <w:tcW w:w="848" w:type="dxa"/>
            <w:tcBorders>
              <w:top w:val="nil"/>
              <w:left w:val="nil"/>
              <w:bottom w:val="nil"/>
              <w:right w:val="nil"/>
            </w:tcBorders>
            <w:shd w:val="clear" w:color="auto" w:fill="auto"/>
            <w:noWrap/>
            <w:vAlign w:val="bottom"/>
          </w:tcPr>
          <w:p w14:paraId="6FDEE66C" w14:textId="77777777" w:rsidR="00D86489" w:rsidRDefault="00B22FD0">
            <w:pPr>
              <w:widowControl/>
              <w:spacing w:line="220" w:lineRule="atLeast"/>
              <w:jc w:val="left"/>
              <w:rPr>
                <w:rFonts w:ascii="Times New Roman" w:eastAsia="等线" w:hAnsi="Times New Roman"/>
                <w:color w:val="000000"/>
                <w:kern w:val="0"/>
                <w:szCs w:val="21"/>
              </w:rPr>
            </w:pPr>
            <w:r>
              <w:rPr>
                <w:rFonts w:ascii="Times New Roman" w:eastAsia="等线" w:hAnsi="Times New Roman" w:hint="eastAsia"/>
                <w:color w:val="000000"/>
                <w:kern w:val="0"/>
                <w:szCs w:val="21"/>
              </w:rPr>
              <w:t>1:1000</w:t>
            </w:r>
          </w:p>
        </w:tc>
        <w:tc>
          <w:tcPr>
            <w:tcW w:w="733" w:type="dxa"/>
            <w:tcBorders>
              <w:top w:val="nil"/>
              <w:left w:val="nil"/>
              <w:bottom w:val="nil"/>
              <w:right w:val="nil"/>
            </w:tcBorders>
            <w:shd w:val="clear" w:color="auto" w:fill="auto"/>
            <w:noWrap/>
            <w:vAlign w:val="bottom"/>
          </w:tcPr>
          <w:p w14:paraId="553AC215" w14:textId="77777777" w:rsidR="00D86489" w:rsidRDefault="00B22FD0">
            <w:pPr>
              <w:widowControl/>
              <w:spacing w:line="220" w:lineRule="atLeast"/>
              <w:jc w:val="left"/>
              <w:rPr>
                <w:rFonts w:ascii="Times New Roman" w:eastAsia="等线" w:hAnsi="Times New Roman"/>
                <w:color w:val="000000"/>
                <w:kern w:val="0"/>
                <w:szCs w:val="21"/>
              </w:rPr>
            </w:pPr>
            <w:r>
              <w:rPr>
                <w:rFonts w:ascii="Times New Roman" w:eastAsia="等线" w:hAnsi="Times New Roman" w:hint="eastAsia"/>
                <w:color w:val="000000"/>
                <w:kern w:val="0"/>
                <w:szCs w:val="21"/>
              </w:rPr>
              <w:t>1:500</w:t>
            </w:r>
          </w:p>
        </w:tc>
        <w:tc>
          <w:tcPr>
            <w:tcW w:w="847" w:type="dxa"/>
            <w:tcBorders>
              <w:top w:val="nil"/>
              <w:left w:val="nil"/>
              <w:bottom w:val="nil"/>
              <w:right w:val="nil"/>
            </w:tcBorders>
            <w:shd w:val="clear" w:color="auto" w:fill="auto"/>
            <w:noWrap/>
            <w:vAlign w:val="bottom"/>
          </w:tcPr>
          <w:p w14:paraId="4A347B6A" w14:textId="77777777" w:rsidR="00D86489" w:rsidRDefault="00D86489">
            <w:pPr>
              <w:widowControl/>
              <w:spacing w:line="220" w:lineRule="atLeast"/>
              <w:jc w:val="left"/>
              <w:rPr>
                <w:rFonts w:ascii="Times New Roman" w:eastAsia="等线" w:hAnsi="Times New Roman"/>
                <w:color w:val="000000"/>
                <w:kern w:val="0"/>
                <w:szCs w:val="21"/>
              </w:rPr>
            </w:pPr>
          </w:p>
        </w:tc>
      </w:tr>
      <w:tr w:rsidR="00D86489" w14:paraId="0FC6C2D9" w14:textId="77777777">
        <w:trPr>
          <w:trHeight w:val="276"/>
          <w:jc w:val="center"/>
        </w:trPr>
        <w:tc>
          <w:tcPr>
            <w:tcW w:w="1668" w:type="dxa"/>
            <w:tcBorders>
              <w:top w:val="nil"/>
              <w:left w:val="nil"/>
              <w:bottom w:val="nil"/>
              <w:right w:val="nil"/>
            </w:tcBorders>
            <w:shd w:val="clear" w:color="auto" w:fill="auto"/>
            <w:noWrap/>
            <w:vAlign w:val="bottom"/>
          </w:tcPr>
          <w:p w14:paraId="02644541" w14:textId="77777777" w:rsidR="00D86489" w:rsidRDefault="00B22FD0">
            <w:pPr>
              <w:widowControl/>
              <w:spacing w:line="220" w:lineRule="atLeast"/>
              <w:jc w:val="left"/>
              <w:rPr>
                <w:rFonts w:ascii="Times New Roman" w:eastAsia="等线" w:hAnsi="Times New Roman"/>
                <w:color w:val="000000"/>
                <w:kern w:val="0"/>
                <w:szCs w:val="21"/>
              </w:rPr>
            </w:pPr>
            <w:r>
              <w:rPr>
                <w:rFonts w:ascii="Times New Roman" w:eastAsia="等线" w:hAnsi="Times New Roman" w:hint="eastAsia"/>
                <w:color w:val="000000"/>
                <w:kern w:val="0"/>
                <w:szCs w:val="21"/>
              </w:rPr>
              <w:t>P-STAT1(Tyr701)</w:t>
            </w:r>
          </w:p>
        </w:tc>
        <w:tc>
          <w:tcPr>
            <w:tcW w:w="1261" w:type="dxa"/>
            <w:tcBorders>
              <w:top w:val="nil"/>
              <w:left w:val="nil"/>
              <w:bottom w:val="nil"/>
              <w:right w:val="nil"/>
            </w:tcBorders>
            <w:shd w:val="clear" w:color="auto" w:fill="auto"/>
            <w:noWrap/>
            <w:vAlign w:val="bottom"/>
          </w:tcPr>
          <w:p w14:paraId="5BC18037" w14:textId="77777777" w:rsidR="00D86489" w:rsidRDefault="00B22FD0">
            <w:pPr>
              <w:widowControl/>
              <w:spacing w:line="220" w:lineRule="atLeast"/>
              <w:jc w:val="left"/>
              <w:rPr>
                <w:rFonts w:ascii="Times New Roman" w:eastAsia="等线" w:hAnsi="Times New Roman"/>
                <w:color w:val="000000"/>
                <w:kern w:val="0"/>
                <w:szCs w:val="21"/>
              </w:rPr>
            </w:pPr>
            <w:r>
              <w:rPr>
                <w:rFonts w:ascii="Times New Roman" w:eastAsia="等线" w:hAnsi="Times New Roman" w:hint="eastAsia"/>
                <w:color w:val="000000"/>
                <w:kern w:val="0"/>
                <w:szCs w:val="21"/>
              </w:rPr>
              <w:t>CST</w:t>
            </w:r>
          </w:p>
        </w:tc>
        <w:tc>
          <w:tcPr>
            <w:tcW w:w="1263" w:type="dxa"/>
            <w:tcBorders>
              <w:top w:val="nil"/>
              <w:left w:val="nil"/>
              <w:bottom w:val="nil"/>
              <w:right w:val="nil"/>
            </w:tcBorders>
            <w:shd w:val="clear" w:color="auto" w:fill="auto"/>
            <w:noWrap/>
            <w:vAlign w:val="bottom"/>
          </w:tcPr>
          <w:p w14:paraId="2960A144" w14:textId="77777777" w:rsidR="00D86489" w:rsidRDefault="00B22FD0">
            <w:pPr>
              <w:widowControl/>
              <w:spacing w:line="220" w:lineRule="atLeast"/>
              <w:jc w:val="left"/>
              <w:rPr>
                <w:rFonts w:ascii="Times New Roman" w:eastAsia="等线" w:hAnsi="Times New Roman"/>
                <w:color w:val="000000"/>
                <w:kern w:val="0"/>
                <w:szCs w:val="21"/>
              </w:rPr>
            </w:pPr>
            <w:r>
              <w:rPr>
                <w:rFonts w:ascii="Times New Roman" w:eastAsia="等线" w:hAnsi="Times New Roman" w:hint="eastAsia"/>
                <w:color w:val="000000"/>
                <w:kern w:val="0"/>
                <w:szCs w:val="21"/>
              </w:rPr>
              <w:t>9167</w:t>
            </w:r>
          </w:p>
        </w:tc>
        <w:tc>
          <w:tcPr>
            <w:tcW w:w="1902" w:type="dxa"/>
            <w:tcBorders>
              <w:top w:val="nil"/>
              <w:left w:val="nil"/>
              <w:bottom w:val="nil"/>
              <w:right w:val="nil"/>
            </w:tcBorders>
            <w:shd w:val="clear" w:color="auto" w:fill="auto"/>
            <w:noWrap/>
            <w:vAlign w:val="bottom"/>
          </w:tcPr>
          <w:p w14:paraId="7B176BAA" w14:textId="77777777" w:rsidR="00D86489" w:rsidRDefault="00B22FD0">
            <w:pPr>
              <w:widowControl/>
              <w:spacing w:line="220" w:lineRule="atLeast"/>
              <w:jc w:val="left"/>
              <w:rPr>
                <w:rFonts w:ascii="Times New Roman" w:eastAsia="等线" w:hAnsi="Times New Roman"/>
                <w:color w:val="000000"/>
                <w:kern w:val="0"/>
                <w:szCs w:val="21"/>
              </w:rPr>
            </w:pPr>
            <w:r>
              <w:rPr>
                <w:rFonts w:ascii="Times New Roman" w:eastAsia="等线" w:hAnsi="Times New Roman" w:hint="eastAsia"/>
                <w:color w:val="000000"/>
                <w:kern w:val="0"/>
                <w:szCs w:val="21"/>
              </w:rPr>
              <w:t>rabbit monoclonal</w:t>
            </w:r>
          </w:p>
        </w:tc>
        <w:tc>
          <w:tcPr>
            <w:tcW w:w="848" w:type="dxa"/>
            <w:tcBorders>
              <w:top w:val="nil"/>
              <w:left w:val="nil"/>
              <w:bottom w:val="nil"/>
              <w:right w:val="nil"/>
            </w:tcBorders>
            <w:shd w:val="clear" w:color="auto" w:fill="auto"/>
            <w:noWrap/>
            <w:vAlign w:val="bottom"/>
          </w:tcPr>
          <w:p w14:paraId="4C8A6147" w14:textId="77777777" w:rsidR="00D86489" w:rsidRDefault="00B22FD0">
            <w:pPr>
              <w:widowControl/>
              <w:spacing w:line="220" w:lineRule="atLeast"/>
              <w:jc w:val="left"/>
              <w:rPr>
                <w:rFonts w:ascii="Times New Roman" w:eastAsia="等线" w:hAnsi="Times New Roman"/>
                <w:color w:val="000000"/>
                <w:kern w:val="0"/>
                <w:szCs w:val="21"/>
              </w:rPr>
            </w:pPr>
            <w:r>
              <w:rPr>
                <w:rFonts w:ascii="Times New Roman" w:eastAsia="等线" w:hAnsi="Times New Roman" w:hint="eastAsia"/>
                <w:color w:val="000000"/>
                <w:kern w:val="0"/>
                <w:szCs w:val="21"/>
              </w:rPr>
              <w:t>1:1000</w:t>
            </w:r>
          </w:p>
        </w:tc>
        <w:tc>
          <w:tcPr>
            <w:tcW w:w="733" w:type="dxa"/>
            <w:tcBorders>
              <w:top w:val="nil"/>
              <w:left w:val="nil"/>
              <w:bottom w:val="nil"/>
              <w:right w:val="nil"/>
            </w:tcBorders>
            <w:shd w:val="clear" w:color="auto" w:fill="auto"/>
            <w:noWrap/>
            <w:vAlign w:val="bottom"/>
          </w:tcPr>
          <w:p w14:paraId="73C2B8D5" w14:textId="77777777" w:rsidR="00D86489" w:rsidRDefault="00D86489">
            <w:pPr>
              <w:widowControl/>
              <w:spacing w:line="220" w:lineRule="atLeast"/>
              <w:jc w:val="left"/>
              <w:rPr>
                <w:rFonts w:ascii="Times New Roman" w:eastAsia="等线" w:hAnsi="Times New Roman"/>
                <w:color w:val="000000"/>
                <w:kern w:val="0"/>
                <w:szCs w:val="21"/>
              </w:rPr>
            </w:pPr>
          </w:p>
        </w:tc>
        <w:tc>
          <w:tcPr>
            <w:tcW w:w="847" w:type="dxa"/>
            <w:tcBorders>
              <w:top w:val="nil"/>
              <w:left w:val="nil"/>
              <w:bottom w:val="nil"/>
              <w:right w:val="nil"/>
            </w:tcBorders>
            <w:shd w:val="clear" w:color="auto" w:fill="auto"/>
            <w:noWrap/>
            <w:vAlign w:val="bottom"/>
          </w:tcPr>
          <w:p w14:paraId="1039ADA1" w14:textId="77777777" w:rsidR="00D86489" w:rsidRDefault="00D86489">
            <w:pPr>
              <w:widowControl/>
              <w:spacing w:line="220" w:lineRule="atLeast"/>
              <w:jc w:val="left"/>
              <w:rPr>
                <w:rFonts w:ascii="Times New Roman" w:eastAsia="等线" w:hAnsi="Times New Roman"/>
                <w:color w:val="000000"/>
                <w:kern w:val="0"/>
                <w:szCs w:val="21"/>
              </w:rPr>
            </w:pPr>
          </w:p>
        </w:tc>
      </w:tr>
      <w:tr w:rsidR="00D86489" w14:paraId="50C310BB" w14:textId="77777777">
        <w:trPr>
          <w:trHeight w:val="276"/>
          <w:jc w:val="center"/>
        </w:trPr>
        <w:tc>
          <w:tcPr>
            <w:tcW w:w="1668" w:type="dxa"/>
            <w:tcBorders>
              <w:top w:val="nil"/>
              <w:left w:val="nil"/>
              <w:bottom w:val="nil"/>
              <w:right w:val="nil"/>
            </w:tcBorders>
            <w:shd w:val="clear" w:color="auto" w:fill="auto"/>
            <w:noWrap/>
            <w:vAlign w:val="bottom"/>
          </w:tcPr>
          <w:p w14:paraId="572DABA3" w14:textId="77777777" w:rsidR="00D86489" w:rsidRDefault="00B22FD0">
            <w:pPr>
              <w:widowControl/>
              <w:spacing w:line="220" w:lineRule="atLeast"/>
              <w:jc w:val="left"/>
              <w:rPr>
                <w:rFonts w:ascii="Times New Roman" w:eastAsia="等线" w:hAnsi="Times New Roman"/>
                <w:color w:val="000000"/>
                <w:kern w:val="0"/>
                <w:szCs w:val="21"/>
              </w:rPr>
            </w:pPr>
            <w:r>
              <w:rPr>
                <w:rFonts w:ascii="Times New Roman" w:eastAsia="等线" w:hAnsi="Times New Roman" w:hint="eastAsia"/>
                <w:color w:val="000000"/>
                <w:kern w:val="0"/>
                <w:szCs w:val="21"/>
              </w:rPr>
              <w:t>BAFF</w:t>
            </w:r>
          </w:p>
        </w:tc>
        <w:tc>
          <w:tcPr>
            <w:tcW w:w="1261" w:type="dxa"/>
            <w:tcBorders>
              <w:top w:val="nil"/>
              <w:left w:val="nil"/>
              <w:bottom w:val="nil"/>
              <w:right w:val="nil"/>
            </w:tcBorders>
            <w:shd w:val="clear" w:color="auto" w:fill="auto"/>
            <w:noWrap/>
            <w:vAlign w:val="bottom"/>
          </w:tcPr>
          <w:p w14:paraId="0E1E7DE2" w14:textId="77777777" w:rsidR="00D86489" w:rsidRDefault="00B22FD0">
            <w:pPr>
              <w:widowControl/>
              <w:spacing w:line="220" w:lineRule="atLeast"/>
              <w:jc w:val="left"/>
              <w:rPr>
                <w:rFonts w:ascii="Times New Roman" w:eastAsia="等线" w:hAnsi="Times New Roman"/>
                <w:color w:val="000000"/>
                <w:kern w:val="0"/>
                <w:szCs w:val="21"/>
              </w:rPr>
            </w:pPr>
            <w:r>
              <w:rPr>
                <w:rFonts w:ascii="Times New Roman" w:eastAsia="等线" w:hAnsi="Times New Roman"/>
                <w:color w:val="000000"/>
                <w:kern w:val="0"/>
                <w:szCs w:val="21"/>
              </w:rPr>
              <w:t>R&amp;D</w:t>
            </w:r>
          </w:p>
        </w:tc>
        <w:tc>
          <w:tcPr>
            <w:tcW w:w="1263" w:type="dxa"/>
            <w:tcBorders>
              <w:top w:val="nil"/>
              <w:left w:val="nil"/>
              <w:bottom w:val="nil"/>
              <w:right w:val="nil"/>
            </w:tcBorders>
            <w:shd w:val="clear" w:color="auto" w:fill="auto"/>
            <w:noWrap/>
            <w:vAlign w:val="bottom"/>
          </w:tcPr>
          <w:p w14:paraId="42D00FA2" w14:textId="77777777" w:rsidR="00D86489" w:rsidRDefault="00B22FD0">
            <w:pPr>
              <w:widowControl/>
              <w:spacing w:line="220" w:lineRule="atLeast"/>
              <w:jc w:val="left"/>
              <w:rPr>
                <w:rFonts w:ascii="Times New Roman" w:eastAsia="等线" w:hAnsi="Times New Roman"/>
                <w:color w:val="000000"/>
                <w:kern w:val="0"/>
                <w:szCs w:val="21"/>
              </w:rPr>
            </w:pPr>
            <w:r>
              <w:rPr>
                <w:rFonts w:ascii="Times New Roman" w:eastAsia="等线" w:hAnsi="Times New Roman" w:hint="eastAsia"/>
                <w:color w:val="000000"/>
                <w:kern w:val="0"/>
                <w:szCs w:val="21"/>
              </w:rPr>
              <w:t>MAB1357</w:t>
            </w:r>
          </w:p>
        </w:tc>
        <w:tc>
          <w:tcPr>
            <w:tcW w:w="1902" w:type="dxa"/>
            <w:tcBorders>
              <w:top w:val="nil"/>
              <w:left w:val="nil"/>
              <w:bottom w:val="nil"/>
              <w:right w:val="nil"/>
            </w:tcBorders>
            <w:shd w:val="clear" w:color="auto" w:fill="auto"/>
            <w:noWrap/>
            <w:vAlign w:val="bottom"/>
          </w:tcPr>
          <w:p w14:paraId="42F48D19" w14:textId="77777777" w:rsidR="00D86489" w:rsidRDefault="00B22FD0">
            <w:pPr>
              <w:widowControl/>
              <w:spacing w:line="220" w:lineRule="atLeast"/>
              <w:jc w:val="left"/>
              <w:rPr>
                <w:rFonts w:ascii="Times New Roman" w:eastAsia="等线" w:hAnsi="Times New Roman"/>
                <w:color w:val="000000"/>
                <w:kern w:val="0"/>
                <w:szCs w:val="21"/>
              </w:rPr>
            </w:pPr>
            <w:r>
              <w:rPr>
                <w:rFonts w:ascii="Times New Roman" w:eastAsia="等线" w:hAnsi="Times New Roman" w:hint="eastAsia"/>
                <w:color w:val="000000"/>
                <w:kern w:val="0"/>
                <w:szCs w:val="21"/>
              </w:rPr>
              <w:t>rat monoclonal</w:t>
            </w:r>
          </w:p>
        </w:tc>
        <w:tc>
          <w:tcPr>
            <w:tcW w:w="848" w:type="dxa"/>
            <w:tcBorders>
              <w:top w:val="nil"/>
              <w:left w:val="nil"/>
              <w:bottom w:val="nil"/>
              <w:right w:val="nil"/>
            </w:tcBorders>
            <w:shd w:val="clear" w:color="auto" w:fill="auto"/>
            <w:noWrap/>
            <w:vAlign w:val="bottom"/>
          </w:tcPr>
          <w:p w14:paraId="3AD5CA5B" w14:textId="77777777" w:rsidR="00D86489" w:rsidRDefault="00B22FD0">
            <w:pPr>
              <w:widowControl/>
              <w:spacing w:line="220" w:lineRule="atLeast"/>
              <w:jc w:val="left"/>
              <w:rPr>
                <w:rFonts w:ascii="Times New Roman" w:eastAsia="等线" w:hAnsi="Times New Roman"/>
                <w:color w:val="000000"/>
                <w:kern w:val="0"/>
                <w:szCs w:val="21"/>
              </w:rPr>
            </w:pPr>
            <w:r>
              <w:rPr>
                <w:rFonts w:ascii="Times New Roman" w:eastAsia="等线" w:hAnsi="Times New Roman" w:hint="eastAsia"/>
                <w:color w:val="000000"/>
                <w:kern w:val="0"/>
                <w:szCs w:val="21"/>
              </w:rPr>
              <w:t>1:1000</w:t>
            </w:r>
          </w:p>
        </w:tc>
        <w:tc>
          <w:tcPr>
            <w:tcW w:w="733" w:type="dxa"/>
            <w:tcBorders>
              <w:top w:val="nil"/>
              <w:left w:val="nil"/>
              <w:bottom w:val="nil"/>
              <w:right w:val="nil"/>
            </w:tcBorders>
            <w:shd w:val="clear" w:color="auto" w:fill="auto"/>
            <w:noWrap/>
            <w:vAlign w:val="bottom"/>
          </w:tcPr>
          <w:p w14:paraId="36C0C978" w14:textId="77777777" w:rsidR="00D86489" w:rsidRDefault="00D86489">
            <w:pPr>
              <w:widowControl/>
              <w:spacing w:line="220" w:lineRule="atLeast"/>
              <w:jc w:val="left"/>
              <w:rPr>
                <w:rFonts w:ascii="Times New Roman" w:eastAsia="等线" w:hAnsi="Times New Roman"/>
                <w:color w:val="000000"/>
                <w:kern w:val="0"/>
                <w:szCs w:val="21"/>
              </w:rPr>
            </w:pPr>
          </w:p>
        </w:tc>
        <w:tc>
          <w:tcPr>
            <w:tcW w:w="847" w:type="dxa"/>
            <w:tcBorders>
              <w:top w:val="nil"/>
              <w:left w:val="nil"/>
              <w:bottom w:val="nil"/>
              <w:right w:val="nil"/>
            </w:tcBorders>
            <w:shd w:val="clear" w:color="auto" w:fill="auto"/>
            <w:noWrap/>
            <w:vAlign w:val="bottom"/>
          </w:tcPr>
          <w:p w14:paraId="1CFDD437" w14:textId="77777777" w:rsidR="00D86489" w:rsidRDefault="00D86489">
            <w:pPr>
              <w:widowControl/>
              <w:spacing w:line="220" w:lineRule="atLeast"/>
              <w:jc w:val="left"/>
              <w:rPr>
                <w:rFonts w:ascii="Times New Roman" w:eastAsia="等线" w:hAnsi="Times New Roman"/>
                <w:color w:val="000000"/>
                <w:kern w:val="0"/>
                <w:szCs w:val="21"/>
              </w:rPr>
            </w:pPr>
          </w:p>
        </w:tc>
      </w:tr>
      <w:tr w:rsidR="00D86489" w14:paraId="5C85996A" w14:textId="77777777">
        <w:trPr>
          <w:trHeight w:val="276"/>
          <w:jc w:val="center"/>
        </w:trPr>
        <w:tc>
          <w:tcPr>
            <w:tcW w:w="1668" w:type="dxa"/>
            <w:tcBorders>
              <w:top w:val="nil"/>
              <w:left w:val="nil"/>
              <w:bottom w:val="nil"/>
              <w:right w:val="nil"/>
            </w:tcBorders>
            <w:shd w:val="clear" w:color="auto" w:fill="auto"/>
            <w:noWrap/>
            <w:vAlign w:val="bottom"/>
          </w:tcPr>
          <w:p w14:paraId="6665AC19" w14:textId="77777777" w:rsidR="00D86489" w:rsidRDefault="00B22FD0">
            <w:pPr>
              <w:widowControl/>
              <w:spacing w:line="220" w:lineRule="atLeast"/>
              <w:jc w:val="left"/>
              <w:rPr>
                <w:rFonts w:ascii="Times New Roman" w:eastAsia="等线" w:hAnsi="Times New Roman"/>
                <w:color w:val="000000"/>
                <w:kern w:val="0"/>
                <w:szCs w:val="21"/>
              </w:rPr>
            </w:pPr>
            <w:r>
              <w:rPr>
                <w:rFonts w:ascii="Times New Roman" w:eastAsia="等线" w:hAnsi="Times New Roman" w:hint="eastAsia"/>
                <w:color w:val="000000"/>
                <w:kern w:val="0"/>
                <w:szCs w:val="21"/>
              </w:rPr>
              <w:t>MAP2</w:t>
            </w:r>
          </w:p>
        </w:tc>
        <w:tc>
          <w:tcPr>
            <w:tcW w:w="1261" w:type="dxa"/>
            <w:tcBorders>
              <w:top w:val="nil"/>
              <w:left w:val="nil"/>
              <w:bottom w:val="nil"/>
              <w:right w:val="nil"/>
            </w:tcBorders>
            <w:shd w:val="clear" w:color="auto" w:fill="auto"/>
            <w:noWrap/>
            <w:vAlign w:val="bottom"/>
          </w:tcPr>
          <w:p w14:paraId="658836F0" w14:textId="77777777" w:rsidR="00D86489" w:rsidRDefault="00B22FD0">
            <w:pPr>
              <w:widowControl/>
              <w:spacing w:line="220" w:lineRule="atLeast"/>
              <w:jc w:val="left"/>
              <w:rPr>
                <w:rFonts w:ascii="Times New Roman" w:eastAsia="等线" w:hAnsi="Times New Roman"/>
                <w:color w:val="000000"/>
                <w:kern w:val="0"/>
                <w:szCs w:val="21"/>
              </w:rPr>
            </w:pPr>
            <w:r>
              <w:rPr>
                <w:rFonts w:ascii="Times New Roman" w:eastAsia="等线" w:hAnsi="Times New Roman"/>
                <w:color w:val="000000"/>
                <w:kern w:val="0"/>
                <w:szCs w:val="21"/>
              </w:rPr>
              <w:t>millipore</w:t>
            </w:r>
          </w:p>
        </w:tc>
        <w:tc>
          <w:tcPr>
            <w:tcW w:w="1263" w:type="dxa"/>
            <w:tcBorders>
              <w:top w:val="nil"/>
              <w:left w:val="nil"/>
              <w:bottom w:val="nil"/>
              <w:right w:val="nil"/>
            </w:tcBorders>
            <w:shd w:val="clear" w:color="auto" w:fill="auto"/>
            <w:noWrap/>
            <w:vAlign w:val="bottom"/>
          </w:tcPr>
          <w:p w14:paraId="35B078B1" w14:textId="77777777" w:rsidR="00D86489" w:rsidRDefault="00B22FD0">
            <w:pPr>
              <w:widowControl/>
              <w:spacing w:line="220" w:lineRule="atLeast"/>
              <w:jc w:val="left"/>
              <w:rPr>
                <w:rFonts w:ascii="Times New Roman" w:eastAsia="等线" w:hAnsi="Times New Roman"/>
                <w:color w:val="000000"/>
                <w:kern w:val="0"/>
                <w:szCs w:val="21"/>
              </w:rPr>
            </w:pPr>
            <w:r>
              <w:rPr>
                <w:rFonts w:ascii="Times New Roman" w:eastAsia="等线" w:hAnsi="Times New Roman" w:hint="eastAsia"/>
                <w:color w:val="000000"/>
                <w:kern w:val="0"/>
                <w:szCs w:val="21"/>
              </w:rPr>
              <w:t>AB5622</w:t>
            </w:r>
          </w:p>
        </w:tc>
        <w:tc>
          <w:tcPr>
            <w:tcW w:w="1902" w:type="dxa"/>
            <w:tcBorders>
              <w:top w:val="nil"/>
              <w:left w:val="nil"/>
              <w:bottom w:val="nil"/>
              <w:right w:val="nil"/>
            </w:tcBorders>
            <w:shd w:val="clear" w:color="auto" w:fill="auto"/>
            <w:noWrap/>
            <w:vAlign w:val="bottom"/>
          </w:tcPr>
          <w:p w14:paraId="4E130088" w14:textId="77777777" w:rsidR="00D86489" w:rsidRDefault="00B22FD0">
            <w:pPr>
              <w:widowControl/>
              <w:spacing w:line="220" w:lineRule="atLeast"/>
              <w:jc w:val="left"/>
              <w:rPr>
                <w:rFonts w:ascii="Times New Roman" w:eastAsia="等线" w:hAnsi="Times New Roman"/>
                <w:color w:val="000000"/>
                <w:kern w:val="0"/>
                <w:szCs w:val="21"/>
              </w:rPr>
            </w:pPr>
            <w:r>
              <w:rPr>
                <w:rFonts w:ascii="Times New Roman" w:eastAsia="等线" w:hAnsi="Times New Roman" w:hint="eastAsia"/>
                <w:color w:val="000000"/>
                <w:kern w:val="0"/>
                <w:szCs w:val="21"/>
              </w:rPr>
              <w:t>rabbit polyclonal</w:t>
            </w:r>
          </w:p>
        </w:tc>
        <w:tc>
          <w:tcPr>
            <w:tcW w:w="848" w:type="dxa"/>
            <w:tcBorders>
              <w:top w:val="nil"/>
              <w:left w:val="nil"/>
              <w:bottom w:val="nil"/>
              <w:right w:val="nil"/>
            </w:tcBorders>
            <w:shd w:val="clear" w:color="auto" w:fill="auto"/>
            <w:noWrap/>
            <w:vAlign w:val="bottom"/>
          </w:tcPr>
          <w:p w14:paraId="4A084044" w14:textId="77777777" w:rsidR="00D86489" w:rsidRDefault="00B22FD0">
            <w:pPr>
              <w:widowControl/>
              <w:spacing w:line="220" w:lineRule="atLeast"/>
              <w:jc w:val="left"/>
              <w:rPr>
                <w:rFonts w:ascii="Times New Roman" w:eastAsia="等线" w:hAnsi="Times New Roman"/>
                <w:color w:val="000000"/>
                <w:kern w:val="0"/>
                <w:szCs w:val="21"/>
              </w:rPr>
            </w:pPr>
            <w:r>
              <w:rPr>
                <w:rFonts w:ascii="Times New Roman" w:eastAsia="等线" w:hAnsi="Times New Roman" w:hint="eastAsia"/>
                <w:color w:val="000000"/>
                <w:kern w:val="0"/>
                <w:szCs w:val="21"/>
              </w:rPr>
              <w:t>1:1000</w:t>
            </w:r>
          </w:p>
        </w:tc>
        <w:tc>
          <w:tcPr>
            <w:tcW w:w="733" w:type="dxa"/>
            <w:tcBorders>
              <w:top w:val="nil"/>
              <w:left w:val="nil"/>
              <w:bottom w:val="nil"/>
              <w:right w:val="nil"/>
            </w:tcBorders>
            <w:shd w:val="clear" w:color="auto" w:fill="auto"/>
            <w:noWrap/>
            <w:vAlign w:val="bottom"/>
          </w:tcPr>
          <w:p w14:paraId="399648E5" w14:textId="77777777" w:rsidR="00D86489" w:rsidRDefault="00D86489">
            <w:pPr>
              <w:widowControl/>
              <w:spacing w:line="220" w:lineRule="atLeast"/>
              <w:jc w:val="left"/>
              <w:rPr>
                <w:rFonts w:ascii="Times New Roman" w:eastAsia="等线" w:hAnsi="Times New Roman"/>
                <w:color w:val="000000"/>
                <w:kern w:val="0"/>
                <w:szCs w:val="21"/>
              </w:rPr>
            </w:pPr>
          </w:p>
        </w:tc>
        <w:tc>
          <w:tcPr>
            <w:tcW w:w="847" w:type="dxa"/>
            <w:tcBorders>
              <w:top w:val="nil"/>
              <w:left w:val="nil"/>
              <w:bottom w:val="nil"/>
              <w:right w:val="nil"/>
            </w:tcBorders>
            <w:shd w:val="clear" w:color="auto" w:fill="auto"/>
            <w:noWrap/>
            <w:vAlign w:val="bottom"/>
          </w:tcPr>
          <w:p w14:paraId="55774B03" w14:textId="77777777" w:rsidR="00D86489" w:rsidRDefault="00D86489">
            <w:pPr>
              <w:widowControl/>
              <w:spacing w:line="220" w:lineRule="atLeast"/>
              <w:jc w:val="left"/>
              <w:rPr>
                <w:rFonts w:ascii="Times New Roman" w:eastAsia="等线" w:hAnsi="Times New Roman"/>
                <w:color w:val="000000"/>
                <w:kern w:val="0"/>
                <w:szCs w:val="21"/>
              </w:rPr>
            </w:pPr>
          </w:p>
        </w:tc>
      </w:tr>
      <w:tr w:rsidR="00D86489" w14:paraId="652828B6" w14:textId="77777777" w:rsidTr="00924221">
        <w:trPr>
          <w:trHeight w:val="276"/>
          <w:jc w:val="center"/>
        </w:trPr>
        <w:tc>
          <w:tcPr>
            <w:tcW w:w="1668" w:type="dxa"/>
            <w:tcBorders>
              <w:top w:val="nil"/>
              <w:left w:val="nil"/>
              <w:bottom w:val="nil"/>
              <w:right w:val="nil"/>
            </w:tcBorders>
            <w:shd w:val="clear" w:color="auto" w:fill="auto"/>
            <w:noWrap/>
            <w:vAlign w:val="bottom"/>
          </w:tcPr>
          <w:p w14:paraId="0C5B63DC" w14:textId="77777777" w:rsidR="00D86489" w:rsidRDefault="00B22FD0">
            <w:pPr>
              <w:widowControl/>
              <w:spacing w:line="220" w:lineRule="atLeast"/>
              <w:jc w:val="left"/>
              <w:rPr>
                <w:rFonts w:ascii="Times New Roman" w:eastAsia="等线" w:hAnsi="Times New Roman"/>
                <w:color w:val="000000"/>
                <w:kern w:val="0"/>
                <w:szCs w:val="21"/>
              </w:rPr>
            </w:pPr>
            <w:r>
              <w:rPr>
                <w:rFonts w:ascii="Times New Roman" w:eastAsia="等线" w:hAnsi="Times New Roman" w:hint="eastAsia"/>
                <w:color w:val="000000"/>
                <w:kern w:val="0"/>
                <w:szCs w:val="21"/>
              </w:rPr>
              <w:t>MBP</w:t>
            </w:r>
          </w:p>
        </w:tc>
        <w:tc>
          <w:tcPr>
            <w:tcW w:w="1261" w:type="dxa"/>
            <w:tcBorders>
              <w:top w:val="nil"/>
              <w:left w:val="nil"/>
              <w:bottom w:val="nil"/>
              <w:right w:val="nil"/>
            </w:tcBorders>
            <w:shd w:val="clear" w:color="auto" w:fill="auto"/>
            <w:noWrap/>
            <w:vAlign w:val="bottom"/>
          </w:tcPr>
          <w:p w14:paraId="29129510" w14:textId="77777777" w:rsidR="00D86489" w:rsidRDefault="00B22FD0">
            <w:pPr>
              <w:widowControl/>
              <w:spacing w:line="220" w:lineRule="atLeast"/>
              <w:jc w:val="left"/>
              <w:rPr>
                <w:rFonts w:ascii="Times New Roman" w:eastAsia="等线" w:hAnsi="Times New Roman"/>
                <w:color w:val="000000"/>
                <w:kern w:val="0"/>
                <w:szCs w:val="21"/>
              </w:rPr>
            </w:pPr>
            <w:r>
              <w:rPr>
                <w:rFonts w:ascii="Times New Roman" w:eastAsia="等线" w:hAnsi="Times New Roman"/>
                <w:color w:val="000000"/>
                <w:kern w:val="0"/>
                <w:szCs w:val="21"/>
              </w:rPr>
              <w:t>abcam</w:t>
            </w:r>
          </w:p>
        </w:tc>
        <w:tc>
          <w:tcPr>
            <w:tcW w:w="1263" w:type="dxa"/>
            <w:tcBorders>
              <w:top w:val="nil"/>
              <w:left w:val="nil"/>
              <w:bottom w:val="nil"/>
              <w:right w:val="nil"/>
            </w:tcBorders>
            <w:shd w:val="clear" w:color="auto" w:fill="auto"/>
            <w:noWrap/>
            <w:vAlign w:val="bottom"/>
          </w:tcPr>
          <w:p w14:paraId="48ED4BBF" w14:textId="77777777" w:rsidR="00D86489" w:rsidRDefault="00B22FD0">
            <w:pPr>
              <w:widowControl/>
              <w:spacing w:line="220" w:lineRule="atLeast"/>
              <w:jc w:val="left"/>
              <w:rPr>
                <w:rFonts w:ascii="Times New Roman" w:eastAsia="等线" w:hAnsi="Times New Roman"/>
                <w:color w:val="000000"/>
                <w:kern w:val="0"/>
                <w:szCs w:val="21"/>
              </w:rPr>
            </w:pPr>
            <w:r>
              <w:rPr>
                <w:rFonts w:ascii="Times New Roman" w:eastAsia="等线" w:hAnsi="Times New Roman"/>
                <w:color w:val="000000"/>
                <w:kern w:val="0"/>
                <w:szCs w:val="21"/>
              </w:rPr>
              <w:t>ab7349</w:t>
            </w:r>
          </w:p>
        </w:tc>
        <w:tc>
          <w:tcPr>
            <w:tcW w:w="1902" w:type="dxa"/>
            <w:tcBorders>
              <w:top w:val="nil"/>
              <w:left w:val="nil"/>
              <w:bottom w:val="nil"/>
              <w:right w:val="nil"/>
            </w:tcBorders>
            <w:shd w:val="clear" w:color="auto" w:fill="auto"/>
            <w:noWrap/>
            <w:vAlign w:val="bottom"/>
          </w:tcPr>
          <w:p w14:paraId="527FBC6C" w14:textId="77777777" w:rsidR="00D86489" w:rsidRDefault="00B22FD0">
            <w:pPr>
              <w:widowControl/>
              <w:spacing w:line="220" w:lineRule="atLeast"/>
              <w:jc w:val="left"/>
              <w:rPr>
                <w:rFonts w:ascii="Times New Roman" w:eastAsia="等线" w:hAnsi="Times New Roman"/>
                <w:color w:val="000000"/>
                <w:kern w:val="0"/>
                <w:szCs w:val="21"/>
              </w:rPr>
            </w:pPr>
            <w:r>
              <w:rPr>
                <w:rFonts w:ascii="Times New Roman" w:eastAsia="等线" w:hAnsi="Times New Roman" w:hint="eastAsia"/>
                <w:color w:val="000000"/>
                <w:kern w:val="0"/>
                <w:szCs w:val="21"/>
              </w:rPr>
              <w:t>r</w:t>
            </w:r>
            <w:r>
              <w:rPr>
                <w:rFonts w:ascii="Times New Roman" w:eastAsia="等线" w:hAnsi="Times New Roman"/>
                <w:color w:val="000000"/>
                <w:kern w:val="0"/>
                <w:szCs w:val="21"/>
              </w:rPr>
              <w:t xml:space="preserve">at </w:t>
            </w:r>
            <w:r>
              <w:rPr>
                <w:rFonts w:ascii="Times New Roman" w:eastAsia="等线" w:hAnsi="Times New Roman" w:hint="eastAsia"/>
                <w:color w:val="000000"/>
                <w:kern w:val="0"/>
                <w:szCs w:val="21"/>
              </w:rPr>
              <w:t>m</w:t>
            </w:r>
            <w:r>
              <w:rPr>
                <w:rFonts w:ascii="Times New Roman" w:eastAsia="等线" w:hAnsi="Times New Roman"/>
                <w:color w:val="000000"/>
                <w:kern w:val="0"/>
                <w:szCs w:val="21"/>
              </w:rPr>
              <w:t>onoclonal</w:t>
            </w:r>
          </w:p>
        </w:tc>
        <w:tc>
          <w:tcPr>
            <w:tcW w:w="848" w:type="dxa"/>
            <w:tcBorders>
              <w:top w:val="nil"/>
              <w:left w:val="nil"/>
              <w:bottom w:val="nil"/>
              <w:right w:val="nil"/>
            </w:tcBorders>
            <w:shd w:val="clear" w:color="auto" w:fill="auto"/>
            <w:noWrap/>
            <w:vAlign w:val="bottom"/>
          </w:tcPr>
          <w:p w14:paraId="096C5381" w14:textId="77777777" w:rsidR="00D86489" w:rsidRDefault="00B22FD0">
            <w:pPr>
              <w:widowControl/>
              <w:spacing w:line="220" w:lineRule="atLeast"/>
              <w:jc w:val="left"/>
              <w:rPr>
                <w:rFonts w:ascii="Times New Roman" w:eastAsia="等线" w:hAnsi="Times New Roman"/>
                <w:color w:val="000000"/>
                <w:kern w:val="0"/>
                <w:szCs w:val="21"/>
              </w:rPr>
            </w:pPr>
            <w:r>
              <w:rPr>
                <w:rFonts w:ascii="Times New Roman" w:eastAsia="等线" w:hAnsi="Times New Roman"/>
                <w:color w:val="000000"/>
                <w:kern w:val="0"/>
                <w:szCs w:val="21"/>
              </w:rPr>
              <w:t>1:1000</w:t>
            </w:r>
          </w:p>
        </w:tc>
        <w:tc>
          <w:tcPr>
            <w:tcW w:w="733" w:type="dxa"/>
            <w:tcBorders>
              <w:top w:val="nil"/>
              <w:left w:val="nil"/>
              <w:bottom w:val="nil"/>
              <w:right w:val="nil"/>
            </w:tcBorders>
            <w:shd w:val="clear" w:color="auto" w:fill="auto"/>
            <w:noWrap/>
            <w:vAlign w:val="bottom"/>
          </w:tcPr>
          <w:p w14:paraId="1BCC2E4B" w14:textId="77777777" w:rsidR="00D86489" w:rsidRDefault="00D86489">
            <w:pPr>
              <w:widowControl/>
              <w:spacing w:line="220" w:lineRule="atLeast"/>
              <w:jc w:val="left"/>
              <w:rPr>
                <w:rFonts w:ascii="Times New Roman" w:eastAsia="等线" w:hAnsi="Times New Roman"/>
                <w:color w:val="000000"/>
                <w:kern w:val="0"/>
                <w:szCs w:val="21"/>
              </w:rPr>
            </w:pPr>
          </w:p>
        </w:tc>
        <w:tc>
          <w:tcPr>
            <w:tcW w:w="847" w:type="dxa"/>
            <w:tcBorders>
              <w:top w:val="nil"/>
              <w:left w:val="nil"/>
              <w:bottom w:val="nil"/>
              <w:right w:val="nil"/>
            </w:tcBorders>
            <w:shd w:val="clear" w:color="auto" w:fill="auto"/>
            <w:noWrap/>
            <w:vAlign w:val="bottom"/>
          </w:tcPr>
          <w:p w14:paraId="0318B018" w14:textId="77777777" w:rsidR="00D86489" w:rsidRDefault="00D86489">
            <w:pPr>
              <w:widowControl/>
              <w:spacing w:line="220" w:lineRule="atLeast"/>
              <w:jc w:val="left"/>
              <w:rPr>
                <w:rFonts w:ascii="Times New Roman" w:eastAsia="等线" w:hAnsi="Times New Roman"/>
                <w:color w:val="000000"/>
                <w:kern w:val="0"/>
                <w:szCs w:val="21"/>
              </w:rPr>
            </w:pPr>
          </w:p>
        </w:tc>
      </w:tr>
      <w:tr w:rsidR="00775E05" w14:paraId="560DDBDA" w14:textId="77777777" w:rsidTr="00924221">
        <w:trPr>
          <w:trHeight w:val="276"/>
          <w:jc w:val="center"/>
        </w:trPr>
        <w:tc>
          <w:tcPr>
            <w:tcW w:w="1668" w:type="dxa"/>
            <w:tcBorders>
              <w:top w:val="nil"/>
              <w:left w:val="nil"/>
              <w:bottom w:val="nil"/>
              <w:right w:val="nil"/>
            </w:tcBorders>
            <w:shd w:val="clear" w:color="auto" w:fill="auto"/>
            <w:noWrap/>
            <w:vAlign w:val="bottom"/>
          </w:tcPr>
          <w:p w14:paraId="50AEBD76" w14:textId="77777777" w:rsidR="00775E05" w:rsidRDefault="00775E05">
            <w:pPr>
              <w:widowControl/>
              <w:spacing w:line="220" w:lineRule="atLeast"/>
              <w:jc w:val="left"/>
              <w:rPr>
                <w:rFonts w:ascii="Times New Roman" w:eastAsia="等线" w:hAnsi="Times New Roman"/>
                <w:color w:val="000000"/>
                <w:kern w:val="0"/>
                <w:szCs w:val="21"/>
              </w:rPr>
            </w:pPr>
            <w:r>
              <w:rPr>
                <w:rFonts w:ascii="Times New Roman" w:eastAsia="等线" w:hAnsi="Times New Roman" w:hint="eastAsia"/>
                <w:color w:val="000000"/>
                <w:kern w:val="0"/>
                <w:szCs w:val="21"/>
              </w:rPr>
              <w:t>IL-1</w:t>
            </w:r>
            <w:r>
              <w:rPr>
                <w:rFonts w:ascii="Times New Roman" w:eastAsia="等线" w:hAnsi="Times New Roman"/>
                <w:color w:val="000000"/>
                <w:kern w:val="0"/>
                <w:szCs w:val="21"/>
              </w:rPr>
              <w:t>β</w:t>
            </w:r>
          </w:p>
        </w:tc>
        <w:tc>
          <w:tcPr>
            <w:tcW w:w="1261" w:type="dxa"/>
            <w:tcBorders>
              <w:top w:val="nil"/>
              <w:left w:val="nil"/>
              <w:bottom w:val="nil"/>
              <w:right w:val="nil"/>
            </w:tcBorders>
            <w:shd w:val="clear" w:color="auto" w:fill="auto"/>
            <w:noWrap/>
            <w:vAlign w:val="bottom"/>
          </w:tcPr>
          <w:p w14:paraId="5AA74590" w14:textId="77777777" w:rsidR="00775E05" w:rsidRDefault="008508B5">
            <w:pPr>
              <w:widowControl/>
              <w:spacing w:line="220" w:lineRule="atLeast"/>
              <w:jc w:val="left"/>
              <w:rPr>
                <w:rFonts w:ascii="Times New Roman" w:eastAsia="等线" w:hAnsi="Times New Roman"/>
                <w:color w:val="000000"/>
                <w:kern w:val="0"/>
                <w:szCs w:val="21"/>
              </w:rPr>
            </w:pPr>
            <w:r w:rsidRPr="008508B5">
              <w:rPr>
                <w:rFonts w:ascii="Times New Roman" w:eastAsia="等线" w:hAnsi="Times New Roman"/>
                <w:color w:val="000000"/>
                <w:kern w:val="0"/>
                <w:szCs w:val="21"/>
              </w:rPr>
              <w:t>Millipore</w:t>
            </w:r>
          </w:p>
        </w:tc>
        <w:tc>
          <w:tcPr>
            <w:tcW w:w="1263" w:type="dxa"/>
            <w:tcBorders>
              <w:top w:val="nil"/>
              <w:left w:val="nil"/>
              <w:bottom w:val="nil"/>
              <w:right w:val="nil"/>
            </w:tcBorders>
            <w:shd w:val="clear" w:color="auto" w:fill="auto"/>
            <w:noWrap/>
            <w:vAlign w:val="bottom"/>
          </w:tcPr>
          <w:p w14:paraId="5E247C27" w14:textId="77777777" w:rsidR="00775E05" w:rsidRDefault="008508B5">
            <w:pPr>
              <w:widowControl/>
              <w:spacing w:line="220" w:lineRule="atLeast"/>
              <w:jc w:val="left"/>
              <w:rPr>
                <w:rFonts w:ascii="Times New Roman" w:eastAsia="等线" w:hAnsi="Times New Roman"/>
                <w:color w:val="000000"/>
                <w:kern w:val="0"/>
                <w:szCs w:val="21"/>
              </w:rPr>
            </w:pPr>
            <w:r w:rsidRPr="008508B5">
              <w:rPr>
                <w:rFonts w:ascii="Times New Roman" w:eastAsia="等线" w:hAnsi="Times New Roman"/>
                <w:color w:val="000000"/>
                <w:kern w:val="0"/>
                <w:szCs w:val="21"/>
              </w:rPr>
              <w:t>AB1832P</w:t>
            </w:r>
          </w:p>
        </w:tc>
        <w:tc>
          <w:tcPr>
            <w:tcW w:w="1902" w:type="dxa"/>
            <w:tcBorders>
              <w:top w:val="nil"/>
              <w:left w:val="nil"/>
              <w:bottom w:val="nil"/>
              <w:right w:val="nil"/>
            </w:tcBorders>
            <w:shd w:val="clear" w:color="auto" w:fill="auto"/>
            <w:noWrap/>
            <w:vAlign w:val="bottom"/>
          </w:tcPr>
          <w:p w14:paraId="38BBD203" w14:textId="77777777" w:rsidR="00775E05" w:rsidRDefault="008508B5">
            <w:pPr>
              <w:widowControl/>
              <w:spacing w:line="220" w:lineRule="atLeast"/>
              <w:jc w:val="left"/>
              <w:rPr>
                <w:rFonts w:ascii="Times New Roman" w:eastAsia="等线" w:hAnsi="Times New Roman"/>
                <w:color w:val="000000"/>
                <w:kern w:val="0"/>
                <w:szCs w:val="21"/>
              </w:rPr>
            </w:pPr>
            <w:r>
              <w:rPr>
                <w:rFonts w:ascii="Times New Roman" w:eastAsia="等线" w:hAnsi="Times New Roman" w:hint="eastAsia"/>
                <w:color w:val="000000"/>
                <w:kern w:val="0"/>
                <w:szCs w:val="21"/>
              </w:rPr>
              <w:t>rabbit polyclonal</w:t>
            </w:r>
          </w:p>
        </w:tc>
        <w:tc>
          <w:tcPr>
            <w:tcW w:w="848" w:type="dxa"/>
            <w:tcBorders>
              <w:top w:val="nil"/>
              <w:left w:val="nil"/>
              <w:bottom w:val="nil"/>
              <w:right w:val="nil"/>
            </w:tcBorders>
            <w:shd w:val="clear" w:color="auto" w:fill="auto"/>
            <w:noWrap/>
            <w:vAlign w:val="bottom"/>
          </w:tcPr>
          <w:p w14:paraId="1874A1DF" w14:textId="77777777" w:rsidR="00775E05" w:rsidRDefault="008508B5">
            <w:pPr>
              <w:widowControl/>
              <w:spacing w:line="220" w:lineRule="atLeast"/>
              <w:jc w:val="left"/>
              <w:rPr>
                <w:rFonts w:ascii="Times New Roman" w:eastAsia="等线" w:hAnsi="Times New Roman"/>
                <w:color w:val="000000"/>
                <w:kern w:val="0"/>
                <w:szCs w:val="21"/>
              </w:rPr>
            </w:pPr>
            <w:r>
              <w:rPr>
                <w:rFonts w:ascii="Times New Roman" w:eastAsia="等线" w:hAnsi="Times New Roman"/>
                <w:color w:val="000000"/>
                <w:kern w:val="0"/>
                <w:szCs w:val="21"/>
              </w:rPr>
              <w:t>1:1000</w:t>
            </w:r>
          </w:p>
        </w:tc>
        <w:tc>
          <w:tcPr>
            <w:tcW w:w="733" w:type="dxa"/>
            <w:tcBorders>
              <w:top w:val="nil"/>
              <w:left w:val="nil"/>
              <w:bottom w:val="nil"/>
              <w:right w:val="nil"/>
            </w:tcBorders>
            <w:shd w:val="clear" w:color="auto" w:fill="auto"/>
            <w:noWrap/>
            <w:vAlign w:val="bottom"/>
          </w:tcPr>
          <w:p w14:paraId="4D72A740" w14:textId="77777777" w:rsidR="00775E05" w:rsidRDefault="00775E05">
            <w:pPr>
              <w:widowControl/>
              <w:spacing w:line="220" w:lineRule="atLeast"/>
              <w:jc w:val="left"/>
              <w:rPr>
                <w:rFonts w:ascii="Times New Roman" w:eastAsia="等线" w:hAnsi="Times New Roman"/>
                <w:color w:val="000000"/>
                <w:kern w:val="0"/>
                <w:szCs w:val="21"/>
              </w:rPr>
            </w:pPr>
          </w:p>
        </w:tc>
        <w:tc>
          <w:tcPr>
            <w:tcW w:w="847" w:type="dxa"/>
            <w:tcBorders>
              <w:top w:val="nil"/>
              <w:left w:val="nil"/>
              <w:bottom w:val="nil"/>
              <w:right w:val="nil"/>
            </w:tcBorders>
            <w:shd w:val="clear" w:color="auto" w:fill="auto"/>
            <w:noWrap/>
            <w:vAlign w:val="bottom"/>
          </w:tcPr>
          <w:p w14:paraId="428727C7" w14:textId="77777777" w:rsidR="00775E05" w:rsidRDefault="00775E05">
            <w:pPr>
              <w:widowControl/>
              <w:spacing w:line="220" w:lineRule="atLeast"/>
              <w:jc w:val="left"/>
              <w:rPr>
                <w:rFonts w:ascii="Times New Roman" w:eastAsia="等线" w:hAnsi="Times New Roman"/>
                <w:color w:val="000000"/>
                <w:kern w:val="0"/>
                <w:szCs w:val="21"/>
              </w:rPr>
            </w:pPr>
          </w:p>
        </w:tc>
      </w:tr>
      <w:tr w:rsidR="00775E05" w14:paraId="28932571" w14:textId="77777777" w:rsidTr="00924221">
        <w:trPr>
          <w:trHeight w:val="276"/>
          <w:jc w:val="center"/>
        </w:trPr>
        <w:tc>
          <w:tcPr>
            <w:tcW w:w="1668" w:type="dxa"/>
            <w:tcBorders>
              <w:top w:val="nil"/>
              <w:left w:val="nil"/>
              <w:bottom w:val="nil"/>
              <w:right w:val="nil"/>
            </w:tcBorders>
            <w:shd w:val="clear" w:color="auto" w:fill="auto"/>
            <w:noWrap/>
            <w:vAlign w:val="bottom"/>
          </w:tcPr>
          <w:p w14:paraId="6CB81CE0" w14:textId="77777777" w:rsidR="00775E05" w:rsidRDefault="00775E05">
            <w:pPr>
              <w:widowControl/>
              <w:spacing w:line="220" w:lineRule="atLeast"/>
              <w:jc w:val="left"/>
              <w:rPr>
                <w:rFonts w:ascii="Times New Roman" w:eastAsia="等线" w:hAnsi="Times New Roman"/>
                <w:color w:val="000000"/>
                <w:kern w:val="0"/>
                <w:szCs w:val="21"/>
              </w:rPr>
            </w:pPr>
            <w:r>
              <w:rPr>
                <w:rFonts w:ascii="Times New Roman" w:eastAsia="等线" w:hAnsi="Times New Roman" w:hint="eastAsia"/>
                <w:color w:val="000000"/>
                <w:kern w:val="0"/>
                <w:szCs w:val="21"/>
              </w:rPr>
              <w:t>IL-6</w:t>
            </w:r>
          </w:p>
        </w:tc>
        <w:tc>
          <w:tcPr>
            <w:tcW w:w="1261" w:type="dxa"/>
            <w:tcBorders>
              <w:top w:val="nil"/>
              <w:left w:val="nil"/>
              <w:bottom w:val="nil"/>
              <w:right w:val="nil"/>
            </w:tcBorders>
            <w:shd w:val="clear" w:color="auto" w:fill="auto"/>
            <w:noWrap/>
            <w:vAlign w:val="bottom"/>
          </w:tcPr>
          <w:p w14:paraId="6E389FAE" w14:textId="77777777" w:rsidR="00775E05" w:rsidRDefault="008508B5">
            <w:pPr>
              <w:widowControl/>
              <w:spacing w:line="220" w:lineRule="atLeast"/>
              <w:jc w:val="left"/>
              <w:rPr>
                <w:rFonts w:ascii="Times New Roman" w:eastAsia="等线" w:hAnsi="Times New Roman"/>
                <w:color w:val="000000"/>
                <w:kern w:val="0"/>
                <w:szCs w:val="21"/>
              </w:rPr>
            </w:pPr>
            <w:r w:rsidRPr="008508B5">
              <w:rPr>
                <w:rFonts w:ascii="Times New Roman" w:eastAsia="等线" w:hAnsi="Times New Roman"/>
                <w:color w:val="000000"/>
                <w:kern w:val="0"/>
                <w:szCs w:val="21"/>
              </w:rPr>
              <w:t>Abcam</w:t>
            </w:r>
          </w:p>
        </w:tc>
        <w:tc>
          <w:tcPr>
            <w:tcW w:w="1263" w:type="dxa"/>
            <w:tcBorders>
              <w:top w:val="nil"/>
              <w:left w:val="nil"/>
              <w:bottom w:val="nil"/>
              <w:right w:val="nil"/>
            </w:tcBorders>
            <w:shd w:val="clear" w:color="auto" w:fill="auto"/>
            <w:noWrap/>
            <w:vAlign w:val="bottom"/>
          </w:tcPr>
          <w:p w14:paraId="0D52BC0B" w14:textId="77777777" w:rsidR="00775E05" w:rsidRDefault="008508B5">
            <w:pPr>
              <w:widowControl/>
              <w:spacing w:line="220" w:lineRule="atLeast"/>
              <w:jc w:val="left"/>
              <w:rPr>
                <w:rFonts w:ascii="Times New Roman" w:eastAsia="等线" w:hAnsi="Times New Roman"/>
                <w:color w:val="000000"/>
                <w:kern w:val="0"/>
                <w:szCs w:val="21"/>
              </w:rPr>
            </w:pPr>
            <w:r w:rsidRPr="008508B5">
              <w:rPr>
                <w:rFonts w:ascii="Times New Roman" w:eastAsia="等线" w:hAnsi="Times New Roman"/>
                <w:color w:val="000000"/>
                <w:kern w:val="0"/>
                <w:szCs w:val="21"/>
              </w:rPr>
              <w:t>ab83339</w:t>
            </w:r>
          </w:p>
        </w:tc>
        <w:tc>
          <w:tcPr>
            <w:tcW w:w="1902" w:type="dxa"/>
            <w:tcBorders>
              <w:top w:val="nil"/>
              <w:left w:val="nil"/>
              <w:bottom w:val="nil"/>
              <w:right w:val="nil"/>
            </w:tcBorders>
            <w:shd w:val="clear" w:color="auto" w:fill="auto"/>
            <w:noWrap/>
            <w:vAlign w:val="bottom"/>
          </w:tcPr>
          <w:p w14:paraId="3A049FC7" w14:textId="77777777" w:rsidR="00775E05" w:rsidRDefault="008508B5">
            <w:pPr>
              <w:widowControl/>
              <w:spacing w:line="220" w:lineRule="atLeast"/>
              <w:jc w:val="left"/>
              <w:rPr>
                <w:rFonts w:ascii="Times New Roman" w:eastAsia="等线" w:hAnsi="Times New Roman"/>
                <w:color w:val="000000"/>
                <w:kern w:val="0"/>
                <w:szCs w:val="21"/>
              </w:rPr>
            </w:pPr>
            <w:r>
              <w:rPr>
                <w:rFonts w:ascii="Times New Roman" w:eastAsia="等线" w:hAnsi="Times New Roman" w:hint="eastAsia"/>
                <w:color w:val="000000"/>
                <w:kern w:val="0"/>
                <w:szCs w:val="21"/>
              </w:rPr>
              <w:t>rabbit polyclonal</w:t>
            </w:r>
          </w:p>
        </w:tc>
        <w:tc>
          <w:tcPr>
            <w:tcW w:w="848" w:type="dxa"/>
            <w:tcBorders>
              <w:top w:val="nil"/>
              <w:left w:val="nil"/>
              <w:bottom w:val="nil"/>
              <w:right w:val="nil"/>
            </w:tcBorders>
            <w:shd w:val="clear" w:color="auto" w:fill="auto"/>
            <w:noWrap/>
            <w:vAlign w:val="bottom"/>
          </w:tcPr>
          <w:p w14:paraId="5E726E75" w14:textId="77777777" w:rsidR="00775E05" w:rsidRDefault="008508B5">
            <w:pPr>
              <w:widowControl/>
              <w:spacing w:line="220" w:lineRule="atLeast"/>
              <w:jc w:val="left"/>
              <w:rPr>
                <w:rFonts w:ascii="Times New Roman" w:eastAsia="等线" w:hAnsi="Times New Roman"/>
                <w:color w:val="000000"/>
                <w:kern w:val="0"/>
                <w:szCs w:val="21"/>
              </w:rPr>
            </w:pPr>
            <w:r>
              <w:rPr>
                <w:rFonts w:ascii="Times New Roman" w:eastAsia="等线" w:hAnsi="Times New Roman"/>
                <w:color w:val="000000"/>
                <w:kern w:val="0"/>
                <w:szCs w:val="21"/>
              </w:rPr>
              <w:t>1:1000</w:t>
            </w:r>
          </w:p>
        </w:tc>
        <w:tc>
          <w:tcPr>
            <w:tcW w:w="733" w:type="dxa"/>
            <w:tcBorders>
              <w:top w:val="nil"/>
              <w:left w:val="nil"/>
              <w:bottom w:val="nil"/>
              <w:right w:val="nil"/>
            </w:tcBorders>
            <w:shd w:val="clear" w:color="auto" w:fill="auto"/>
            <w:noWrap/>
            <w:vAlign w:val="bottom"/>
          </w:tcPr>
          <w:p w14:paraId="67045E2F" w14:textId="77777777" w:rsidR="00775E05" w:rsidRDefault="00775E05">
            <w:pPr>
              <w:widowControl/>
              <w:spacing w:line="220" w:lineRule="atLeast"/>
              <w:jc w:val="left"/>
              <w:rPr>
                <w:rFonts w:ascii="Times New Roman" w:eastAsia="等线" w:hAnsi="Times New Roman"/>
                <w:color w:val="000000"/>
                <w:kern w:val="0"/>
                <w:szCs w:val="21"/>
              </w:rPr>
            </w:pPr>
          </w:p>
        </w:tc>
        <w:tc>
          <w:tcPr>
            <w:tcW w:w="847" w:type="dxa"/>
            <w:tcBorders>
              <w:top w:val="nil"/>
              <w:left w:val="nil"/>
              <w:bottom w:val="nil"/>
              <w:right w:val="nil"/>
            </w:tcBorders>
            <w:shd w:val="clear" w:color="auto" w:fill="auto"/>
            <w:noWrap/>
            <w:vAlign w:val="bottom"/>
          </w:tcPr>
          <w:p w14:paraId="2D9E2F8E" w14:textId="77777777" w:rsidR="00775E05" w:rsidRDefault="00775E05">
            <w:pPr>
              <w:widowControl/>
              <w:spacing w:line="220" w:lineRule="atLeast"/>
              <w:jc w:val="left"/>
              <w:rPr>
                <w:rFonts w:ascii="Times New Roman" w:eastAsia="等线" w:hAnsi="Times New Roman"/>
                <w:color w:val="000000"/>
                <w:kern w:val="0"/>
                <w:szCs w:val="21"/>
              </w:rPr>
            </w:pPr>
          </w:p>
        </w:tc>
      </w:tr>
      <w:tr w:rsidR="00775E05" w14:paraId="0B2C2D6A" w14:textId="77777777" w:rsidTr="00924221">
        <w:trPr>
          <w:trHeight w:val="276"/>
          <w:jc w:val="center"/>
        </w:trPr>
        <w:tc>
          <w:tcPr>
            <w:tcW w:w="1668" w:type="dxa"/>
            <w:tcBorders>
              <w:top w:val="nil"/>
              <w:left w:val="nil"/>
              <w:bottom w:val="nil"/>
              <w:right w:val="nil"/>
            </w:tcBorders>
            <w:shd w:val="clear" w:color="auto" w:fill="auto"/>
            <w:noWrap/>
            <w:vAlign w:val="bottom"/>
          </w:tcPr>
          <w:p w14:paraId="30102523" w14:textId="77777777" w:rsidR="00775E05" w:rsidRDefault="00775E05">
            <w:pPr>
              <w:widowControl/>
              <w:spacing w:line="220" w:lineRule="atLeast"/>
              <w:jc w:val="left"/>
              <w:rPr>
                <w:rFonts w:ascii="Times New Roman" w:eastAsia="等线" w:hAnsi="Times New Roman"/>
                <w:color w:val="000000"/>
                <w:kern w:val="0"/>
                <w:szCs w:val="21"/>
              </w:rPr>
            </w:pPr>
            <w:r>
              <w:rPr>
                <w:rFonts w:ascii="Times New Roman" w:eastAsia="等线" w:hAnsi="Times New Roman" w:hint="eastAsia"/>
                <w:color w:val="000000"/>
                <w:kern w:val="0"/>
                <w:szCs w:val="21"/>
              </w:rPr>
              <w:t>TNF-</w:t>
            </w:r>
            <w:r>
              <w:rPr>
                <w:rFonts w:ascii="Times New Roman" w:eastAsia="等线" w:hAnsi="Times New Roman" w:hint="eastAsia"/>
                <w:color w:val="000000"/>
                <w:kern w:val="0"/>
                <w:szCs w:val="21"/>
              </w:rPr>
              <w:sym w:font="Symbol" w:char="F061"/>
            </w:r>
          </w:p>
        </w:tc>
        <w:tc>
          <w:tcPr>
            <w:tcW w:w="1261" w:type="dxa"/>
            <w:tcBorders>
              <w:top w:val="nil"/>
              <w:left w:val="nil"/>
              <w:bottom w:val="nil"/>
              <w:right w:val="nil"/>
            </w:tcBorders>
            <w:shd w:val="clear" w:color="auto" w:fill="auto"/>
            <w:noWrap/>
            <w:vAlign w:val="bottom"/>
          </w:tcPr>
          <w:p w14:paraId="766D7552" w14:textId="77777777" w:rsidR="00775E05" w:rsidRDefault="008508B5">
            <w:pPr>
              <w:widowControl/>
              <w:spacing w:line="220" w:lineRule="atLeast"/>
              <w:jc w:val="left"/>
              <w:rPr>
                <w:rFonts w:ascii="Times New Roman" w:eastAsia="等线" w:hAnsi="Times New Roman"/>
                <w:color w:val="000000"/>
                <w:kern w:val="0"/>
                <w:szCs w:val="21"/>
              </w:rPr>
            </w:pPr>
            <w:r w:rsidRPr="008508B5">
              <w:rPr>
                <w:rFonts w:ascii="Times New Roman" w:eastAsia="等线" w:hAnsi="Times New Roman"/>
                <w:color w:val="000000"/>
                <w:kern w:val="0"/>
                <w:szCs w:val="21"/>
              </w:rPr>
              <w:t>Abcam</w:t>
            </w:r>
          </w:p>
        </w:tc>
        <w:tc>
          <w:tcPr>
            <w:tcW w:w="1263" w:type="dxa"/>
            <w:tcBorders>
              <w:top w:val="nil"/>
              <w:left w:val="nil"/>
              <w:bottom w:val="nil"/>
              <w:right w:val="nil"/>
            </w:tcBorders>
            <w:shd w:val="clear" w:color="auto" w:fill="auto"/>
            <w:noWrap/>
            <w:vAlign w:val="bottom"/>
          </w:tcPr>
          <w:p w14:paraId="603AC12D" w14:textId="77777777" w:rsidR="00775E05" w:rsidRDefault="008508B5">
            <w:pPr>
              <w:widowControl/>
              <w:spacing w:line="220" w:lineRule="atLeast"/>
              <w:jc w:val="left"/>
              <w:rPr>
                <w:rFonts w:ascii="Times New Roman" w:eastAsia="等线" w:hAnsi="Times New Roman"/>
                <w:color w:val="000000"/>
                <w:kern w:val="0"/>
                <w:szCs w:val="21"/>
              </w:rPr>
            </w:pPr>
            <w:r>
              <w:rPr>
                <w:rFonts w:ascii="Times New Roman" w:eastAsia="等线" w:hAnsi="Times New Roman" w:hint="eastAsia"/>
                <w:color w:val="000000"/>
                <w:kern w:val="0"/>
                <w:szCs w:val="21"/>
              </w:rPr>
              <w:t>a</w:t>
            </w:r>
            <w:r w:rsidRPr="008508B5">
              <w:rPr>
                <w:rFonts w:ascii="Times New Roman" w:eastAsia="等线" w:hAnsi="Times New Roman"/>
                <w:color w:val="000000"/>
                <w:kern w:val="0"/>
                <w:szCs w:val="21"/>
              </w:rPr>
              <w:t>b9739</w:t>
            </w:r>
          </w:p>
        </w:tc>
        <w:tc>
          <w:tcPr>
            <w:tcW w:w="1902" w:type="dxa"/>
            <w:tcBorders>
              <w:top w:val="nil"/>
              <w:left w:val="nil"/>
              <w:bottom w:val="nil"/>
              <w:right w:val="nil"/>
            </w:tcBorders>
            <w:shd w:val="clear" w:color="auto" w:fill="auto"/>
            <w:noWrap/>
            <w:vAlign w:val="bottom"/>
          </w:tcPr>
          <w:p w14:paraId="4911B4E3" w14:textId="77777777" w:rsidR="00775E05" w:rsidRDefault="008508B5">
            <w:pPr>
              <w:widowControl/>
              <w:spacing w:line="220" w:lineRule="atLeast"/>
              <w:jc w:val="left"/>
              <w:rPr>
                <w:rFonts w:ascii="Times New Roman" w:eastAsia="等线" w:hAnsi="Times New Roman"/>
                <w:color w:val="000000"/>
                <w:kern w:val="0"/>
                <w:szCs w:val="21"/>
              </w:rPr>
            </w:pPr>
            <w:r>
              <w:rPr>
                <w:rFonts w:ascii="Times New Roman" w:eastAsia="等线" w:hAnsi="Times New Roman" w:hint="eastAsia"/>
                <w:color w:val="000000"/>
                <w:kern w:val="0"/>
                <w:szCs w:val="21"/>
              </w:rPr>
              <w:t>rabbit polyclonal</w:t>
            </w:r>
          </w:p>
        </w:tc>
        <w:tc>
          <w:tcPr>
            <w:tcW w:w="848" w:type="dxa"/>
            <w:tcBorders>
              <w:top w:val="nil"/>
              <w:left w:val="nil"/>
              <w:bottom w:val="nil"/>
              <w:right w:val="nil"/>
            </w:tcBorders>
            <w:shd w:val="clear" w:color="auto" w:fill="auto"/>
            <w:noWrap/>
            <w:vAlign w:val="bottom"/>
          </w:tcPr>
          <w:p w14:paraId="475544A0" w14:textId="77777777" w:rsidR="00775E05" w:rsidRDefault="008508B5">
            <w:pPr>
              <w:widowControl/>
              <w:spacing w:line="220" w:lineRule="atLeast"/>
              <w:jc w:val="left"/>
              <w:rPr>
                <w:rFonts w:ascii="Times New Roman" w:eastAsia="等线" w:hAnsi="Times New Roman"/>
                <w:color w:val="000000"/>
                <w:kern w:val="0"/>
                <w:szCs w:val="21"/>
              </w:rPr>
            </w:pPr>
            <w:r>
              <w:rPr>
                <w:rFonts w:ascii="Times New Roman" w:eastAsia="等线" w:hAnsi="Times New Roman"/>
                <w:color w:val="000000"/>
                <w:kern w:val="0"/>
                <w:szCs w:val="21"/>
              </w:rPr>
              <w:t>1:1000</w:t>
            </w:r>
          </w:p>
        </w:tc>
        <w:tc>
          <w:tcPr>
            <w:tcW w:w="733" w:type="dxa"/>
            <w:tcBorders>
              <w:top w:val="nil"/>
              <w:left w:val="nil"/>
              <w:bottom w:val="nil"/>
              <w:right w:val="nil"/>
            </w:tcBorders>
            <w:shd w:val="clear" w:color="auto" w:fill="auto"/>
            <w:noWrap/>
            <w:vAlign w:val="bottom"/>
          </w:tcPr>
          <w:p w14:paraId="2D369800" w14:textId="77777777" w:rsidR="00775E05" w:rsidRDefault="00775E05">
            <w:pPr>
              <w:widowControl/>
              <w:spacing w:line="220" w:lineRule="atLeast"/>
              <w:jc w:val="left"/>
              <w:rPr>
                <w:rFonts w:ascii="Times New Roman" w:eastAsia="等线" w:hAnsi="Times New Roman"/>
                <w:color w:val="000000"/>
                <w:kern w:val="0"/>
                <w:szCs w:val="21"/>
              </w:rPr>
            </w:pPr>
          </w:p>
        </w:tc>
        <w:tc>
          <w:tcPr>
            <w:tcW w:w="847" w:type="dxa"/>
            <w:tcBorders>
              <w:top w:val="nil"/>
              <w:left w:val="nil"/>
              <w:bottom w:val="nil"/>
              <w:right w:val="nil"/>
            </w:tcBorders>
            <w:shd w:val="clear" w:color="auto" w:fill="auto"/>
            <w:noWrap/>
            <w:vAlign w:val="bottom"/>
          </w:tcPr>
          <w:p w14:paraId="227204BB" w14:textId="77777777" w:rsidR="00775E05" w:rsidRDefault="00775E05">
            <w:pPr>
              <w:widowControl/>
              <w:spacing w:line="220" w:lineRule="atLeast"/>
              <w:jc w:val="left"/>
              <w:rPr>
                <w:rFonts w:ascii="Times New Roman" w:eastAsia="等线" w:hAnsi="Times New Roman"/>
                <w:color w:val="000000"/>
                <w:kern w:val="0"/>
                <w:szCs w:val="21"/>
              </w:rPr>
            </w:pPr>
          </w:p>
        </w:tc>
      </w:tr>
      <w:tr w:rsidR="00775E05" w14:paraId="3EF13BBD" w14:textId="77777777">
        <w:trPr>
          <w:trHeight w:val="276"/>
          <w:jc w:val="center"/>
        </w:trPr>
        <w:tc>
          <w:tcPr>
            <w:tcW w:w="1668" w:type="dxa"/>
            <w:tcBorders>
              <w:top w:val="nil"/>
              <w:left w:val="nil"/>
              <w:bottom w:val="single" w:sz="4" w:space="0" w:color="auto"/>
              <w:right w:val="nil"/>
            </w:tcBorders>
            <w:shd w:val="clear" w:color="auto" w:fill="auto"/>
            <w:noWrap/>
            <w:vAlign w:val="bottom"/>
          </w:tcPr>
          <w:p w14:paraId="38D6E6D1" w14:textId="77777777" w:rsidR="00775E05" w:rsidRDefault="00775E05">
            <w:pPr>
              <w:widowControl/>
              <w:spacing w:line="220" w:lineRule="atLeast"/>
              <w:jc w:val="left"/>
              <w:rPr>
                <w:rFonts w:ascii="Times New Roman" w:eastAsia="等线" w:hAnsi="Times New Roman"/>
                <w:color w:val="000000"/>
                <w:kern w:val="0"/>
                <w:szCs w:val="21"/>
              </w:rPr>
            </w:pPr>
            <w:r>
              <w:rPr>
                <w:rFonts w:ascii="Times New Roman" w:eastAsia="等线" w:hAnsi="Times New Roman" w:hint="eastAsia"/>
                <w:color w:val="000000"/>
                <w:kern w:val="0"/>
                <w:szCs w:val="21"/>
              </w:rPr>
              <w:t>AQP4</w:t>
            </w:r>
          </w:p>
        </w:tc>
        <w:tc>
          <w:tcPr>
            <w:tcW w:w="1261" w:type="dxa"/>
            <w:tcBorders>
              <w:top w:val="nil"/>
              <w:left w:val="nil"/>
              <w:bottom w:val="single" w:sz="4" w:space="0" w:color="auto"/>
              <w:right w:val="nil"/>
            </w:tcBorders>
            <w:shd w:val="clear" w:color="auto" w:fill="auto"/>
            <w:noWrap/>
            <w:vAlign w:val="bottom"/>
          </w:tcPr>
          <w:p w14:paraId="2761B951" w14:textId="77777777" w:rsidR="00775E05" w:rsidRDefault="008508B5">
            <w:pPr>
              <w:widowControl/>
              <w:spacing w:line="220" w:lineRule="atLeast"/>
              <w:jc w:val="left"/>
              <w:rPr>
                <w:rFonts w:ascii="Times New Roman" w:eastAsia="等线" w:hAnsi="Times New Roman"/>
                <w:color w:val="000000"/>
                <w:kern w:val="0"/>
                <w:szCs w:val="21"/>
              </w:rPr>
            </w:pPr>
            <w:r w:rsidRPr="008508B5">
              <w:rPr>
                <w:rFonts w:ascii="Times New Roman" w:eastAsia="等线" w:hAnsi="Times New Roman"/>
                <w:color w:val="000000"/>
                <w:kern w:val="0"/>
                <w:szCs w:val="21"/>
              </w:rPr>
              <w:t>Millipore</w:t>
            </w:r>
          </w:p>
        </w:tc>
        <w:tc>
          <w:tcPr>
            <w:tcW w:w="1263" w:type="dxa"/>
            <w:tcBorders>
              <w:top w:val="nil"/>
              <w:left w:val="nil"/>
              <w:bottom w:val="single" w:sz="4" w:space="0" w:color="auto"/>
              <w:right w:val="nil"/>
            </w:tcBorders>
            <w:shd w:val="clear" w:color="auto" w:fill="auto"/>
            <w:noWrap/>
            <w:vAlign w:val="bottom"/>
          </w:tcPr>
          <w:p w14:paraId="6B0F26A6" w14:textId="77777777" w:rsidR="00775E05" w:rsidRDefault="008508B5">
            <w:pPr>
              <w:widowControl/>
              <w:spacing w:line="220" w:lineRule="atLeast"/>
              <w:jc w:val="left"/>
              <w:rPr>
                <w:rFonts w:ascii="Times New Roman" w:eastAsia="等线" w:hAnsi="Times New Roman"/>
                <w:color w:val="000000"/>
                <w:kern w:val="0"/>
                <w:szCs w:val="21"/>
              </w:rPr>
            </w:pPr>
            <w:r>
              <w:rPr>
                <w:rFonts w:ascii="Times New Roman" w:eastAsia="等线" w:hAnsi="Times New Roman" w:hint="eastAsia"/>
                <w:color w:val="000000"/>
                <w:kern w:val="0"/>
                <w:szCs w:val="21"/>
              </w:rPr>
              <w:t>ab3594</w:t>
            </w:r>
          </w:p>
        </w:tc>
        <w:tc>
          <w:tcPr>
            <w:tcW w:w="1902" w:type="dxa"/>
            <w:tcBorders>
              <w:top w:val="nil"/>
              <w:left w:val="nil"/>
              <w:bottom w:val="single" w:sz="4" w:space="0" w:color="auto"/>
              <w:right w:val="nil"/>
            </w:tcBorders>
            <w:shd w:val="clear" w:color="auto" w:fill="auto"/>
            <w:noWrap/>
            <w:vAlign w:val="bottom"/>
          </w:tcPr>
          <w:p w14:paraId="3F4AA06C" w14:textId="77777777" w:rsidR="00775E05" w:rsidRDefault="008508B5">
            <w:pPr>
              <w:widowControl/>
              <w:spacing w:line="220" w:lineRule="atLeast"/>
              <w:jc w:val="left"/>
              <w:rPr>
                <w:rFonts w:ascii="Times New Roman" w:eastAsia="等线" w:hAnsi="Times New Roman"/>
                <w:color w:val="000000"/>
                <w:kern w:val="0"/>
                <w:szCs w:val="21"/>
              </w:rPr>
            </w:pPr>
            <w:r>
              <w:rPr>
                <w:rFonts w:ascii="Times New Roman" w:eastAsia="等线" w:hAnsi="Times New Roman" w:hint="eastAsia"/>
                <w:color w:val="000000"/>
                <w:kern w:val="0"/>
                <w:szCs w:val="21"/>
              </w:rPr>
              <w:t>rabbit polyclonal</w:t>
            </w:r>
          </w:p>
        </w:tc>
        <w:tc>
          <w:tcPr>
            <w:tcW w:w="848" w:type="dxa"/>
            <w:tcBorders>
              <w:top w:val="nil"/>
              <w:left w:val="nil"/>
              <w:bottom w:val="single" w:sz="4" w:space="0" w:color="auto"/>
              <w:right w:val="nil"/>
            </w:tcBorders>
            <w:shd w:val="clear" w:color="auto" w:fill="auto"/>
            <w:noWrap/>
            <w:vAlign w:val="bottom"/>
          </w:tcPr>
          <w:p w14:paraId="2CF91B4A" w14:textId="77777777" w:rsidR="00775E05" w:rsidRDefault="00775E05" w:rsidP="008508B5">
            <w:pPr>
              <w:widowControl/>
              <w:spacing w:line="220" w:lineRule="atLeast"/>
              <w:jc w:val="left"/>
              <w:rPr>
                <w:rFonts w:ascii="Times New Roman" w:eastAsia="等线" w:hAnsi="Times New Roman"/>
                <w:color w:val="000000"/>
                <w:kern w:val="0"/>
                <w:szCs w:val="21"/>
              </w:rPr>
            </w:pPr>
          </w:p>
        </w:tc>
        <w:tc>
          <w:tcPr>
            <w:tcW w:w="733" w:type="dxa"/>
            <w:tcBorders>
              <w:top w:val="nil"/>
              <w:left w:val="nil"/>
              <w:bottom w:val="single" w:sz="4" w:space="0" w:color="auto"/>
              <w:right w:val="nil"/>
            </w:tcBorders>
            <w:shd w:val="clear" w:color="auto" w:fill="auto"/>
            <w:noWrap/>
            <w:vAlign w:val="bottom"/>
          </w:tcPr>
          <w:p w14:paraId="6B98A75E" w14:textId="77777777" w:rsidR="00775E05" w:rsidRDefault="008508B5">
            <w:pPr>
              <w:widowControl/>
              <w:spacing w:line="220" w:lineRule="atLeast"/>
              <w:jc w:val="left"/>
              <w:rPr>
                <w:rFonts w:ascii="Times New Roman" w:eastAsia="等线" w:hAnsi="Times New Roman"/>
                <w:color w:val="000000"/>
                <w:kern w:val="0"/>
                <w:szCs w:val="21"/>
              </w:rPr>
            </w:pPr>
            <w:r>
              <w:rPr>
                <w:rFonts w:ascii="Times New Roman" w:eastAsia="等线" w:hAnsi="Times New Roman"/>
                <w:color w:val="000000"/>
                <w:kern w:val="0"/>
                <w:szCs w:val="21"/>
              </w:rPr>
              <w:t>1:</w:t>
            </w:r>
            <w:r>
              <w:rPr>
                <w:rFonts w:ascii="Times New Roman" w:eastAsia="等线" w:hAnsi="Times New Roman" w:hint="eastAsia"/>
                <w:color w:val="000000"/>
                <w:kern w:val="0"/>
                <w:szCs w:val="21"/>
              </w:rPr>
              <w:t>4</w:t>
            </w:r>
            <w:r>
              <w:rPr>
                <w:rFonts w:ascii="Times New Roman" w:eastAsia="等线" w:hAnsi="Times New Roman"/>
                <w:color w:val="000000"/>
                <w:kern w:val="0"/>
                <w:szCs w:val="21"/>
              </w:rPr>
              <w:t>00</w:t>
            </w:r>
          </w:p>
        </w:tc>
        <w:tc>
          <w:tcPr>
            <w:tcW w:w="847" w:type="dxa"/>
            <w:tcBorders>
              <w:top w:val="nil"/>
              <w:left w:val="nil"/>
              <w:bottom w:val="single" w:sz="4" w:space="0" w:color="auto"/>
              <w:right w:val="nil"/>
            </w:tcBorders>
            <w:shd w:val="clear" w:color="auto" w:fill="auto"/>
            <w:noWrap/>
            <w:vAlign w:val="bottom"/>
          </w:tcPr>
          <w:p w14:paraId="5A59B7E9" w14:textId="77777777" w:rsidR="00775E05" w:rsidRDefault="00775E05">
            <w:pPr>
              <w:widowControl/>
              <w:spacing w:line="220" w:lineRule="atLeast"/>
              <w:jc w:val="left"/>
              <w:rPr>
                <w:rFonts w:ascii="Times New Roman" w:eastAsia="等线" w:hAnsi="Times New Roman"/>
                <w:color w:val="000000"/>
                <w:kern w:val="0"/>
                <w:szCs w:val="21"/>
              </w:rPr>
            </w:pPr>
          </w:p>
        </w:tc>
      </w:tr>
    </w:tbl>
    <w:p w14:paraId="32A27082" w14:textId="77777777" w:rsidR="00447CCB" w:rsidRDefault="00447CCB">
      <w:pPr>
        <w:spacing w:line="360" w:lineRule="auto"/>
        <w:rPr>
          <w:rFonts w:ascii="Times New Roman" w:hAnsi="Times New Roman"/>
          <w:b/>
          <w:color w:val="222222"/>
          <w:spacing w:val="3"/>
          <w:shd w:val="clear" w:color="auto" w:fill="FFFFFF"/>
        </w:rPr>
      </w:pPr>
    </w:p>
    <w:p w14:paraId="1CC304D8" w14:textId="77777777" w:rsidR="00447CCB" w:rsidRDefault="00447CCB">
      <w:pPr>
        <w:spacing w:line="360" w:lineRule="auto"/>
        <w:rPr>
          <w:rFonts w:ascii="Times New Roman" w:hAnsi="Times New Roman"/>
          <w:b/>
          <w:color w:val="222222"/>
          <w:spacing w:val="3"/>
          <w:shd w:val="clear" w:color="auto" w:fill="FFFFFF"/>
        </w:rPr>
      </w:pPr>
    </w:p>
    <w:p w14:paraId="009D8F3D" w14:textId="77777777" w:rsidR="00447CCB" w:rsidRDefault="00447CCB">
      <w:pPr>
        <w:spacing w:line="360" w:lineRule="auto"/>
        <w:rPr>
          <w:rFonts w:ascii="Times New Roman" w:hAnsi="Times New Roman"/>
          <w:b/>
          <w:color w:val="222222"/>
          <w:spacing w:val="3"/>
          <w:shd w:val="clear" w:color="auto" w:fill="FFFFFF"/>
        </w:rPr>
      </w:pPr>
    </w:p>
    <w:p w14:paraId="378CD68D" w14:textId="77777777" w:rsidR="00447CCB" w:rsidRDefault="00447CCB">
      <w:pPr>
        <w:spacing w:line="360" w:lineRule="auto"/>
        <w:rPr>
          <w:rFonts w:ascii="Times New Roman" w:hAnsi="Times New Roman"/>
          <w:b/>
          <w:color w:val="222222"/>
          <w:spacing w:val="3"/>
          <w:shd w:val="clear" w:color="auto" w:fill="FFFFFF"/>
        </w:rPr>
      </w:pPr>
    </w:p>
    <w:p w14:paraId="310FAC54" w14:textId="77777777" w:rsidR="00447CCB" w:rsidRDefault="00447CCB">
      <w:pPr>
        <w:spacing w:line="360" w:lineRule="auto"/>
        <w:rPr>
          <w:rFonts w:ascii="Times New Roman" w:hAnsi="Times New Roman"/>
          <w:b/>
          <w:color w:val="222222"/>
          <w:spacing w:val="3"/>
          <w:shd w:val="clear" w:color="auto" w:fill="FFFFFF"/>
        </w:rPr>
      </w:pPr>
    </w:p>
    <w:p w14:paraId="4152CDEF" w14:textId="77777777" w:rsidR="00447CCB" w:rsidRDefault="00447CCB">
      <w:pPr>
        <w:spacing w:line="360" w:lineRule="auto"/>
        <w:rPr>
          <w:rFonts w:ascii="Times New Roman" w:hAnsi="Times New Roman"/>
          <w:b/>
          <w:color w:val="222222"/>
          <w:spacing w:val="3"/>
          <w:shd w:val="clear" w:color="auto" w:fill="FFFFFF"/>
        </w:rPr>
      </w:pPr>
    </w:p>
    <w:p w14:paraId="20B3253D" w14:textId="77777777" w:rsidR="00447CCB" w:rsidRDefault="00447CCB">
      <w:pPr>
        <w:spacing w:line="360" w:lineRule="auto"/>
        <w:rPr>
          <w:rFonts w:ascii="Times New Roman" w:hAnsi="Times New Roman"/>
          <w:b/>
          <w:color w:val="222222"/>
          <w:spacing w:val="3"/>
          <w:shd w:val="clear" w:color="auto" w:fill="FFFFFF"/>
        </w:rPr>
      </w:pPr>
    </w:p>
    <w:p w14:paraId="13A85FB8" w14:textId="77777777" w:rsidR="00447CCB" w:rsidRDefault="00447CCB">
      <w:pPr>
        <w:spacing w:line="360" w:lineRule="auto"/>
        <w:rPr>
          <w:rFonts w:ascii="Times New Roman" w:hAnsi="Times New Roman"/>
          <w:b/>
          <w:color w:val="222222"/>
          <w:spacing w:val="3"/>
          <w:shd w:val="clear" w:color="auto" w:fill="FFFFFF"/>
        </w:rPr>
      </w:pPr>
    </w:p>
    <w:p w14:paraId="3D6CBF0E" w14:textId="77777777" w:rsidR="00447CCB" w:rsidRDefault="00447CCB">
      <w:pPr>
        <w:spacing w:line="360" w:lineRule="auto"/>
        <w:rPr>
          <w:rFonts w:ascii="Times New Roman" w:hAnsi="Times New Roman"/>
          <w:b/>
          <w:color w:val="222222"/>
          <w:spacing w:val="3"/>
          <w:shd w:val="clear" w:color="auto" w:fill="FFFFFF"/>
        </w:rPr>
      </w:pPr>
    </w:p>
    <w:p w14:paraId="0FEA522F" w14:textId="77777777" w:rsidR="00447CCB" w:rsidRDefault="00447CCB">
      <w:pPr>
        <w:spacing w:line="360" w:lineRule="auto"/>
        <w:rPr>
          <w:rFonts w:ascii="Times New Roman" w:hAnsi="Times New Roman"/>
          <w:b/>
          <w:color w:val="222222"/>
          <w:spacing w:val="3"/>
          <w:shd w:val="clear" w:color="auto" w:fill="FFFFFF"/>
        </w:rPr>
      </w:pPr>
    </w:p>
    <w:p w14:paraId="2B5F7D3D" w14:textId="77777777" w:rsidR="00447CCB" w:rsidRDefault="00447CCB">
      <w:pPr>
        <w:spacing w:line="360" w:lineRule="auto"/>
        <w:rPr>
          <w:rFonts w:ascii="Times New Roman" w:hAnsi="Times New Roman"/>
          <w:b/>
          <w:color w:val="222222"/>
          <w:spacing w:val="3"/>
          <w:shd w:val="clear" w:color="auto" w:fill="FFFFFF"/>
        </w:rPr>
      </w:pPr>
    </w:p>
    <w:p w14:paraId="09544E6D" w14:textId="77777777" w:rsidR="00447CCB" w:rsidRDefault="00447CCB">
      <w:pPr>
        <w:spacing w:line="360" w:lineRule="auto"/>
        <w:rPr>
          <w:rFonts w:ascii="Times New Roman" w:hAnsi="Times New Roman"/>
          <w:b/>
          <w:color w:val="222222"/>
          <w:spacing w:val="3"/>
          <w:shd w:val="clear" w:color="auto" w:fill="FFFFFF"/>
        </w:rPr>
      </w:pPr>
    </w:p>
    <w:p w14:paraId="02516718" w14:textId="77777777" w:rsidR="00447CCB" w:rsidRDefault="00447CCB">
      <w:pPr>
        <w:spacing w:line="360" w:lineRule="auto"/>
        <w:rPr>
          <w:rFonts w:ascii="Times New Roman" w:hAnsi="Times New Roman"/>
          <w:b/>
          <w:color w:val="222222"/>
          <w:spacing w:val="3"/>
          <w:shd w:val="clear" w:color="auto" w:fill="FFFFFF"/>
        </w:rPr>
      </w:pPr>
    </w:p>
    <w:p w14:paraId="07ECBFBD" w14:textId="77777777" w:rsidR="00447CCB" w:rsidRDefault="00447CCB">
      <w:pPr>
        <w:spacing w:line="360" w:lineRule="auto"/>
        <w:rPr>
          <w:rFonts w:ascii="Times New Roman" w:hAnsi="Times New Roman"/>
          <w:b/>
          <w:color w:val="222222"/>
          <w:spacing w:val="3"/>
          <w:shd w:val="clear" w:color="auto" w:fill="FFFFFF"/>
        </w:rPr>
      </w:pPr>
    </w:p>
    <w:p w14:paraId="20847C19" w14:textId="77777777" w:rsidR="00447CCB" w:rsidRDefault="00447CCB">
      <w:pPr>
        <w:spacing w:line="360" w:lineRule="auto"/>
        <w:rPr>
          <w:rFonts w:ascii="Times New Roman" w:hAnsi="Times New Roman"/>
          <w:b/>
          <w:color w:val="222222"/>
          <w:spacing w:val="3"/>
          <w:shd w:val="clear" w:color="auto" w:fill="FFFFFF"/>
        </w:rPr>
      </w:pPr>
    </w:p>
    <w:p w14:paraId="15998BAA" w14:textId="77777777" w:rsidR="00447CCB" w:rsidRDefault="00447CCB">
      <w:pPr>
        <w:spacing w:line="360" w:lineRule="auto"/>
        <w:rPr>
          <w:rFonts w:ascii="Times New Roman" w:hAnsi="Times New Roman"/>
          <w:b/>
          <w:color w:val="222222"/>
          <w:spacing w:val="3"/>
          <w:shd w:val="clear" w:color="auto" w:fill="FFFFFF"/>
        </w:rPr>
      </w:pPr>
    </w:p>
    <w:p w14:paraId="3E8FB304" w14:textId="77777777" w:rsidR="00447CCB" w:rsidRDefault="00447CCB">
      <w:pPr>
        <w:spacing w:line="360" w:lineRule="auto"/>
        <w:rPr>
          <w:rFonts w:ascii="Times New Roman" w:hAnsi="Times New Roman"/>
          <w:b/>
          <w:color w:val="222222"/>
          <w:spacing w:val="3"/>
          <w:shd w:val="clear" w:color="auto" w:fill="FFFFFF"/>
        </w:rPr>
      </w:pPr>
    </w:p>
    <w:p w14:paraId="29D36FC4" w14:textId="77777777" w:rsidR="00447CCB" w:rsidRDefault="00447CCB">
      <w:pPr>
        <w:spacing w:line="360" w:lineRule="auto"/>
        <w:rPr>
          <w:rFonts w:ascii="Times New Roman" w:hAnsi="Times New Roman"/>
          <w:b/>
          <w:color w:val="222222"/>
          <w:spacing w:val="3"/>
          <w:shd w:val="clear" w:color="auto" w:fill="FFFFFF"/>
        </w:rPr>
      </w:pPr>
    </w:p>
    <w:p w14:paraId="2F738321" w14:textId="77777777" w:rsidR="00447CCB" w:rsidRDefault="00447CCB">
      <w:pPr>
        <w:spacing w:line="360" w:lineRule="auto"/>
        <w:rPr>
          <w:rFonts w:ascii="Times New Roman" w:hAnsi="Times New Roman"/>
          <w:b/>
          <w:color w:val="222222"/>
          <w:spacing w:val="3"/>
          <w:shd w:val="clear" w:color="auto" w:fill="FFFFFF"/>
        </w:rPr>
      </w:pPr>
    </w:p>
    <w:p w14:paraId="7D7A430E" w14:textId="77777777" w:rsidR="00447CCB" w:rsidRDefault="00447CCB">
      <w:pPr>
        <w:spacing w:line="360" w:lineRule="auto"/>
        <w:rPr>
          <w:rFonts w:ascii="Times New Roman" w:hAnsi="Times New Roman"/>
          <w:b/>
          <w:color w:val="222222"/>
          <w:spacing w:val="3"/>
          <w:shd w:val="clear" w:color="auto" w:fill="FFFFFF"/>
        </w:rPr>
      </w:pPr>
    </w:p>
    <w:p w14:paraId="566B6785" w14:textId="77777777" w:rsidR="00447CCB" w:rsidRDefault="00447CCB">
      <w:pPr>
        <w:spacing w:line="360" w:lineRule="auto"/>
        <w:rPr>
          <w:rFonts w:ascii="Times New Roman" w:hAnsi="Times New Roman"/>
          <w:b/>
          <w:color w:val="222222"/>
          <w:spacing w:val="3"/>
          <w:shd w:val="clear" w:color="auto" w:fill="FFFFFF"/>
        </w:rPr>
      </w:pPr>
    </w:p>
    <w:p w14:paraId="716F47D5" w14:textId="77777777" w:rsidR="00447CCB" w:rsidRDefault="00447CCB">
      <w:pPr>
        <w:spacing w:line="360" w:lineRule="auto"/>
        <w:rPr>
          <w:rFonts w:ascii="Times New Roman" w:hAnsi="Times New Roman"/>
          <w:b/>
          <w:color w:val="222222"/>
          <w:spacing w:val="3"/>
          <w:shd w:val="clear" w:color="auto" w:fill="FFFFFF"/>
        </w:rPr>
      </w:pPr>
    </w:p>
    <w:p w14:paraId="5523B382" w14:textId="77777777" w:rsidR="00447CCB" w:rsidRDefault="00447CCB">
      <w:pPr>
        <w:spacing w:line="360" w:lineRule="auto"/>
        <w:rPr>
          <w:rFonts w:ascii="Times New Roman" w:hAnsi="Times New Roman"/>
          <w:b/>
          <w:color w:val="222222"/>
          <w:spacing w:val="3"/>
          <w:shd w:val="clear" w:color="auto" w:fill="FFFFFF"/>
        </w:rPr>
      </w:pPr>
    </w:p>
    <w:p w14:paraId="478D902F" w14:textId="21E3939B" w:rsidR="00D86489" w:rsidRDefault="00B22FD0">
      <w:pPr>
        <w:spacing w:line="360" w:lineRule="auto"/>
        <w:rPr>
          <w:rFonts w:ascii="Times New Roman" w:hAnsi="Times New Roman"/>
          <w:b/>
          <w:color w:val="222222"/>
          <w:spacing w:val="3"/>
          <w:shd w:val="clear" w:color="auto" w:fill="FFFFFF"/>
        </w:rPr>
      </w:pPr>
      <w:bookmarkStart w:id="0" w:name="_GoBack"/>
      <w:bookmarkEnd w:id="0"/>
      <w:r>
        <w:rPr>
          <w:rFonts w:ascii="Times New Roman" w:hAnsi="Times New Roman"/>
          <w:b/>
          <w:color w:val="222222"/>
          <w:spacing w:val="3"/>
          <w:shd w:val="clear" w:color="auto" w:fill="FFFFFF"/>
        </w:rPr>
        <w:lastRenderedPageBreak/>
        <w:t xml:space="preserve">Supplementary </w:t>
      </w:r>
      <w:r w:rsidR="00FD5A47">
        <w:rPr>
          <w:rFonts w:ascii="Times New Roman" w:hAnsi="Times New Roman"/>
          <w:b/>
          <w:color w:val="222222"/>
          <w:spacing w:val="3"/>
          <w:shd w:val="clear" w:color="auto" w:fill="FFFFFF"/>
        </w:rPr>
        <w:t>T</w:t>
      </w:r>
      <w:r>
        <w:rPr>
          <w:rFonts w:ascii="Times New Roman" w:hAnsi="Times New Roman"/>
          <w:b/>
          <w:color w:val="222222"/>
          <w:spacing w:val="3"/>
          <w:shd w:val="clear" w:color="auto" w:fill="FFFFFF"/>
        </w:rPr>
        <w:t>able</w:t>
      </w:r>
      <w:r>
        <w:rPr>
          <w:rFonts w:ascii="Times New Roman" w:hAnsi="Times New Roman" w:hint="eastAsia"/>
          <w:b/>
          <w:color w:val="222222"/>
          <w:spacing w:val="3"/>
          <w:shd w:val="clear" w:color="auto" w:fill="FFFFFF"/>
        </w:rPr>
        <w:t xml:space="preserve"> 3</w:t>
      </w:r>
      <w:r>
        <w:rPr>
          <w:rFonts w:ascii="Times New Roman" w:hAnsi="Times New Roman"/>
          <w:b/>
          <w:color w:val="222222"/>
          <w:spacing w:val="3"/>
          <w:shd w:val="clear" w:color="auto" w:fill="FFFFFF"/>
        </w:rPr>
        <w:t>: qPCR primer information</w:t>
      </w:r>
    </w:p>
    <w:tbl>
      <w:tblPr>
        <w:tblW w:w="6200" w:type="dxa"/>
        <w:jc w:val="center"/>
        <w:tblLook w:val="04A0" w:firstRow="1" w:lastRow="0" w:firstColumn="1" w:lastColumn="0" w:noHBand="0" w:noVBand="1"/>
      </w:tblPr>
      <w:tblGrid>
        <w:gridCol w:w="1760"/>
        <w:gridCol w:w="4440"/>
      </w:tblGrid>
      <w:tr w:rsidR="00D86489" w14:paraId="15E9F67C" w14:textId="77777777">
        <w:trPr>
          <w:trHeight w:val="312"/>
          <w:jc w:val="center"/>
        </w:trPr>
        <w:tc>
          <w:tcPr>
            <w:tcW w:w="1760" w:type="dxa"/>
            <w:tcBorders>
              <w:top w:val="single" w:sz="4" w:space="0" w:color="auto"/>
              <w:left w:val="nil"/>
              <w:bottom w:val="single" w:sz="4" w:space="0" w:color="auto"/>
              <w:right w:val="nil"/>
            </w:tcBorders>
            <w:shd w:val="clear" w:color="auto" w:fill="auto"/>
            <w:noWrap/>
            <w:vAlign w:val="center"/>
          </w:tcPr>
          <w:p w14:paraId="1CE142B4" w14:textId="77777777" w:rsidR="00D86489" w:rsidRDefault="00B22FD0">
            <w:pPr>
              <w:widowControl/>
              <w:jc w:val="left"/>
              <w:rPr>
                <w:rFonts w:ascii="Times New Roman" w:eastAsia="等线" w:hAnsi="Times New Roman"/>
                <w:b/>
                <w:bCs/>
                <w:color w:val="000000"/>
                <w:kern w:val="0"/>
                <w:szCs w:val="21"/>
              </w:rPr>
            </w:pPr>
            <w:r>
              <w:rPr>
                <w:rFonts w:ascii="Times New Roman" w:eastAsia="等线" w:hAnsi="Times New Roman"/>
                <w:b/>
                <w:bCs/>
                <w:color w:val="000000"/>
                <w:kern w:val="0"/>
                <w:szCs w:val="21"/>
              </w:rPr>
              <w:t>Primer</w:t>
            </w:r>
          </w:p>
        </w:tc>
        <w:tc>
          <w:tcPr>
            <w:tcW w:w="4440" w:type="dxa"/>
            <w:tcBorders>
              <w:top w:val="single" w:sz="4" w:space="0" w:color="auto"/>
              <w:left w:val="nil"/>
              <w:bottom w:val="single" w:sz="4" w:space="0" w:color="auto"/>
              <w:right w:val="nil"/>
            </w:tcBorders>
            <w:shd w:val="clear" w:color="auto" w:fill="auto"/>
            <w:noWrap/>
            <w:vAlign w:val="center"/>
          </w:tcPr>
          <w:p w14:paraId="08C8AEE3" w14:textId="77777777" w:rsidR="00D86489" w:rsidRDefault="00B22FD0">
            <w:pPr>
              <w:widowControl/>
              <w:jc w:val="left"/>
              <w:rPr>
                <w:rFonts w:ascii="Times New Roman" w:eastAsia="等线" w:hAnsi="Times New Roman"/>
                <w:b/>
                <w:bCs/>
                <w:color w:val="000000"/>
                <w:kern w:val="0"/>
                <w:szCs w:val="21"/>
              </w:rPr>
            </w:pPr>
            <w:r>
              <w:rPr>
                <w:rFonts w:ascii="Times New Roman" w:eastAsia="等线" w:hAnsi="Times New Roman"/>
                <w:b/>
                <w:bCs/>
                <w:color w:val="000000"/>
                <w:kern w:val="0"/>
                <w:szCs w:val="21"/>
              </w:rPr>
              <w:t>Primer sequence</w:t>
            </w:r>
            <w:r>
              <w:rPr>
                <w:rFonts w:ascii="Times New Roman" w:eastAsia="等线" w:hAnsi="Times New Roman" w:hint="eastAsia"/>
                <w:b/>
                <w:bCs/>
                <w:color w:val="000000"/>
                <w:kern w:val="0"/>
                <w:szCs w:val="21"/>
              </w:rPr>
              <w:t xml:space="preserve"> </w:t>
            </w:r>
            <w:r>
              <w:rPr>
                <w:rFonts w:ascii="Times New Roman" w:eastAsia="等线" w:hAnsi="Times New Roman"/>
                <w:b/>
                <w:bCs/>
                <w:color w:val="000000"/>
                <w:kern w:val="0"/>
                <w:szCs w:val="21"/>
              </w:rPr>
              <w:t>(5'</w:t>
            </w:r>
            <w:r>
              <w:rPr>
                <w:rFonts w:ascii="Times New Roman" w:eastAsia="等线" w:hAnsi="Times New Roman" w:hint="eastAsia"/>
                <w:b/>
                <w:bCs/>
                <w:color w:val="000000"/>
                <w:kern w:val="0"/>
                <w:szCs w:val="21"/>
              </w:rPr>
              <w:t xml:space="preserve"> </w:t>
            </w:r>
            <w:r>
              <w:rPr>
                <w:rFonts w:ascii="Times New Roman" w:eastAsia="等线" w:hAnsi="Times New Roman"/>
                <w:b/>
                <w:bCs/>
                <w:color w:val="000000"/>
                <w:kern w:val="0"/>
                <w:szCs w:val="21"/>
              </w:rPr>
              <w:t>to</w:t>
            </w:r>
            <w:r>
              <w:rPr>
                <w:rFonts w:ascii="Times New Roman" w:eastAsia="等线" w:hAnsi="Times New Roman" w:hint="eastAsia"/>
                <w:b/>
                <w:bCs/>
                <w:color w:val="000000"/>
                <w:kern w:val="0"/>
                <w:szCs w:val="21"/>
              </w:rPr>
              <w:t xml:space="preserve"> </w:t>
            </w:r>
            <w:r>
              <w:rPr>
                <w:rFonts w:ascii="Times New Roman" w:eastAsia="等线" w:hAnsi="Times New Roman"/>
                <w:b/>
                <w:bCs/>
                <w:color w:val="000000"/>
                <w:kern w:val="0"/>
                <w:szCs w:val="21"/>
              </w:rPr>
              <w:t>3'</w:t>
            </w:r>
            <w:r>
              <w:rPr>
                <w:rFonts w:ascii="Times New Roman" w:eastAsia="等线" w:hAnsi="Times New Roman" w:hint="eastAsia"/>
                <w:b/>
                <w:bCs/>
                <w:color w:val="000000"/>
                <w:kern w:val="0"/>
                <w:szCs w:val="21"/>
              </w:rPr>
              <w:t xml:space="preserve"> </w:t>
            </w:r>
            <w:r>
              <w:rPr>
                <w:rFonts w:ascii="Times New Roman" w:eastAsia="等线" w:hAnsi="Times New Roman"/>
                <w:b/>
                <w:bCs/>
                <w:color w:val="000000"/>
                <w:kern w:val="0"/>
                <w:szCs w:val="21"/>
              </w:rPr>
              <w:t>)</w:t>
            </w:r>
          </w:p>
        </w:tc>
      </w:tr>
      <w:tr w:rsidR="00D86489" w14:paraId="6741E06C" w14:textId="77777777">
        <w:trPr>
          <w:trHeight w:val="312"/>
          <w:jc w:val="center"/>
        </w:trPr>
        <w:tc>
          <w:tcPr>
            <w:tcW w:w="1760" w:type="dxa"/>
            <w:tcBorders>
              <w:top w:val="single" w:sz="4" w:space="0" w:color="auto"/>
              <w:left w:val="nil"/>
              <w:bottom w:val="nil"/>
              <w:right w:val="nil"/>
            </w:tcBorders>
            <w:shd w:val="clear" w:color="auto" w:fill="auto"/>
            <w:noWrap/>
            <w:vAlign w:val="center"/>
          </w:tcPr>
          <w:p w14:paraId="4BA1B97B" w14:textId="77777777" w:rsidR="00D86489" w:rsidRDefault="00B22FD0">
            <w:pPr>
              <w:widowControl/>
              <w:jc w:val="left"/>
              <w:rPr>
                <w:rFonts w:ascii="Times New Roman" w:eastAsia="等线" w:hAnsi="Times New Roman"/>
                <w:color w:val="000000"/>
                <w:kern w:val="0"/>
                <w:szCs w:val="21"/>
              </w:rPr>
            </w:pPr>
            <w:r>
              <w:rPr>
                <w:rFonts w:ascii="Times New Roman" w:eastAsia="等线" w:hAnsi="Times New Roman" w:hint="eastAsia"/>
                <w:color w:val="000000"/>
                <w:kern w:val="0"/>
                <w:szCs w:val="21"/>
              </w:rPr>
              <w:t>IL-12a</w:t>
            </w:r>
            <w:r>
              <w:rPr>
                <w:rFonts w:ascii="Times New Roman" w:eastAsia="等线" w:hAnsi="Times New Roman"/>
                <w:color w:val="000000"/>
                <w:kern w:val="0"/>
                <w:szCs w:val="21"/>
              </w:rPr>
              <w:t>-F</w:t>
            </w:r>
          </w:p>
        </w:tc>
        <w:tc>
          <w:tcPr>
            <w:tcW w:w="4440" w:type="dxa"/>
            <w:tcBorders>
              <w:top w:val="single" w:sz="4" w:space="0" w:color="auto"/>
              <w:left w:val="nil"/>
              <w:bottom w:val="nil"/>
              <w:right w:val="nil"/>
            </w:tcBorders>
            <w:shd w:val="clear" w:color="auto" w:fill="auto"/>
            <w:noWrap/>
            <w:vAlign w:val="center"/>
          </w:tcPr>
          <w:p w14:paraId="165573A3" w14:textId="77777777" w:rsidR="00D86489" w:rsidRDefault="00B22FD0">
            <w:pPr>
              <w:widowControl/>
              <w:jc w:val="left"/>
              <w:rPr>
                <w:rFonts w:ascii="Times New Roman" w:eastAsia="等线" w:hAnsi="Times New Roman"/>
                <w:color w:val="000000"/>
                <w:kern w:val="0"/>
                <w:szCs w:val="21"/>
              </w:rPr>
            </w:pPr>
            <w:r>
              <w:rPr>
                <w:rFonts w:ascii="Times New Roman" w:eastAsia="等线" w:hAnsi="Times New Roman"/>
                <w:color w:val="000000"/>
                <w:kern w:val="0"/>
                <w:szCs w:val="21"/>
              </w:rPr>
              <w:t>CATCGATGAGCTGATGCAGT</w:t>
            </w:r>
          </w:p>
        </w:tc>
      </w:tr>
      <w:tr w:rsidR="00D86489" w14:paraId="5A71A663" w14:textId="77777777">
        <w:trPr>
          <w:trHeight w:val="312"/>
          <w:jc w:val="center"/>
        </w:trPr>
        <w:tc>
          <w:tcPr>
            <w:tcW w:w="1760" w:type="dxa"/>
            <w:tcBorders>
              <w:top w:val="nil"/>
              <w:left w:val="nil"/>
              <w:bottom w:val="nil"/>
              <w:right w:val="nil"/>
            </w:tcBorders>
            <w:shd w:val="clear" w:color="auto" w:fill="auto"/>
            <w:noWrap/>
            <w:vAlign w:val="center"/>
          </w:tcPr>
          <w:p w14:paraId="654B6F84" w14:textId="77777777" w:rsidR="00D86489" w:rsidRDefault="00B22FD0">
            <w:pPr>
              <w:widowControl/>
              <w:jc w:val="left"/>
              <w:rPr>
                <w:rFonts w:ascii="Times New Roman" w:eastAsia="等线" w:hAnsi="Times New Roman"/>
                <w:color w:val="000000"/>
                <w:kern w:val="0"/>
                <w:szCs w:val="21"/>
              </w:rPr>
            </w:pPr>
            <w:r>
              <w:rPr>
                <w:rFonts w:ascii="Times New Roman" w:eastAsia="等线" w:hAnsi="Times New Roman" w:hint="eastAsia"/>
                <w:color w:val="000000"/>
                <w:kern w:val="0"/>
                <w:szCs w:val="21"/>
              </w:rPr>
              <w:t>IL-12a</w:t>
            </w:r>
            <w:r>
              <w:rPr>
                <w:rFonts w:ascii="Times New Roman" w:eastAsia="等线" w:hAnsi="Times New Roman"/>
                <w:color w:val="000000"/>
                <w:kern w:val="0"/>
                <w:szCs w:val="21"/>
              </w:rPr>
              <w:t>-R</w:t>
            </w:r>
          </w:p>
        </w:tc>
        <w:tc>
          <w:tcPr>
            <w:tcW w:w="4440" w:type="dxa"/>
            <w:tcBorders>
              <w:top w:val="nil"/>
              <w:left w:val="nil"/>
              <w:bottom w:val="nil"/>
              <w:right w:val="nil"/>
            </w:tcBorders>
            <w:shd w:val="clear" w:color="auto" w:fill="auto"/>
            <w:noWrap/>
            <w:vAlign w:val="center"/>
          </w:tcPr>
          <w:p w14:paraId="1A020474" w14:textId="77777777" w:rsidR="00D86489" w:rsidRDefault="00B22FD0">
            <w:pPr>
              <w:widowControl/>
              <w:jc w:val="left"/>
              <w:rPr>
                <w:rFonts w:ascii="Times New Roman" w:eastAsia="等线" w:hAnsi="Times New Roman"/>
                <w:color w:val="000000"/>
                <w:kern w:val="0"/>
                <w:szCs w:val="21"/>
              </w:rPr>
            </w:pPr>
            <w:r>
              <w:rPr>
                <w:rFonts w:ascii="Times New Roman" w:eastAsia="等线" w:hAnsi="Times New Roman"/>
                <w:color w:val="000000"/>
                <w:kern w:val="0"/>
                <w:szCs w:val="21"/>
              </w:rPr>
              <w:t>CAGATAGCCCATCACCCTGT</w:t>
            </w:r>
          </w:p>
        </w:tc>
      </w:tr>
      <w:tr w:rsidR="00D86489" w14:paraId="159AA98D" w14:textId="77777777">
        <w:trPr>
          <w:trHeight w:val="312"/>
          <w:jc w:val="center"/>
        </w:trPr>
        <w:tc>
          <w:tcPr>
            <w:tcW w:w="1760" w:type="dxa"/>
            <w:tcBorders>
              <w:top w:val="nil"/>
              <w:left w:val="nil"/>
              <w:bottom w:val="nil"/>
              <w:right w:val="nil"/>
            </w:tcBorders>
            <w:shd w:val="clear" w:color="auto" w:fill="auto"/>
            <w:noWrap/>
            <w:vAlign w:val="center"/>
          </w:tcPr>
          <w:p w14:paraId="55091268" w14:textId="77777777" w:rsidR="00D86489" w:rsidRDefault="00B22FD0">
            <w:pPr>
              <w:widowControl/>
              <w:jc w:val="left"/>
              <w:rPr>
                <w:rFonts w:ascii="Times New Roman" w:eastAsia="等线" w:hAnsi="Times New Roman"/>
                <w:color w:val="000000"/>
                <w:kern w:val="0"/>
                <w:szCs w:val="21"/>
              </w:rPr>
            </w:pPr>
            <w:r>
              <w:rPr>
                <w:rFonts w:ascii="Times New Roman" w:eastAsia="等线" w:hAnsi="Times New Roman" w:hint="eastAsia"/>
                <w:color w:val="000000"/>
                <w:kern w:val="0"/>
                <w:szCs w:val="21"/>
              </w:rPr>
              <w:t>Ebi3</w:t>
            </w:r>
            <w:r>
              <w:rPr>
                <w:rFonts w:ascii="Times New Roman" w:eastAsia="等线" w:hAnsi="Times New Roman"/>
                <w:color w:val="000000"/>
                <w:kern w:val="0"/>
                <w:szCs w:val="21"/>
              </w:rPr>
              <w:t>-F</w:t>
            </w:r>
          </w:p>
        </w:tc>
        <w:tc>
          <w:tcPr>
            <w:tcW w:w="4440" w:type="dxa"/>
            <w:tcBorders>
              <w:top w:val="nil"/>
              <w:left w:val="nil"/>
              <w:bottom w:val="nil"/>
              <w:right w:val="nil"/>
            </w:tcBorders>
            <w:shd w:val="clear" w:color="auto" w:fill="auto"/>
            <w:noWrap/>
            <w:vAlign w:val="center"/>
          </w:tcPr>
          <w:p w14:paraId="581415F1" w14:textId="77777777" w:rsidR="00D86489" w:rsidRDefault="00B22FD0">
            <w:pPr>
              <w:widowControl/>
              <w:jc w:val="left"/>
              <w:rPr>
                <w:rFonts w:ascii="Times New Roman" w:eastAsia="等线" w:hAnsi="Times New Roman"/>
                <w:color w:val="000000"/>
                <w:kern w:val="0"/>
                <w:szCs w:val="21"/>
              </w:rPr>
            </w:pPr>
            <w:r>
              <w:rPr>
                <w:rFonts w:ascii="Times New Roman" w:eastAsia="等线" w:hAnsi="Times New Roman"/>
                <w:color w:val="000000"/>
                <w:kern w:val="0"/>
                <w:szCs w:val="21"/>
              </w:rPr>
              <w:t>TGCTCTTCCTGTCACTTGCC</w:t>
            </w:r>
          </w:p>
        </w:tc>
      </w:tr>
      <w:tr w:rsidR="00D86489" w14:paraId="46F013FD" w14:textId="77777777">
        <w:trPr>
          <w:trHeight w:val="312"/>
          <w:jc w:val="center"/>
        </w:trPr>
        <w:tc>
          <w:tcPr>
            <w:tcW w:w="1760" w:type="dxa"/>
            <w:tcBorders>
              <w:top w:val="nil"/>
              <w:left w:val="nil"/>
              <w:bottom w:val="nil"/>
              <w:right w:val="nil"/>
            </w:tcBorders>
            <w:shd w:val="clear" w:color="auto" w:fill="auto"/>
            <w:noWrap/>
            <w:vAlign w:val="center"/>
          </w:tcPr>
          <w:p w14:paraId="69674862" w14:textId="77777777" w:rsidR="00D86489" w:rsidRDefault="00B22FD0">
            <w:pPr>
              <w:widowControl/>
              <w:jc w:val="left"/>
              <w:rPr>
                <w:rFonts w:ascii="Times New Roman" w:eastAsia="等线" w:hAnsi="Times New Roman"/>
                <w:color w:val="000000"/>
                <w:kern w:val="0"/>
                <w:szCs w:val="21"/>
              </w:rPr>
            </w:pPr>
            <w:r>
              <w:rPr>
                <w:rFonts w:ascii="Times New Roman" w:eastAsia="等线" w:hAnsi="Times New Roman" w:hint="eastAsia"/>
                <w:color w:val="000000"/>
                <w:kern w:val="0"/>
                <w:szCs w:val="21"/>
              </w:rPr>
              <w:t>Ebi3</w:t>
            </w:r>
            <w:r>
              <w:rPr>
                <w:rFonts w:ascii="Times New Roman" w:eastAsia="等线" w:hAnsi="Times New Roman"/>
                <w:color w:val="000000"/>
                <w:kern w:val="0"/>
                <w:szCs w:val="21"/>
              </w:rPr>
              <w:t>-R</w:t>
            </w:r>
          </w:p>
        </w:tc>
        <w:tc>
          <w:tcPr>
            <w:tcW w:w="4440" w:type="dxa"/>
            <w:tcBorders>
              <w:top w:val="nil"/>
              <w:left w:val="nil"/>
              <w:bottom w:val="nil"/>
              <w:right w:val="nil"/>
            </w:tcBorders>
            <w:shd w:val="clear" w:color="auto" w:fill="auto"/>
            <w:noWrap/>
            <w:vAlign w:val="center"/>
          </w:tcPr>
          <w:p w14:paraId="3A50C05A" w14:textId="77777777" w:rsidR="00D86489" w:rsidRDefault="00B22FD0">
            <w:pPr>
              <w:widowControl/>
              <w:jc w:val="left"/>
              <w:rPr>
                <w:rFonts w:ascii="Times New Roman" w:eastAsia="等线" w:hAnsi="Times New Roman"/>
                <w:color w:val="000000"/>
                <w:kern w:val="0"/>
                <w:szCs w:val="21"/>
              </w:rPr>
            </w:pPr>
            <w:r>
              <w:rPr>
                <w:rFonts w:ascii="Times New Roman" w:eastAsia="等线" w:hAnsi="Times New Roman"/>
                <w:color w:val="000000"/>
                <w:kern w:val="0"/>
                <w:szCs w:val="21"/>
              </w:rPr>
              <w:t>CGGGATACCGAGAAGCATGG</w:t>
            </w:r>
          </w:p>
        </w:tc>
      </w:tr>
      <w:tr w:rsidR="00D86489" w14:paraId="59410D62" w14:textId="77777777">
        <w:trPr>
          <w:trHeight w:val="312"/>
          <w:jc w:val="center"/>
        </w:trPr>
        <w:tc>
          <w:tcPr>
            <w:tcW w:w="1760" w:type="dxa"/>
            <w:tcBorders>
              <w:top w:val="nil"/>
              <w:left w:val="nil"/>
              <w:bottom w:val="nil"/>
              <w:right w:val="nil"/>
            </w:tcBorders>
            <w:shd w:val="clear" w:color="auto" w:fill="auto"/>
            <w:noWrap/>
            <w:vAlign w:val="center"/>
          </w:tcPr>
          <w:p w14:paraId="033B9BD8" w14:textId="77777777" w:rsidR="00D86489" w:rsidRDefault="00B22FD0">
            <w:pPr>
              <w:widowControl/>
              <w:jc w:val="left"/>
              <w:rPr>
                <w:rFonts w:ascii="Times New Roman" w:eastAsia="等线" w:hAnsi="Times New Roman"/>
                <w:color w:val="000000"/>
                <w:kern w:val="0"/>
                <w:szCs w:val="21"/>
              </w:rPr>
            </w:pPr>
            <w:r>
              <w:rPr>
                <w:rFonts w:ascii="Times New Roman" w:eastAsia="等线" w:hAnsi="Times New Roman" w:hint="eastAsia"/>
                <w:color w:val="000000"/>
                <w:kern w:val="0"/>
                <w:szCs w:val="21"/>
              </w:rPr>
              <w:t>IL-10</w:t>
            </w:r>
            <w:r>
              <w:rPr>
                <w:rFonts w:ascii="Times New Roman" w:eastAsia="等线" w:hAnsi="Times New Roman"/>
                <w:color w:val="000000"/>
                <w:kern w:val="0"/>
                <w:szCs w:val="21"/>
              </w:rPr>
              <w:t>-F</w:t>
            </w:r>
          </w:p>
        </w:tc>
        <w:tc>
          <w:tcPr>
            <w:tcW w:w="4440" w:type="dxa"/>
            <w:tcBorders>
              <w:top w:val="nil"/>
              <w:left w:val="nil"/>
              <w:bottom w:val="nil"/>
              <w:right w:val="nil"/>
            </w:tcBorders>
            <w:shd w:val="clear" w:color="auto" w:fill="auto"/>
            <w:noWrap/>
            <w:vAlign w:val="center"/>
          </w:tcPr>
          <w:p w14:paraId="20D65329" w14:textId="77777777" w:rsidR="00D86489" w:rsidRDefault="00B22FD0">
            <w:pPr>
              <w:widowControl/>
              <w:jc w:val="left"/>
              <w:rPr>
                <w:rFonts w:ascii="Times New Roman" w:eastAsia="等线" w:hAnsi="Times New Roman"/>
                <w:color w:val="000000"/>
                <w:kern w:val="0"/>
                <w:szCs w:val="21"/>
              </w:rPr>
            </w:pPr>
            <w:r>
              <w:rPr>
                <w:rFonts w:ascii="Times New Roman" w:eastAsia="等线" w:hAnsi="Times New Roman"/>
                <w:color w:val="000000"/>
                <w:kern w:val="0"/>
                <w:szCs w:val="21"/>
              </w:rPr>
              <w:t>GCCCTTTGCTATGGTGTCCTTTC</w:t>
            </w:r>
          </w:p>
        </w:tc>
      </w:tr>
      <w:tr w:rsidR="00D86489" w14:paraId="727102CE" w14:textId="77777777">
        <w:trPr>
          <w:trHeight w:val="312"/>
          <w:jc w:val="center"/>
        </w:trPr>
        <w:tc>
          <w:tcPr>
            <w:tcW w:w="1760" w:type="dxa"/>
            <w:tcBorders>
              <w:top w:val="nil"/>
              <w:left w:val="nil"/>
              <w:bottom w:val="nil"/>
              <w:right w:val="nil"/>
            </w:tcBorders>
            <w:shd w:val="clear" w:color="auto" w:fill="auto"/>
            <w:noWrap/>
            <w:vAlign w:val="center"/>
          </w:tcPr>
          <w:p w14:paraId="2FAB5001" w14:textId="77777777" w:rsidR="00D86489" w:rsidRDefault="00B22FD0">
            <w:pPr>
              <w:widowControl/>
              <w:jc w:val="left"/>
              <w:rPr>
                <w:rFonts w:ascii="Times New Roman" w:eastAsia="等线" w:hAnsi="Times New Roman"/>
                <w:color w:val="000000"/>
                <w:kern w:val="0"/>
                <w:szCs w:val="21"/>
              </w:rPr>
            </w:pPr>
            <w:r>
              <w:rPr>
                <w:rFonts w:ascii="Times New Roman" w:eastAsia="等线" w:hAnsi="Times New Roman" w:hint="eastAsia"/>
                <w:color w:val="000000"/>
                <w:kern w:val="0"/>
                <w:szCs w:val="21"/>
              </w:rPr>
              <w:t>IL-10</w:t>
            </w:r>
            <w:r>
              <w:rPr>
                <w:rFonts w:ascii="Times New Roman" w:eastAsia="等线" w:hAnsi="Times New Roman"/>
                <w:color w:val="000000"/>
                <w:kern w:val="0"/>
                <w:szCs w:val="21"/>
              </w:rPr>
              <w:t>-R</w:t>
            </w:r>
          </w:p>
        </w:tc>
        <w:tc>
          <w:tcPr>
            <w:tcW w:w="4440" w:type="dxa"/>
            <w:tcBorders>
              <w:top w:val="nil"/>
              <w:left w:val="nil"/>
              <w:bottom w:val="nil"/>
              <w:right w:val="nil"/>
            </w:tcBorders>
            <w:shd w:val="clear" w:color="auto" w:fill="auto"/>
            <w:noWrap/>
            <w:vAlign w:val="center"/>
          </w:tcPr>
          <w:p w14:paraId="5A290350" w14:textId="77777777" w:rsidR="00D86489" w:rsidRDefault="00B22FD0">
            <w:pPr>
              <w:widowControl/>
              <w:jc w:val="left"/>
              <w:rPr>
                <w:rFonts w:ascii="Times New Roman" w:eastAsia="等线" w:hAnsi="Times New Roman"/>
                <w:color w:val="000000"/>
                <w:kern w:val="0"/>
                <w:szCs w:val="21"/>
              </w:rPr>
            </w:pPr>
            <w:r>
              <w:rPr>
                <w:rFonts w:ascii="Times New Roman" w:eastAsia="等线" w:hAnsi="Times New Roman"/>
                <w:color w:val="000000"/>
                <w:kern w:val="0"/>
                <w:szCs w:val="21"/>
              </w:rPr>
              <w:t>TCCCTGGTTTCTCTTCCCAAGAC</w:t>
            </w:r>
          </w:p>
        </w:tc>
      </w:tr>
      <w:tr w:rsidR="00D86489" w14:paraId="4DD1A1A1" w14:textId="77777777">
        <w:trPr>
          <w:trHeight w:val="312"/>
          <w:jc w:val="center"/>
        </w:trPr>
        <w:tc>
          <w:tcPr>
            <w:tcW w:w="1760" w:type="dxa"/>
            <w:tcBorders>
              <w:top w:val="nil"/>
              <w:left w:val="nil"/>
              <w:bottom w:val="nil"/>
              <w:right w:val="nil"/>
            </w:tcBorders>
            <w:shd w:val="clear" w:color="auto" w:fill="auto"/>
            <w:noWrap/>
            <w:vAlign w:val="center"/>
          </w:tcPr>
          <w:p w14:paraId="74858481" w14:textId="77777777" w:rsidR="00D86489" w:rsidRDefault="00B22FD0">
            <w:pPr>
              <w:widowControl/>
              <w:jc w:val="left"/>
              <w:rPr>
                <w:rFonts w:ascii="Times New Roman" w:eastAsia="等线" w:hAnsi="Times New Roman"/>
                <w:color w:val="000000"/>
                <w:kern w:val="0"/>
                <w:szCs w:val="21"/>
              </w:rPr>
            </w:pPr>
            <w:r>
              <w:rPr>
                <w:rFonts w:ascii="Times New Roman" w:eastAsia="等线" w:hAnsi="Times New Roman" w:hint="eastAsia"/>
                <w:color w:val="000000"/>
                <w:kern w:val="0"/>
                <w:szCs w:val="21"/>
              </w:rPr>
              <w:t>TGF-</w:t>
            </w:r>
            <w:r>
              <w:rPr>
                <w:rFonts w:ascii="Times New Roman" w:eastAsia="等线" w:hAnsi="Times New Roman"/>
                <w:color w:val="000000"/>
                <w:kern w:val="0"/>
                <w:szCs w:val="21"/>
              </w:rPr>
              <w:t>β-F</w:t>
            </w:r>
          </w:p>
        </w:tc>
        <w:tc>
          <w:tcPr>
            <w:tcW w:w="4440" w:type="dxa"/>
            <w:tcBorders>
              <w:top w:val="nil"/>
              <w:left w:val="nil"/>
              <w:bottom w:val="nil"/>
              <w:right w:val="nil"/>
            </w:tcBorders>
            <w:shd w:val="clear" w:color="auto" w:fill="auto"/>
            <w:noWrap/>
            <w:vAlign w:val="center"/>
          </w:tcPr>
          <w:p w14:paraId="413949D1" w14:textId="77777777" w:rsidR="00D86489" w:rsidRDefault="00B22FD0">
            <w:pPr>
              <w:widowControl/>
              <w:jc w:val="left"/>
              <w:rPr>
                <w:rFonts w:ascii="Times New Roman" w:eastAsia="等线" w:hAnsi="Times New Roman"/>
                <w:color w:val="000000"/>
                <w:kern w:val="0"/>
                <w:szCs w:val="21"/>
              </w:rPr>
            </w:pPr>
            <w:r>
              <w:rPr>
                <w:rFonts w:ascii="Times New Roman" w:eastAsia="等线" w:hAnsi="Times New Roman"/>
                <w:color w:val="000000"/>
                <w:kern w:val="0"/>
                <w:szCs w:val="21"/>
              </w:rPr>
              <w:t>TTGCTTCAGCTCCACAGAGA</w:t>
            </w:r>
          </w:p>
        </w:tc>
      </w:tr>
      <w:tr w:rsidR="00D86489" w14:paraId="74B3868B" w14:textId="77777777">
        <w:trPr>
          <w:trHeight w:val="312"/>
          <w:jc w:val="center"/>
        </w:trPr>
        <w:tc>
          <w:tcPr>
            <w:tcW w:w="1760" w:type="dxa"/>
            <w:tcBorders>
              <w:top w:val="nil"/>
              <w:left w:val="nil"/>
              <w:bottom w:val="nil"/>
              <w:right w:val="nil"/>
            </w:tcBorders>
            <w:shd w:val="clear" w:color="auto" w:fill="auto"/>
            <w:noWrap/>
            <w:vAlign w:val="center"/>
          </w:tcPr>
          <w:p w14:paraId="7E327AFF" w14:textId="77777777" w:rsidR="00D86489" w:rsidRDefault="00B22FD0">
            <w:pPr>
              <w:widowControl/>
              <w:jc w:val="left"/>
              <w:rPr>
                <w:rFonts w:ascii="Times New Roman" w:eastAsia="等线" w:hAnsi="Times New Roman"/>
                <w:color w:val="000000"/>
                <w:kern w:val="0"/>
                <w:szCs w:val="21"/>
              </w:rPr>
            </w:pPr>
            <w:r>
              <w:rPr>
                <w:rFonts w:ascii="Times New Roman" w:eastAsia="等线" w:hAnsi="Times New Roman" w:hint="eastAsia"/>
                <w:color w:val="000000"/>
                <w:kern w:val="0"/>
                <w:szCs w:val="21"/>
              </w:rPr>
              <w:t>TGF-</w:t>
            </w:r>
            <w:r>
              <w:rPr>
                <w:rFonts w:ascii="Times New Roman" w:eastAsia="等线" w:hAnsi="Times New Roman"/>
                <w:color w:val="000000"/>
                <w:kern w:val="0"/>
                <w:szCs w:val="21"/>
              </w:rPr>
              <w:t>β-R</w:t>
            </w:r>
          </w:p>
        </w:tc>
        <w:tc>
          <w:tcPr>
            <w:tcW w:w="4440" w:type="dxa"/>
            <w:tcBorders>
              <w:top w:val="nil"/>
              <w:left w:val="nil"/>
              <w:bottom w:val="nil"/>
              <w:right w:val="nil"/>
            </w:tcBorders>
            <w:shd w:val="clear" w:color="auto" w:fill="auto"/>
            <w:noWrap/>
            <w:vAlign w:val="center"/>
          </w:tcPr>
          <w:p w14:paraId="71A57CD9" w14:textId="77777777" w:rsidR="00D86489" w:rsidRDefault="00B22FD0">
            <w:pPr>
              <w:widowControl/>
              <w:jc w:val="left"/>
              <w:rPr>
                <w:rFonts w:ascii="Times New Roman" w:eastAsia="等线" w:hAnsi="Times New Roman"/>
                <w:color w:val="000000"/>
                <w:kern w:val="0"/>
                <w:szCs w:val="21"/>
              </w:rPr>
            </w:pPr>
            <w:r>
              <w:rPr>
                <w:rFonts w:ascii="Times New Roman" w:eastAsia="等线" w:hAnsi="Times New Roman"/>
                <w:color w:val="000000"/>
                <w:kern w:val="0"/>
                <w:szCs w:val="21"/>
              </w:rPr>
              <w:t>TGGTTGTAGAGGGCAAGGAC</w:t>
            </w:r>
          </w:p>
        </w:tc>
      </w:tr>
      <w:tr w:rsidR="00D86489" w14:paraId="7DF68626" w14:textId="77777777">
        <w:trPr>
          <w:trHeight w:val="312"/>
          <w:jc w:val="center"/>
        </w:trPr>
        <w:tc>
          <w:tcPr>
            <w:tcW w:w="1760" w:type="dxa"/>
            <w:tcBorders>
              <w:top w:val="nil"/>
              <w:left w:val="nil"/>
              <w:bottom w:val="nil"/>
              <w:right w:val="nil"/>
            </w:tcBorders>
            <w:shd w:val="clear" w:color="auto" w:fill="auto"/>
            <w:noWrap/>
            <w:vAlign w:val="center"/>
          </w:tcPr>
          <w:p w14:paraId="263D6A20" w14:textId="77777777" w:rsidR="00D86489" w:rsidRDefault="00B22FD0">
            <w:pPr>
              <w:widowControl/>
              <w:jc w:val="left"/>
              <w:rPr>
                <w:rFonts w:ascii="Times New Roman" w:eastAsia="等线" w:hAnsi="Times New Roman"/>
                <w:color w:val="000000"/>
                <w:kern w:val="0"/>
                <w:szCs w:val="21"/>
              </w:rPr>
            </w:pPr>
            <w:r>
              <w:rPr>
                <w:rFonts w:ascii="Times New Roman" w:eastAsia="等线" w:hAnsi="Times New Roman" w:hint="eastAsia"/>
                <w:color w:val="000000"/>
                <w:kern w:val="0"/>
                <w:szCs w:val="21"/>
              </w:rPr>
              <w:t>IL-6</w:t>
            </w:r>
            <w:r>
              <w:rPr>
                <w:rFonts w:ascii="Times New Roman" w:eastAsia="等线" w:hAnsi="Times New Roman"/>
                <w:color w:val="000000"/>
                <w:kern w:val="0"/>
                <w:szCs w:val="21"/>
              </w:rPr>
              <w:t>-F</w:t>
            </w:r>
          </w:p>
        </w:tc>
        <w:tc>
          <w:tcPr>
            <w:tcW w:w="4440" w:type="dxa"/>
            <w:tcBorders>
              <w:top w:val="nil"/>
              <w:left w:val="nil"/>
              <w:bottom w:val="nil"/>
              <w:right w:val="nil"/>
            </w:tcBorders>
            <w:shd w:val="clear" w:color="auto" w:fill="auto"/>
            <w:noWrap/>
            <w:vAlign w:val="center"/>
          </w:tcPr>
          <w:p w14:paraId="1D1D0932" w14:textId="77777777" w:rsidR="00D86489" w:rsidRDefault="00B22FD0">
            <w:pPr>
              <w:widowControl/>
              <w:jc w:val="left"/>
              <w:rPr>
                <w:rFonts w:ascii="Times New Roman" w:eastAsia="等线" w:hAnsi="Times New Roman"/>
                <w:color w:val="000000"/>
                <w:kern w:val="0"/>
                <w:szCs w:val="21"/>
              </w:rPr>
            </w:pPr>
            <w:r>
              <w:rPr>
                <w:rFonts w:ascii="Times New Roman" w:eastAsia="等线" w:hAnsi="Times New Roman"/>
                <w:color w:val="000000"/>
                <w:kern w:val="0"/>
                <w:szCs w:val="21"/>
              </w:rPr>
              <w:t>GGAGCCCACCAAGAACGATA</w:t>
            </w:r>
          </w:p>
        </w:tc>
      </w:tr>
      <w:tr w:rsidR="00D86489" w14:paraId="7C9166B8" w14:textId="77777777">
        <w:trPr>
          <w:trHeight w:val="312"/>
          <w:jc w:val="center"/>
        </w:trPr>
        <w:tc>
          <w:tcPr>
            <w:tcW w:w="1760" w:type="dxa"/>
            <w:tcBorders>
              <w:top w:val="nil"/>
              <w:left w:val="nil"/>
              <w:bottom w:val="nil"/>
              <w:right w:val="nil"/>
            </w:tcBorders>
            <w:shd w:val="clear" w:color="auto" w:fill="auto"/>
            <w:noWrap/>
            <w:vAlign w:val="center"/>
          </w:tcPr>
          <w:p w14:paraId="7585487A" w14:textId="77777777" w:rsidR="00D86489" w:rsidRDefault="00B22FD0">
            <w:pPr>
              <w:widowControl/>
              <w:jc w:val="left"/>
              <w:rPr>
                <w:rFonts w:ascii="Times New Roman" w:eastAsia="等线" w:hAnsi="Times New Roman"/>
                <w:color w:val="000000"/>
                <w:kern w:val="0"/>
                <w:szCs w:val="21"/>
              </w:rPr>
            </w:pPr>
            <w:r>
              <w:rPr>
                <w:rFonts w:ascii="Times New Roman" w:eastAsia="等线" w:hAnsi="Times New Roman" w:hint="eastAsia"/>
                <w:color w:val="000000"/>
                <w:kern w:val="0"/>
                <w:szCs w:val="21"/>
              </w:rPr>
              <w:t>IL-6</w:t>
            </w:r>
            <w:r>
              <w:rPr>
                <w:rFonts w:ascii="Times New Roman" w:eastAsia="等线" w:hAnsi="Times New Roman"/>
                <w:color w:val="000000"/>
                <w:kern w:val="0"/>
                <w:szCs w:val="21"/>
              </w:rPr>
              <w:t>-R</w:t>
            </w:r>
          </w:p>
        </w:tc>
        <w:tc>
          <w:tcPr>
            <w:tcW w:w="4440" w:type="dxa"/>
            <w:tcBorders>
              <w:top w:val="nil"/>
              <w:left w:val="nil"/>
              <w:bottom w:val="nil"/>
              <w:right w:val="nil"/>
            </w:tcBorders>
            <w:shd w:val="clear" w:color="auto" w:fill="auto"/>
            <w:noWrap/>
            <w:vAlign w:val="center"/>
          </w:tcPr>
          <w:p w14:paraId="153A6716" w14:textId="77777777" w:rsidR="00D86489" w:rsidRDefault="00B22FD0">
            <w:pPr>
              <w:widowControl/>
              <w:jc w:val="left"/>
              <w:rPr>
                <w:rFonts w:ascii="Times New Roman" w:eastAsia="等线" w:hAnsi="Times New Roman"/>
                <w:color w:val="000000"/>
                <w:kern w:val="0"/>
                <w:szCs w:val="21"/>
              </w:rPr>
            </w:pPr>
            <w:r>
              <w:rPr>
                <w:rFonts w:ascii="Times New Roman" w:eastAsia="等线" w:hAnsi="Times New Roman"/>
                <w:color w:val="000000"/>
                <w:kern w:val="0"/>
                <w:szCs w:val="21"/>
              </w:rPr>
              <w:t>AGACAGGTCTGTTGGGAGTG</w:t>
            </w:r>
          </w:p>
        </w:tc>
      </w:tr>
      <w:tr w:rsidR="00D86489" w14:paraId="1C3265E2" w14:textId="77777777">
        <w:trPr>
          <w:trHeight w:val="312"/>
          <w:jc w:val="center"/>
        </w:trPr>
        <w:tc>
          <w:tcPr>
            <w:tcW w:w="1760" w:type="dxa"/>
            <w:tcBorders>
              <w:top w:val="nil"/>
              <w:left w:val="nil"/>
              <w:bottom w:val="nil"/>
              <w:right w:val="nil"/>
            </w:tcBorders>
            <w:shd w:val="clear" w:color="auto" w:fill="auto"/>
            <w:noWrap/>
            <w:vAlign w:val="center"/>
          </w:tcPr>
          <w:p w14:paraId="711E95BB" w14:textId="77777777" w:rsidR="00D86489" w:rsidRDefault="00B22FD0">
            <w:pPr>
              <w:widowControl/>
              <w:jc w:val="left"/>
              <w:rPr>
                <w:rFonts w:ascii="Times New Roman" w:eastAsia="等线" w:hAnsi="Times New Roman"/>
                <w:color w:val="000000"/>
                <w:kern w:val="0"/>
                <w:szCs w:val="21"/>
              </w:rPr>
            </w:pPr>
            <w:r>
              <w:rPr>
                <w:rFonts w:ascii="Times New Roman" w:eastAsia="等线" w:hAnsi="Times New Roman" w:hint="eastAsia"/>
                <w:color w:val="000000"/>
                <w:kern w:val="0"/>
                <w:szCs w:val="21"/>
              </w:rPr>
              <w:t>TNF-</w:t>
            </w:r>
            <w:r>
              <w:rPr>
                <w:rFonts w:ascii="Times New Roman" w:eastAsia="等线" w:hAnsi="Times New Roman" w:hint="eastAsia"/>
                <w:color w:val="000000"/>
                <w:kern w:val="0"/>
                <w:szCs w:val="21"/>
              </w:rPr>
              <w:sym w:font="Symbol" w:char="F061"/>
            </w:r>
            <w:r>
              <w:rPr>
                <w:rFonts w:ascii="Times New Roman" w:eastAsia="等线" w:hAnsi="Times New Roman"/>
                <w:color w:val="000000"/>
                <w:kern w:val="0"/>
                <w:szCs w:val="21"/>
              </w:rPr>
              <w:t>-F</w:t>
            </w:r>
          </w:p>
        </w:tc>
        <w:tc>
          <w:tcPr>
            <w:tcW w:w="4440" w:type="dxa"/>
            <w:tcBorders>
              <w:top w:val="nil"/>
              <w:left w:val="nil"/>
              <w:bottom w:val="nil"/>
              <w:right w:val="nil"/>
            </w:tcBorders>
            <w:shd w:val="clear" w:color="auto" w:fill="auto"/>
            <w:noWrap/>
            <w:vAlign w:val="center"/>
          </w:tcPr>
          <w:p w14:paraId="3D630E8F" w14:textId="77777777" w:rsidR="00D86489" w:rsidRDefault="00B22FD0">
            <w:pPr>
              <w:widowControl/>
              <w:jc w:val="left"/>
              <w:rPr>
                <w:rFonts w:ascii="Times New Roman" w:eastAsia="等线" w:hAnsi="Times New Roman"/>
                <w:color w:val="000000"/>
                <w:kern w:val="0"/>
                <w:szCs w:val="21"/>
              </w:rPr>
            </w:pPr>
            <w:r>
              <w:rPr>
                <w:rFonts w:ascii="Times New Roman" w:eastAsia="等线" w:hAnsi="Times New Roman"/>
                <w:color w:val="000000"/>
                <w:kern w:val="0"/>
                <w:szCs w:val="21"/>
              </w:rPr>
              <w:t>CAGGCGGTGCCTATGTCTC</w:t>
            </w:r>
          </w:p>
        </w:tc>
      </w:tr>
      <w:tr w:rsidR="00D86489" w14:paraId="661EB671" w14:textId="77777777">
        <w:trPr>
          <w:trHeight w:val="312"/>
          <w:jc w:val="center"/>
        </w:trPr>
        <w:tc>
          <w:tcPr>
            <w:tcW w:w="1760" w:type="dxa"/>
            <w:tcBorders>
              <w:top w:val="nil"/>
              <w:left w:val="nil"/>
              <w:bottom w:val="nil"/>
              <w:right w:val="nil"/>
            </w:tcBorders>
            <w:shd w:val="clear" w:color="auto" w:fill="auto"/>
            <w:noWrap/>
            <w:vAlign w:val="center"/>
          </w:tcPr>
          <w:p w14:paraId="547B5216" w14:textId="77777777" w:rsidR="00D86489" w:rsidRDefault="00B22FD0">
            <w:pPr>
              <w:widowControl/>
              <w:jc w:val="left"/>
              <w:rPr>
                <w:rFonts w:ascii="Times New Roman" w:eastAsia="等线" w:hAnsi="Times New Roman"/>
                <w:color w:val="000000"/>
                <w:kern w:val="0"/>
                <w:szCs w:val="21"/>
              </w:rPr>
            </w:pPr>
            <w:r>
              <w:rPr>
                <w:rFonts w:ascii="Times New Roman" w:eastAsia="等线" w:hAnsi="Times New Roman" w:hint="eastAsia"/>
                <w:color w:val="000000"/>
                <w:kern w:val="0"/>
                <w:szCs w:val="21"/>
              </w:rPr>
              <w:t>TNF-</w:t>
            </w:r>
            <w:r>
              <w:rPr>
                <w:rFonts w:ascii="Times New Roman" w:eastAsia="等线" w:hAnsi="Times New Roman" w:hint="eastAsia"/>
                <w:color w:val="000000"/>
                <w:kern w:val="0"/>
                <w:szCs w:val="21"/>
              </w:rPr>
              <w:sym w:font="Symbol" w:char="F061"/>
            </w:r>
            <w:r>
              <w:rPr>
                <w:rFonts w:ascii="Times New Roman" w:eastAsia="等线" w:hAnsi="Times New Roman"/>
                <w:color w:val="000000"/>
                <w:kern w:val="0"/>
                <w:szCs w:val="21"/>
              </w:rPr>
              <w:t>-R</w:t>
            </w:r>
          </w:p>
        </w:tc>
        <w:tc>
          <w:tcPr>
            <w:tcW w:w="4440" w:type="dxa"/>
            <w:tcBorders>
              <w:top w:val="nil"/>
              <w:left w:val="nil"/>
              <w:bottom w:val="nil"/>
              <w:right w:val="nil"/>
            </w:tcBorders>
            <w:shd w:val="clear" w:color="auto" w:fill="auto"/>
            <w:noWrap/>
            <w:vAlign w:val="center"/>
          </w:tcPr>
          <w:p w14:paraId="1A08FEAB" w14:textId="77777777" w:rsidR="00D86489" w:rsidRDefault="00B22FD0">
            <w:pPr>
              <w:widowControl/>
              <w:jc w:val="left"/>
              <w:rPr>
                <w:rFonts w:ascii="Times New Roman" w:eastAsia="等线" w:hAnsi="Times New Roman"/>
                <w:color w:val="000000"/>
                <w:kern w:val="0"/>
                <w:szCs w:val="21"/>
              </w:rPr>
            </w:pPr>
            <w:r>
              <w:rPr>
                <w:rFonts w:ascii="Times New Roman" w:eastAsia="等线" w:hAnsi="Times New Roman"/>
                <w:color w:val="000000"/>
                <w:kern w:val="0"/>
                <w:szCs w:val="21"/>
              </w:rPr>
              <w:t>CGATCACCCCGAAGTTCAGTAG</w:t>
            </w:r>
          </w:p>
        </w:tc>
      </w:tr>
      <w:tr w:rsidR="00D86489" w14:paraId="77A561A7" w14:textId="77777777">
        <w:trPr>
          <w:trHeight w:val="312"/>
          <w:jc w:val="center"/>
        </w:trPr>
        <w:tc>
          <w:tcPr>
            <w:tcW w:w="1760" w:type="dxa"/>
            <w:tcBorders>
              <w:top w:val="nil"/>
              <w:left w:val="nil"/>
              <w:bottom w:val="nil"/>
              <w:right w:val="nil"/>
            </w:tcBorders>
            <w:shd w:val="clear" w:color="auto" w:fill="auto"/>
            <w:noWrap/>
            <w:vAlign w:val="center"/>
          </w:tcPr>
          <w:p w14:paraId="434A0277" w14:textId="77777777" w:rsidR="00D86489" w:rsidRDefault="00B22FD0">
            <w:pPr>
              <w:widowControl/>
              <w:jc w:val="left"/>
              <w:rPr>
                <w:rFonts w:ascii="Times New Roman" w:eastAsia="等线" w:hAnsi="Times New Roman"/>
                <w:color w:val="000000"/>
                <w:kern w:val="0"/>
                <w:szCs w:val="21"/>
              </w:rPr>
            </w:pPr>
            <w:r>
              <w:rPr>
                <w:rFonts w:ascii="Times New Roman" w:eastAsia="等线" w:hAnsi="Times New Roman" w:hint="eastAsia"/>
                <w:color w:val="000000"/>
                <w:kern w:val="0"/>
                <w:szCs w:val="21"/>
              </w:rPr>
              <w:t>BAFF</w:t>
            </w:r>
            <w:r>
              <w:rPr>
                <w:rFonts w:ascii="Times New Roman" w:eastAsia="等线" w:hAnsi="Times New Roman"/>
                <w:color w:val="000000"/>
                <w:kern w:val="0"/>
                <w:szCs w:val="21"/>
              </w:rPr>
              <w:t>-F</w:t>
            </w:r>
          </w:p>
        </w:tc>
        <w:tc>
          <w:tcPr>
            <w:tcW w:w="4440" w:type="dxa"/>
            <w:tcBorders>
              <w:top w:val="nil"/>
              <w:left w:val="nil"/>
              <w:bottom w:val="nil"/>
              <w:right w:val="nil"/>
            </w:tcBorders>
            <w:shd w:val="clear" w:color="auto" w:fill="auto"/>
            <w:noWrap/>
            <w:vAlign w:val="center"/>
          </w:tcPr>
          <w:p w14:paraId="094D5AE9" w14:textId="77777777" w:rsidR="00D86489" w:rsidRDefault="00B22FD0">
            <w:pPr>
              <w:widowControl/>
              <w:jc w:val="left"/>
              <w:rPr>
                <w:rFonts w:ascii="Times New Roman" w:eastAsia="等线" w:hAnsi="Times New Roman"/>
                <w:color w:val="000000"/>
                <w:kern w:val="0"/>
                <w:szCs w:val="21"/>
              </w:rPr>
            </w:pPr>
            <w:r>
              <w:rPr>
                <w:rFonts w:ascii="Times New Roman" w:eastAsia="等线" w:hAnsi="Times New Roman"/>
                <w:color w:val="000000"/>
                <w:kern w:val="0"/>
                <w:szCs w:val="21"/>
              </w:rPr>
              <w:t>ACACTGCCCAACAATTCCTG</w:t>
            </w:r>
          </w:p>
        </w:tc>
      </w:tr>
      <w:tr w:rsidR="00D86489" w14:paraId="544E53A7" w14:textId="77777777">
        <w:trPr>
          <w:trHeight w:val="312"/>
          <w:jc w:val="center"/>
        </w:trPr>
        <w:tc>
          <w:tcPr>
            <w:tcW w:w="1760" w:type="dxa"/>
            <w:tcBorders>
              <w:top w:val="nil"/>
              <w:left w:val="nil"/>
              <w:bottom w:val="nil"/>
              <w:right w:val="nil"/>
            </w:tcBorders>
            <w:shd w:val="clear" w:color="auto" w:fill="auto"/>
            <w:noWrap/>
            <w:vAlign w:val="center"/>
          </w:tcPr>
          <w:p w14:paraId="1EA028AC" w14:textId="77777777" w:rsidR="00D86489" w:rsidRDefault="00B22FD0">
            <w:pPr>
              <w:widowControl/>
              <w:jc w:val="left"/>
              <w:rPr>
                <w:rFonts w:ascii="Times New Roman" w:eastAsia="等线" w:hAnsi="Times New Roman"/>
                <w:color w:val="000000"/>
                <w:kern w:val="0"/>
                <w:szCs w:val="21"/>
              </w:rPr>
            </w:pPr>
            <w:r>
              <w:rPr>
                <w:rFonts w:ascii="Times New Roman" w:eastAsia="等线" w:hAnsi="Times New Roman" w:hint="eastAsia"/>
                <w:color w:val="000000"/>
                <w:kern w:val="0"/>
                <w:szCs w:val="21"/>
              </w:rPr>
              <w:t>BAFF</w:t>
            </w:r>
            <w:r>
              <w:rPr>
                <w:rFonts w:ascii="Times New Roman" w:eastAsia="等线" w:hAnsi="Times New Roman"/>
                <w:color w:val="000000"/>
                <w:kern w:val="0"/>
                <w:szCs w:val="21"/>
              </w:rPr>
              <w:t>-R</w:t>
            </w:r>
          </w:p>
        </w:tc>
        <w:tc>
          <w:tcPr>
            <w:tcW w:w="4440" w:type="dxa"/>
            <w:tcBorders>
              <w:top w:val="nil"/>
              <w:left w:val="nil"/>
              <w:bottom w:val="nil"/>
              <w:right w:val="nil"/>
            </w:tcBorders>
            <w:shd w:val="clear" w:color="auto" w:fill="auto"/>
            <w:noWrap/>
            <w:vAlign w:val="center"/>
          </w:tcPr>
          <w:p w14:paraId="014522A2" w14:textId="77777777" w:rsidR="00D86489" w:rsidRDefault="00B22FD0">
            <w:pPr>
              <w:widowControl/>
              <w:jc w:val="left"/>
              <w:rPr>
                <w:rFonts w:ascii="Times New Roman" w:eastAsia="等线" w:hAnsi="Times New Roman"/>
                <w:color w:val="000000"/>
                <w:kern w:val="0"/>
                <w:szCs w:val="21"/>
              </w:rPr>
            </w:pPr>
            <w:r>
              <w:rPr>
                <w:rFonts w:ascii="Times New Roman" w:eastAsia="等线" w:hAnsi="Times New Roman"/>
                <w:color w:val="000000"/>
                <w:kern w:val="0"/>
                <w:szCs w:val="21"/>
              </w:rPr>
              <w:t>TCGTCTCCGTTGCGTGAAATC</w:t>
            </w:r>
          </w:p>
        </w:tc>
      </w:tr>
      <w:tr w:rsidR="00D86489" w14:paraId="02DB7BA2" w14:textId="77777777">
        <w:trPr>
          <w:trHeight w:val="312"/>
          <w:jc w:val="center"/>
        </w:trPr>
        <w:tc>
          <w:tcPr>
            <w:tcW w:w="1760" w:type="dxa"/>
            <w:tcBorders>
              <w:top w:val="nil"/>
              <w:left w:val="nil"/>
              <w:bottom w:val="nil"/>
              <w:right w:val="nil"/>
            </w:tcBorders>
            <w:shd w:val="clear" w:color="auto" w:fill="auto"/>
            <w:noWrap/>
            <w:vAlign w:val="center"/>
          </w:tcPr>
          <w:p w14:paraId="5BEC0D5A" w14:textId="77777777" w:rsidR="00D86489" w:rsidRDefault="00B22FD0">
            <w:pPr>
              <w:widowControl/>
              <w:jc w:val="left"/>
              <w:rPr>
                <w:rFonts w:ascii="Times New Roman" w:eastAsia="等线" w:hAnsi="Times New Roman"/>
                <w:color w:val="000000"/>
                <w:kern w:val="0"/>
                <w:szCs w:val="21"/>
              </w:rPr>
            </w:pPr>
            <w:r>
              <w:rPr>
                <w:rFonts w:ascii="Times New Roman" w:eastAsia="等线" w:hAnsi="Times New Roman" w:hint="eastAsia"/>
                <w:color w:val="000000"/>
                <w:kern w:val="0"/>
                <w:szCs w:val="21"/>
              </w:rPr>
              <w:t>TLR1</w:t>
            </w:r>
            <w:r>
              <w:rPr>
                <w:rFonts w:ascii="Times New Roman" w:eastAsia="等线" w:hAnsi="Times New Roman"/>
                <w:color w:val="000000"/>
                <w:kern w:val="0"/>
                <w:szCs w:val="21"/>
              </w:rPr>
              <w:t>-F</w:t>
            </w:r>
          </w:p>
        </w:tc>
        <w:tc>
          <w:tcPr>
            <w:tcW w:w="4440" w:type="dxa"/>
            <w:tcBorders>
              <w:top w:val="nil"/>
              <w:left w:val="nil"/>
              <w:bottom w:val="nil"/>
              <w:right w:val="nil"/>
            </w:tcBorders>
            <w:shd w:val="clear" w:color="auto" w:fill="auto"/>
            <w:noWrap/>
            <w:vAlign w:val="center"/>
          </w:tcPr>
          <w:p w14:paraId="09C91947" w14:textId="77777777" w:rsidR="00D86489" w:rsidRDefault="00B22FD0">
            <w:pPr>
              <w:widowControl/>
              <w:jc w:val="left"/>
              <w:rPr>
                <w:rFonts w:ascii="Times New Roman" w:eastAsia="等线" w:hAnsi="Times New Roman"/>
                <w:color w:val="000000"/>
                <w:kern w:val="0"/>
                <w:szCs w:val="21"/>
              </w:rPr>
            </w:pPr>
            <w:r>
              <w:rPr>
                <w:rFonts w:ascii="Times New Roman" w:eastAsia="等线" w:hAnsi="Times New Roman"/>
                <w:color w:val="000000"/>
                <w:kern w:val="0"/>
                <w:szCs w:val="21"/>
              </w:rPr>
              <w:t>TGAGGGTCCTGATAATGTCCTAC</w:t>
            </w:r>
          </w:p>
        </w:tc>
      </w:tr>
      <w:tr w:rsidR="00D86489" w14:paraId="6E079184" w14:textId="77777777">
        <w:trPr>
          <w:trHeight w:val="312"/>
          <w:jc w:val="center"/>
        </w:trPr>
        <w:tc>
          <w:tcPr>
            <w:tcW w:w="1760" w:type="dxa"/>
            <w:tcBorders>
              <w:top w:val="nil"/>
              <w:left w:val="nil"/>
              <w:bottom w:val="nil"/>
              <w:right w:val="nil"/>
            </w:tcBorders>
            <w:shd w:val="clear" w:color="auto" w:fill="auto"/>
            <w:noWrap/>
            <w:vAlign w:val="center"/>
          </w:tcPr>
          <w:p w14:paraId="3922AA3A" w14:textId="77777777" w:rsidR="00D86489" w:rsidRDefault="00B22FD0">
            <w:pPr>
              <w:widowControl/>
              <w:jc w:val="left"/>
              <w:rPr>
                <w:rFonts w:ascii="Times New Roman" w:eastAsia="等线" w:hAnsi="Times New Roman"/>
                <w:color w:val="000000"/>
                <w:kern w:val="0"/>
                <w:szCs w:val="21"/>
              </w:rPr>
            </w:pPr>
            <w:r>
              <w:rPr>
                <w:rFonts w:ascii="Times New Roman" w:eastAsia="等线" w:hAnsi="Times New Roman" w:hint="eastAsia"/>
                <w:color w:val="000000"/>
                <w:kern w:val="0"/>
                <w:szCs w:val="21"/>
              </w:rPr>
              <w:t>TLR1</w:t>
            </w:r>
            <w:r>
              <w:rPr>
                <w:rFonts w:ascii="Times New Roman" w:eastAsia="等线" w:hAnsi="Times New Roman"/>
                <w:color w:val="000000"/>
                <w:kern w:val="0"/>
                <w:szCs w:val="21"/>
              </w:rPr>
              <w:t>-R</w:t>
            </w:r>
          </w:p>
        </w:tc>
        <w:tc>
          <w:tcPr>
            <w:tcW w:w="4440" w:type="dxa"/>
            <w:tcBorders>
              <w:top w:val="nil"/>
              <w:left w:val="nil"/>
              <w:bottom w:val="nil"/>
              <w:right w:val="nil"/>
            </w:tcBorders>
            <w:shd w:val="clear" w:color="auto" w:fill="auto"/>
            <w:noWrap/>
            <w:vAlign w:val="center"/>
          </w:tcPr>
          <w:p w14:paraId="01E94BA4" w14:textId="77777777" w:rsidR="00D86489" w:rsidRDefault="00B22FD0">
            <w:pPr>
              <w:widowControl/>
              <w:jc w:val="left"/>
              <w:rPr>
                <w:rFonts w:ascii="Times New Roman" w:eastAsia="等线" w:hAnsi="Times New Roman"/>
                <w:color w:val="000000"/>
                <w:kern w:val="0"/>
                <w:szCs w:val="21"/>
              </w:rPr>
            </w:pPr>
            <w:r>
              <w:rPr>
                <w:rFonts w:ascii="Times New Roman" w:eastAsia="等线" w:hAnsi="Times New Roman"/>
                <w:color w:val="000000"/>
                <w:kern w:val="0"/>
                <w:szCs w:val="21"/>
              </w:rPr>
              <w:t>AGAGGTCCAAATGCTTGAGGC</w:t>
            </w:r>
          </w:p>
        </w:tc>
      </w:tr>
      <w:tr w:rsidR="00D86489" w14:paraId="7EA63131" w14:textId="77777777">
        <w:trPr>
          <w:trHeight w:val="312"/>
          <w:jc w:val="center"/>
        </w:trPr>
        <w:tc>
          <w:tcPr>
            <w:tcW w:w="1760" w:type="dxa"/>
            <w:tcBorders>
              <w:top w:val="nil"/>
              <w:left w:val="nil"/>
              <w:bottom w:val="nil"/>
              <w:right w:val="nil"/>
            </w:tcBorders>
            <w:shd w:val="clear" w:color="auto" w:fill="auto"/>
            <w:noWrap/>
            <w:vAlign w:val="center"/>
          </w:tcPr>
          <w:p w14:paraId="336664F9" w14:textId="77777777" w:rsidR="00D86489" w:rsidRDefault="00B22FD0">
            <w:pPr>
              <w:widowControl/>
              <w:jc w:val="left"/>
              <w:rPr>
                <w:rFonts w:ascii="Times New Roman" w:eastAsia="等线" w:hAnsi="Times New Roman"/>
                <w:color w:val="000000"/>
                <w:kern w:val="0"/>
                <w:szCs w:val="21"/>
              </w:rPr>
            </w:pPr>
            <w:r>
              <w:rPr>
                <w:rFonts w:ascii="Times New Roman" w:eastAsia="等线" w:hAnsi="Times New Roman" w:hint="eastAsia"/>
                <w:color w:val="000000"/>
                <w:kern w:val="0"/>
                <w:szCs w:val="21"/>
              </w:rPr>
              <w:t>TLR2</w:t>
            </w:r>
            <w:r>
              <w:rPr>
                <w:rFonts w:ascii="Times New Roman" w:eastAsia="等线" w:hAnsi="Times New Roman"/>
                <w:color w:val="000000"/>
                <w:kern w:val="0"/>
                <w:szCs w:val="21"/>
              </w:rPr>
              <w:t>-F</w:t>
            </w:r>
          </w:p>
        </w:tc>
        <w:tc>
          <w:tcPr>
            <w:tcW w:w="4440" w:type="dxa"/>
            <w:tcBorders>
              <w:top w:val="nil"/>
              <w:left w:val="nil"/>
              <w:bottom w:val="nil"/>
              <w:right w:val="nil"/>
            </w:tcBorders>
            <w:shd w:val="clear" w:color="auto" w:fill="auto"/>
            <w:noWrap/>
            <w:vAlign w:val="center"/>
          </w:tcPr>
          <w:p w14:paraId="7A3C8423" w14:textId="77777777" w:rsidR="00D86489" w:rsidRDefault="00B22FD0">
            <w:pPr>
              <w:widowControl/>
              <w:jc w:val="left"/>
              <w:rPr>
                <w:rFonts w:ascii="Times New Roman" w:eastAsia="等线" w:hAnsi="Times New Roman"/>
                <w:color w:val="000000"/>
                <w:kern w:val="0"/>
                <w:szCs w:val="21"/>
              </w:rPr>
            </w:pPr>
            <w:r>
              <w:rPr>
                <w:rFonts w:ascii="Times New Roman" w:eastAsia="等线" w:hAnsi="Times New Roman"/>
                <w:color w:val="000000"/>
                <w:kern w:val="0"/>
                <w:szCs w:val="21"/>
              </w:rPr>
              <w:t>GCAAACGCTGTTCTGCTCAG</w:t>
            </w:r>
          </w:p>
        </w:tc>
      </w:tr>
      <w:tr w:rsidR="00D86489" w14:paraId="570C7D65" w14:textId="77777777">
        <w:trPr>
          <w:trHeight w:val="312"/>
          <w:jc w:val="center"/>
        </w:trPr>
        <w:tc>
          <w:tcPr>
            <w:tcW w:w="1760" w:type="dxa"/>
            <w:tcBorders>
              <w:top w:val="nil"/>
              <w:left w:val="nil"/>
              <w:bottom w:val="nil"/>
              <w:right w:val="nil"/>
            </w:tcBorders>
            <w:shd w:val="clear" w:color="auto" w:fill="auto"/>
            <w:noWrap/>
            <w:vAlign w:val="center"/>
          </w:tcPr>
          <w:p w14:paraId="48BA1604" w14:textId="77777777" w:rsidR="00D86489" w:rsidRDefault="00B22FD0">
            <w:pPr>
              <w:widowControl/>
              <w:jc w:val="left"/>
              <w:rPr>
                <w:rFonts w:ascii="Times New Roman" w:eastAsia="等线" w:hAnsi="Times New Roman"/>
                <w:color w:val="000000"/>
                <w:kern w:val="0"/>
                <w:szCs w:val="21"/>
              </w:rPr>
            </w:pPr>
            <w:r>
              <w:rPr>
                <w:rFonts w:ascii="Times New Roman" w:eastAsia="等线" w:hAnsi="Times New Roman" w:hint="eastAsia"/>
                <w:color w:val="000000"/>
                <w:kern w:val="0"/>
                <w:szCs w:val="21"/>
              </w:rPr>
              <w:t>TLR2</w:t>
            </w:r>
            <w:r>
              <w:rPr>
                <w:rFonts w:ascii="Times New Roman" w:eastAsia="等线" w:hAnsi="Times New Roman"/>
                <w:color w:val="000000"/>
                <w:kern w:val="0"/>
                <w:szCs w:val="21"/>
              </w:rPr>
              <w:t>-R</w:t>
            </w:r>
          </w:p>
        </w:tc>
        <w:tc>
          <w:tcPr>
            <w:tcW w:w="4440" w:type="dxa"/>
            <w:tcBorders>
              <w:top w:val="nil"/>
              <w:left w:val="nil"/>
              <w:bottom w:val="nil"/>
              <w:right w:val="nil"/>
            </w:tcBorders>
            <w:shd w:val="clear" w:color="auto" w:fill="auto"/>
            <w:noWrap/>
            <w:vAlign w:val="center"/>
          </w:tcPr>
          <w:p w14:paraId="25EB82FA" w14:textId="77777777" w:rsidR="00D86489" w:rsidRDefault="00B22FD0">
            <w:pPr>
              <w:widowControl/>
              <w:jc w:val="left"/>
              <w:rPr>
                <w:rFonts w:ascii="Times New Roman" w:eastAsia="等线" w:hAnsi="Times New Roman"/>
                <w:color w:val="000000"/>
                <w:kern w:val="0"/>
                <w:szCs w:val="21"/>
              </w:rPr>
            </w:pPr>
            <w:r>
              <w:rPr>
                <w:rFonts w:ascii="Times New Roman" w:eastAsia="等线" w:hAnsi="Times New Roman"/>
                <w:color w:val="000000"/>
                <w:kern w:val="0"/>
                <w:szCs w:val="21"/>
              </w:rPr>
              <w:t>AGGCGTCTCCCTCTATTGTATT</w:t>
            </w:r>
          </w:p>
        </w:tc>
      </w:tr>
      <w:tr w:rsidR="00D86489" w14:paraId="43478503" w14:textId="77777777">
        <w:trPr>
          <w:trHeight w:val="312"/>
          <w:jc w:val="center"/>
        </w:trPr>
        <w:tc>
          <w:tcPr>
            <w:tcW w:w="1760" w:type="dxa"/>
            <w:tcBorders>
              <w:top w:val="nil"/>
              <w:left w:val="nil"/>
              <w:bottom w:val="nil"/>
              <w:right w:val="nil"/>
            </w:tcBorders>
            <w:shd w:val="clear" w:color="auto" w:fill="auto"/>
            <w:noWrap/>
            <w:vAlign w:val="center"/>
          </w:tcPr>
          <w:p w14:paraId="15337DF6" w14:textId="77777777" w:rsidR="00D86489" w:rsidRDefault="00B22FD0">
            <w:pPr>
              <w:widowControl/>
              <w:jc w:val="left"/>
              <w:rPr>
                <w:rFonts w:ascii="Times New Roman" w:eastAsia="等线" w:hAnsi="Times New Roman"/>
                <w:color w:val="000000"/>
                <w:kern w:val="0"/>
                <w:szCs w:val="21"/>
              </w:rPr>
            </w:pPr>
            <w:r>
              <w:rPr>
                <w:rFonts w:ascii="Times New Roman" w:eastAsia="等线" w:hAnsi="Times New Roman" w:hint="eastAsia"/>
                <w:color w:val="000000"/>
                <w:kern w:val="0"/>
                <w:szCs w:val="21"/>
              </w:rPr>
              <w:t>TLR4</w:t>
            </w:r>
            <w:r>
              <w:rPr>
                <w:rFonts w:ascii="Times New Roman" w:eastAsia="等线" w:hAnsi="Times New Roman"/>
                <w:color w:val="000000"/>
                <w:kern w:val="0"/>
                <w:szCs w:val="21"/>
              </w:rPr>
              <w:t>-F</w:t>
            </w:r>
          </w:p>
        </w:tc>
        <w:tc>
          <w:tcPr>
            <w:tcW w:w="4440" w:type="dxa"/>
            <w:tcBorders>
              <w:top w:val="nil"/>
              <w:left w:val="nil"/>
              <w:bottom w:val="nil"/>
              <w:right w:val="nil"/>
            </w:tcBorders>
            <w:shd w:val="clear" w:color="auto" w:fill="auto"/>
            <w:noWrap/>
            <w:vAlign w:val="center"/>
          </w:tcPr>
          <w:p w14:paraId="7373F9EA" w14:textId="77777777" w:rsidR="00D86489" w:rsidRDefault="00B22FD0">
            <w:pPr>
              <w:widowControl/>
              <w:jc w:val="left"/>
              <w:rPr>
                <w:rFonts w:ascii="Times New Roman" w:eastAsia="等线" w:hAnsi="Times New Roman"/>
                <w:color w:val="000000"/>
                <w:kern w:val="0"/>
                <w:szCs w:val="21"/>
              </w:rPr>
            </w:pPr>
            <w:r>
              <w:rPr>
                <w:rFonts w:ascii="Times New Roman" w:eastAsia="等线" w:hAnsi="Times New Roman"/>
                <w:color w:val="000000"/>
                <w:kern w:val="0"/>
                <w:szCs w:val="21"/>
              </w:rPr>
              <w:t>GCTTTCACCTCTGCCTTCAC</w:t>
            </w:r>
          </w:p>
        </w:tc>
      </w:tr>
      <w:tr w:rsidR="00D86489" w14:paraId="6770714D" w14:textId="77777777">
        <w:trPr>
          <w:trHeight w:val="312"/>
          <w:jc w:val="center"/>
        </w:trPr>
        <w:tc>
          <w:tcPr>
            <w:tcW w:w="1760" w:type="dxa"/>
            <w:tcBorders>
              <w:top w:val="nil"/>
              <w:left w:val="nil"/>
              <w:bottom w:val="nil"/>
              <w:right w:val="nil"/>
            </w:tcBorders>
            <w:shd w:val="clear" w:color="auto" w:fill="auto"/>
            <w:noWrap/>
            <w:vAlign w:val="center"/>
          </w:tcPr>
          <w:p w14:paraId="29C6996F" w14:textId="77777777" w:rsidR="00D86489" w:rsidRDefault="00B22FD0">
            <w:pPr>
              <w:widowControl/>
              <w:jc w:val="left"/>
              <w:rPr>
                <w:rFonts w:ascii="Times New Roman" w:eastAsia="等线" w:hAnsi="Times New Roman"/>
                <w:color w:val="000000"/>
                <w:kern w:val="0"/>
                <w:szCs w:val="21"/>
              </w:rPr>
            </w:pPr>
            <w:r>
              <w:rPr>
                <w:rFonts w:ascii="Times New Roman" w:eastAsia="等线" w:hAnsi="Times New Roman" w:hint="eastAsia"/>
                <w:color w:val="000000"/>
                <w:kern w:val="0"/>
                <w:szCs w:val="21"/>
              </w:rPr>
              <w:t>TLR4</w:t>
            </w:r>
            <w:r>
              <w:rPr>
                <w:rFonts w:ascii="Times New Roman" w:eastAsia="等线" w:hAnsi="Times New Roman"/>
                <w:color w:val="000000"/>
                <w:kern w:val="0"/>
                <w:szCs w:val="21"/>
              </w:rPr>
              <w:t>-R</w:t>
            </w:r>
          </w:p>
        </w:tc>
        <w:tc>
          <w:tcPr>
            <w:tcW w:w="4440" w:type="dxa"/>
            <w:tcBorders>
              <w:top w:val="nil"/>
              <w:left w:val="nil"/>
              <w:bottom w:val="nil"/>
              <w:right w:val="nil"/>
            </w:tcBorders>
            <w:shd w:val="clear" w:color="auto" w:fill="auto"/>
            <w:noWrap/>
            <w:vAlign w:val="center"/>
          </w:tcPr>
          <w:p w14:paraId="42F90CE4" w14:textId="77777777" w:rsidR="00D86489" w:rsidRDefault="00B22FD0">
            <w:pPr>
              <w:widowControl/>
              <w:jc w:val="left"/>
              <w:rPr>
                <w:rFonts w:ascii="Times New Roman" w:eastAsia="等线" w:hAnsi="Times New Roman"/>
                <w:color w:val="000000"/>
                <w:kern w:val="0"/>
                <w:szCs w:val="21"/>
              </w:rPr>
            </w:pPr>
            <w:r>
              <w:rPr>
                <w:rFonts w:ascii="Times New Roman" w:eastAsia="等线" w:hAnsi="Times New Roman"/>
                <w:color w:val="000000"/>
                <w:kern w:val="0"/>
                <w:szCs w:val="21"/>
              </w:rPr>
              <w:t>GAAACTGCCATGTTTGAGCA</w:t>
            </w:r>
          </w:p>
        </w:tc>
      </w:tr>
      <w:tr w:rsidR="00D86489" w14:paraId="340343F5" w14:textId="77777777">
        <w:trPr>
          <w:trHeight w:val="312"/>
          <w:jc w:val="center"/>
        </w:trPr>
        <w:tc>
          <w:tcPr>
            <w:tcW w:w="1760" w:type="dxa"/>
            <w:tcBorders>
              <w:top w:val="nil"/>
              <w:left w:val="nil"/>
              <w:bottom w:val="nil"/>
              <w:right w:val="nil"/>
            </w:tcBorders>
            <w:shd w:val="clear" w:color="auto" w:fill="auto"/>
            <w:noWrap/>
            <w:vAlign w:val="center"/>
          </w:tcPr>
          <w:p w14:paraId="5FB77515" w14:textId="77777777" w:rsidR="00D86489" w:rsidRDefault="00B22FD0">
            <w:pPr>
              <w:widowControl/>
              <w:jc w:val="left"/>
              <w:rPr>
                <w:rFonts w:ascii="Times New Roman" w:eastAsia="等线" w:hAnsi="Times New Roman"/>
                <w:color w:val="000000"/>
                <w:kern w:val="0"/>
                <w:szCs w:val="21"/>
              </w:rPr>
            </w:pPr>
            <w:r>
              <w:rPr>
                <w:rFonts w:ascii="Times New Roman" w:eastAsia="等线" w:hAnsi="Times New Roman" w:hint="eastAsia"/>
                <w:color w:val="000000"/>
                <w:kern w:val="0"/>
                <w:szCs w:val="21"/>
              </w:rPr>
              <w:t>TLR6</w:t>
            </w:r>
            <w:r>
              <w:rPr>
                <w:rFonts w:ascii="Times New Roman" w:eastAsia="等线" w:hAnsi="Times New Roman"/>
                <w:color w:val="000000"/>
                <w:kern w:val="0"/>
                <w:szCs w:val="21"/>
              </w:rPr>
              <w:t>-F</w:t>
            </w:r>
          </w:p>
        </w:tc>
        <w:tc>
          <w:tcPr>
            <w:tcW w:w="4440" w:type="dxa"/>
            <w:tcBorders>
              <w:top w:val="nil"/>
              <w:left w:val="nil"/>
              <w:bottom w:val="nil"/>
              <w:right w:val="nil"/>
            </w:tcBorders>
            <w:shd w:val="clear" w:color="auto" w:fill="auto"/>
            <w:noWrap/>
            <w:vAlign w:val="center"/>
          </w:tcPr>
          <w:p w14:paraId="1C1385DE" w14:textId="77777777" w:rsidR="00D86489" w:rsidRDefault="00B22FD0">
            <w:pPr>
              <w:widowControl/>
              <w:jc w:val="left"/>
              <w:rPr>
                <w:rFonts w:ascii="Times New Roman" w:eastAsia="等线" w:hAnsi="Times New Roman"/>
                <w:color w:val="000000"/>
                <w:kern w:val="0"/>
                <w:szCs w:val="21"/>
              </w:rPr>
            </w:pPr>
            <w:r>
              <w:rPr>
                <w:rFonts w:ascii="Times New Roman" w:eastAsia="等线" w:hAnsi="Times New Roman"/>
                <w:color w:val="000000"/>
                <w:kern w:val="0"/>
                <w:szCs w:val="21"/>
              </w:rPr>
              <w:t>TGAGCCAAGACAGAAAACCCA</w:t>
            </w:r>
          </w:p>
        </w:tc>
      </w:tr>
      <w:tr w:rsidR="00D86489" w14:paraId="4D2D0B3C" w14:textId="77777777">
        <w:trPr>
          <w:trHeight w:val="312"/>
          <w:jc w:val="center"/>
        </w:trPr>
        <w:tc>
          <w:tcPr>
            <w:tcW w:w="1760" w:type="dxa"/>
            <w:tcBorders>
              <w:top w:val="nil"/>
              <w:left w:val="nil"/>
              <w:bottom w:val="nil"/>
              <w:right w:val="nil"/>
            </w:tcBorders>
            <w:shd w:val="clear" w:color="auto" w:fill="auto"/>
            <w:noWrap/>
            <w:vAlign w:val="center"/>
          </w:tcPr>
          <w:p w14:paraId="7C52CB38" w14:textId="77777777" w:rsidR="00D86489" w:rsidRDefault="00B22FD0">
            <w:pPr>
              <w:widowControl/>
              <w:jc w:val="left"/>
              <w:rPr>
                <w:rFonts w:ascii="Times New Roman" w:eastAsia="等线" w:hAnsi="Times New Roman"/>
                <w:color w:val="000000"/>
                <w:kern w:val="0"/>
                <w:szCs w:val="21"/>
              </w:rPr>
            </w:pPr>
            <w:r>
              <w:rPr>
                <w:rFonts w:ascii="Times New Roman" w:eastAsia="等线" w:hAnsi="Times New Roman" w:hint="eastAsia"/>
                <w:color w:val="000000"/>
                <w:kern w:val="0"/>
                <w:szCs w:val="21"/>
              </w:rPr>
              <w:t>TLR6</w:t>
            </w:r>
            <w:r>
              <w:rPr>
                <w:rFonts w:ascii="Times New Roman" w:eastAsia="等线" w:hAnsi="Times New Roman"/>
                <w:color w:val="000000"/>
                <w:kern w:val="0"/>
                <w:szCs w:val="21"/>
              </w:rPr>
              <w:t>-R</w:t>
            </w:r>
          </w:p>
        </w:tc>
        <w:tc>
          <w:tcPr>
            <w:tcW w:w="4440" w:type="dxa"/>
            <w:tcBorders>
              <w:top w:val="nil"/>
              <w:left w:val="nil"/>
              <w:bottom w:val="nil"/>
              <w:right w:val="nil"/>
            </w:tcBorders>
            <w:shd w:val="clear" w:color="auto" w:fill="auto"/>
            <w:noWrap/>
            <w:vAlign w:val="center"/>
          </w:tcPr>
          <w:p w14:paraId="0F4B0C8C" w14:textId="77777777" w:rsidR="00D86489" w:rsidRDefault="00B22FD0">
            <w:pPr>
              <w:widowControl/>
              <w:jc w:val="left"/>
              <w:rPr>
                <w:rFonts w:ascii="Times New Roman" w:eastAsia="等线" w:hAnsi="Times New Roman"/>
                <w:color w:val="000000"/>
                <w:kern w:val="0"/>
                <w:szCs w:val="21"/>
              </w:rPr>
            </w:pPr>
            <w:r>
              <w:rPr>
                <w:rFonts w:ascii="Times New Roman" w:eastAsia="等线" w:hAnsi="Times New Roman"/>
                <w:color w:val="000000"/>
                <w:kern w:val="0"/>
                <w:szCs w:val="21"/>
              </w:rPr>
              <w:t>GGGACATGAGTAAGGTTCCTGTT</w:t>
            </w:r>
          </w:p>
        </w:tc>
      </w:tr>
      <w:tr w:rsidR="00D86489" w14:paraId="3C9761B7" w14:textId="77777777">
        <w:trPr>
          <w:trHeight w:val="312"/>
          <w:jc w:val="center"/>
        </w:trPr>
        <w:tc>
          <w:tcPr>
            <w:tcW w:w="1760" w:type="dxa"/>
            <w:tcBorders>
              <w:top w:val="nil"/>
              <w:left w:val="nil"/>
              <w:bottom w:val="nil"/>
              <w:right w:val="nil"/>
            </w:tcBorders>
            <w:shd w:val="clear" w:color="auto" w:fill="auto"/>
            <w:noWrap/>
            <w:vAlign w:val="center"/>
          </w:tcPr>
          <w:p w14:paraId="5414D55C" w14:textId="77777777" w:rsidR="00D86489" w:rsidRDefault="00B22FD0">
            <w:pPr>
              <w:widowControl/>
              <w:jc w:val="left"/>
              <w:rPr>
                <w:rFonts w:ascii="Times New Roman" w:eastAsia="等线" w:hAnsi="Times New Roman"/>
                <w:color w:val="000000"/>
                <w:kern w:val="0"/>
                <w:szCs w:val="21"/>
              </w:rPr>
            </w:pPr>
            <w:r>
              <w:rPr>
                <w:rFonts w:ascii="Times New Roman" w:eastAsia="等线" w:hAnsi="Times New Roman" w:hint="eastAsia"/>
                <w:color w:val="000000"/>
                <w:kern w:val="0"/>
                <w:szCs w:val="21"/>
              </w:rPr>
              <w:t>TLR7</w:t>
            </w:r>
            <w:r>
              <w:rPr>
                <w:rFonts w:ascii="Times New Roman" w:eastAsia="等线" w:hAnsi="Times New Roman"/>
                <w:color w:val="000000"/>
                <w:kern w:val="0"/>
                <w:szCs w:val="21"/>
              </w:rPr>
              <w:t>-F</w:t>
            </w:r>
          </w:p>
        </w:tc>
        <w:tc>
          <w:tcPr>
            <w:tcW w:w="4440" w:type="dxa"/>
            <w:tcBorders>
              <w:top w:val="nil"/>
              <w:left w:val="nil"/>
              <w:bottom w:val="nil"/>
              <w:right w:val="nil"/>
            </w:tcBorders>
            <w:shd w:val="clear" w:color="auto" w:fill="auto"/>
            <w:noWrap/>
            <w:vAlign w:val="center"/>
          </w:tcPr>
          <w:p w14:paraId="3E4A1F16" w14:textId="77777777" w:rsidR="00D86489" w:rsidRDefault="00B22FD0">
            <w:pPr>
              <w:widowControl/>
              <w:jc w:val="left"/>
              <w:rPr>
                <w:rFonts w:ascii="Times New Roman" w:eastAsia="等线" w:hAnsi="Times New Roman"/>
                <w:color w:val="000000"/>
                <w:kern w:val="0"/>
                <w:szCs w:val="21"/>
              </w:rPr>
            </w:pPr>
            <w:r>
              <w:rPr>
                <w:rFonts w:ascii="Times New Roman" w:eastAsia="等线" w:hAnsi="Times New Roman"/>
                <w:color w:val="000000"/>
                <w:kern w:val="0"/>
                <w:szCs w:val="21"/>
              </w:rPr>
              <w:t>ATGTGGACACGGAAGAGACAA</w:t>
            </w:r>
          </w:p>
        </w:tc>
      </w:tr>
      <w:tr w:rsidR="00D86489" w14:paraId="7945EC7F" w14:textId="77777777">
        <w:trPr>
          <w:trHeight w:val="312"/>
          <w:jc w:val="center"/>
        </w:trPr>
        <w:tc>
          <w:tcPr>
            <w:tcW w:w="1760" w:type="dxa"/>
            <w:tcBorders>
              <w:top w:val="nil"/>
              <w:left w:val="nil"/>
              <w:bottom w:val="nil"/>
              <w:right w:val="nil"/>
            </w:tcBorders>
            <w:shd w:val="clear" w:color="auto" w:fill="auto"/>
            <w:noWrap/>
            <w:vAlign w:val="center"/>
          </w:tcPr>
          <w:p w14:paraId="168C7157" w14:textId="77777777" w:rsidR="00D86489" w:rsidRDefault="00B22FD0">
            <w:pPr>
              <w:widowControl/>
              <w:jc w:val="left"/>
              <w:rPr>
                <w:rFonts w:ascii="Times New Roman" w:eastAsia="等线" w:hAnsi="Times New Roman"/>
                <w:color w:val="000000"/>
                <w:kern w:val="0"/>
                <w:szCs w:val="21"/>
              </w:rPr>
            </w:pPr>
            <w:r>
              <w:rPr>
                <w:rFonts w:ascii="Times New Roman" w:eastAsia="等线" w:hAnsi="Times New Roman" w:hint="eastAsia"/>
                <w:color w:val="000000"/>
                <w:kern w:val="0"/>
                <w:szCs w:val="21"/>
              </w:rPr>
              <w:t>TLR7</w:t>
            </w:r>
            <w:r>
              <w:rPr>
                <w:rFonts w:ascii="Times New Roman" w:eastAsia="等线" w:hAnsi="Times New Roman"/>
                <w:color w:val="000000"/>
                <w:kern w:val="0"/>
                <w:szCs w:val="21"/>
              </w:rPr>
              <w:t>-R</w:t>
            </w:r>
          </w:p>
        </w:tc>
        <w:tc>
          <w:tcPr>
            <w:tcW w:w="4440" w:type="dxa"/>
            <w:tcBorders>
              <w:top w:val="nil"/>
              <w:left w:val="nil"/>
              <w:bottom w:val="nil"/>
              <w:right w:val="nil"/>
            </w:tcBorders>
            <w:shd w:val="clear" w:color="auto" w:fill="auto"/>
            <w:noWrap/>
            <w:vAlign w:val="center"/>
          </w:tcPr>
          <w:p w14:paraId="24E4D180" w14:textId="77777777" w:rsidR="00D86489" w:rsidRDefault="00B22FD0">
            <w:pPr>
              <w:widowControl/>
              <w:jc w:val="left"/>
              <w:rPr>
                <w:rFonts w:ascii="Times New Roman" w:eastAsia="等线" w:hAnsi="Times New Roman"/>
                <w:color w:val="000000"/>
                <w:kern w:val="0"/>
                <w:szCs w:val="21"/>
              </w:rPr>
            </w:pPr>
            <w:r>
              <w:rPr>
                <w:rFonts w:ascii="Times New Roman" w:eastAsia="等线" w:hAnsi="Times New Roman"/>
                <w:color w:val="000000"/>
                <w:kern w:val="0"/>
                <w:szCs w:val="21"/>
              </w:rPr>
              <w:t>GGTAAGGGTAAGATTGGTGGTG</w:t>
            </w:r>
          </w:p>
        </w:tc>
      </w:tr>
      <w:tr w:rsidR="00D86489" w14:paraId="21BF0660" w14:textId="77777777">
        <w:trPr>
          <w:trHeight w:val="312"/>
          <w:jc w:val="center"/>
        </w:trPr>
        <w:tc>
          <w:tcPr>
            <w:tcW w:w="1760" w:type="dxa"/>
            <w:tcBorders>
              <w:top w:val="nil"/>
              <w:left w:val="nil"/>
              <w:bottom w:val="nil"/>
              <w:right w:val="nil"/>
            </w:tcBorders>
            <w:shd w:val="clear" w:color="auto" w:fill="auto"/>
            <w:noWrap/>
            <w:vAlign w:val="center"/>
          </w:tcPr>
          <w:p w14:paraId="0A8EAB8B" w14:textId="77777777" w:rsidR="00D86489" w:rsidRDefault="00B22FD0">
            <w:pPr>
              <w:widowControl/>
              <w:jc w:val="left"/>
              <w:rPr>
                <w:rFonts w:ascii="Times New Roman" w:eastAsia="等线" w:hAnsi="Times New Roman"/>
                <w:color w:val="000000"/>
                <w:kern w:val="0"/>
                <w:szCs w:val="21"/>
              </w:rPr>
            </w:pPr>
            <w:r>
              <w:rPr>
                <w:rFonts w:ascii="Times New Roman" w:eastAsia="等线" w:hAnsi="Times New Roman" w:hint="eastAsia"/>
                <w:color w:val="000000"/>
                <w:kern w:val="0"/>
                <w:szCs w:val="21"/>
              </w:rPr>
              <w:t>NF-</w:t>
            </w:r>
            <w:r>
              <w:rPr>
                <w:rFonts w:ascii="Times New Roman" w:eastAsia="等线" w:hAnsi="Times New Roman"/>
                <w:color w:val="000000"/>
                <w:kern w:val="0"/>
                <w:szCs w:val="21"/>
              </w:rPr>
              <w:t>κ</w:t>
            </w:r>
            <w:r>
              <w:rPr>
                <w:rFonts w:ascii="Times New Roman" w:eastAsia="等线" w:hAnsi="Times New Roman" w:hint="eastAsia"/>
                <w:color w:val="000000"/>
                <w:kern w:val="0"/>
                <w:szCs w:val="21"/>
              </w:rPr>
              <w:t>B</w:t>
            </w:r>
            <w:r>
              <w:rPr>
                <w:rFonts w:ascii="Times New Roman" w:eastAsia="等线" w:hAnsi="Times New Roman"/>
                <w:color w:val="000000"/>
                <w:kern w:val="0"/>
                <w:szCs w:val="21"/>
              </w:rPr>
              <w:t>-F</w:t>
            </w:r>
          </w:p>
        </w:tc>
        <w:tc>
          <w:tcPr>
            <w:tcW w:w="4440" w:type="dxa"/>
            <w:tcBorders>
              <w:top w:val="nil"/>
              <w:left w:val="nil"/>
              <w:bottom w:val="nil"/>
              <w:right w:val="nil"/>
            </w:tcBorders>
            <w:shd w:val="clear" w:color="auto" w:fill="auto"/>
            <w:noWrap/>
            <w:vAlign w:val="center"/>
          </w:tcPr>
          <w:p w14:paraId="1E579A16" w14:textId="77777777" w:rsidR="00D86489" w:rsidRDefault="00B22FD0">
            <w:pPr>
              <w:widowControl/>
              <w:jc w:val="left"/>
              <w:rPr>
                <w:rFonts w:ascii="Times New Roman" w:eastAsia="等线" w:hAnsi="Times New Roman"/>
                <w:color w:val="000000"/>
                <w:kern w:val="0"/>
                <w:szCs w:val="21"/>
              </w:rPr>
            </w:pPr>
            <w:r>
              <w:rPr>
                <w:rFonts w:ascii="Times New Roman" w:eastAsia="等线" w:hAnsi="Times New Roman"/>
                <w:color w:val="000000"/>
                <w:kern w:val="0"/>
                <w:szCs w:val="21"/>
              </w:rPr>
              <w:t>TGGCTTTGCAAACCTGGGAA</w:t>
            </w:r>
          </w:p>
        </w:tc>
      </w:tr>
      <w:tr w:rsidR="00D86489" w14:paraId="69A11B83" w14:textId="77777777">
        <w:trPr>
          <w:trHeight w:val="312"/>
          <w:jc w:val="center"/>
        </w:trPr>
        <w:tc>
          <w:tcPr>
            <w:tcW w:w="1760" w:type="dxa"/>
            <w:tcBorders>
              <w:top w:val="nil"/>
              <w:left w:val="nil"/>
              <w:bottom w:val="nil"/>
              <w:right w:val="nil"/>
            </w:tcBorders>
            <w:shd w:val="clear" w:color="auto" w:fill="auto"/>
            <w:noWrap/>
            <w:vAlign w:val="center"/>
          </w:tcPr>
          <w:p w14:paraId="3864562F" w14:textId="77777777" w:rsidR="00D86489" w:rsidRDefault="00B22FD0">
            <w:pPr>
              <w:widowControl/>
              <w:jc w:val="left"/>
              <w:rPr>
                <w:rFonts w:ascii="Times New Roman" w:eastAsia="等线" w:hAnsi="Times New Roman"/>
                <w:color w:val="000000"/>
                <w:kern w:val="0"/>
                <w:szCs w:val="21"/>
              </w:rPr>
            </w:pPr>
            <w:r>
              <w:rPr>
                <w:rFonts w:ascii="Times New Roman" w:eastAsia="等线" w:hAnsi="Times New Roman" w:hint="eastAsia"/>
                <w:color w:val="000000"/>
                <w:kern w:val="0"/>
                <w:szCs w:val="21"/>
              </w:rPr>
              <w:t>NF-</w:t>
            </w:r>
            <w:r>
              <w:rPr>
                <w:rFonts w:ascii="Times New Roman" w:eastAsia="等线" w:hAnsi="Times New Roman"/>
                <w:color w:val="000000"/>
                <w:kern w:val="0"/>
                <w:szCs w:val="21"/>
              </w:rPr>
              <w:t>κ</w:t>
            </w:r>
            <w:r>
              <w:rPr>
                <w:rFonts w:ascii="Times New Roman" w:eastAsia="等线" w:hAnsi="Times New Roman" w:hint="eastAsia"/>
                <w:color w:val="000000"/>
                <w:kern w:val="0"/>
                <w:szCs w:val="21"/>
              </w:rPr>
              <w:t>B</w:t>
            </w:r>
            <w:r>
              <w:rPr>
                <w:rFonts w:ascii="Times New Roman" w:eastAsia="等线" w:hAnsi="Times New Roman"/>
                <w:color w:val="000000"/>
                <w:kern w:val="0"/>
                <w:szCs w:val="21"/>
              </w:rPr>
              <w:t>-R</w:t>
            </w:r>
          </w:p>
        </w:tc>
        <w:tc>
          <w:tcPr>
            <w:tcW w:w="4440" w:type="dxa"/>
            <w:tcBorders>
              <w:top w:val="nil"/>
              <w:left w:val="nil"/>
              <w:bottom w:val="nil"/>
              <w:right w:val="nil"/>
            </w:tcBorders>
            <w:shd w:val="clear" w:color="auto" w:fill="auto"/>
            <w:noWrap/>
            <w:vAlign w:val="center"/>
          </w:tcPr>
          <w:p w14:paraId="7C4B2396" w14:textId="77777777" w:rsidR="00D86489" w:rsidRDefault="00B22FD0">
            <w:pPr>
              <w:widowControl/>
              <w:jc w:val="left"/>
              <w:rPr>
                <w:rFonts w:ascii="Times New Roman" w:eastAsia="等线" w:hAnsi="Times New Roman"/>
                <w:color w:val="000000"/>
                <w:kern w:val="0"/>
                <w:szCs w:val="21"/>
              </w:rPr>
            </w:pPr>
            <w:r>
              <w:rPr>
                <w:rFonts w:ascii="Times New Roman" w:eastAsia="等线" w:hAnsi="Times New Roman"/>
                <w:color w:val="000000"/>
                <w:kern w:val="0"/>
                <w:szCs w:val="21"/>
              </w:rPr>
              <w:t>AATACACGCCTCTGTCATCCGT</w:t>
            </w:r>
          </w:p>
        </w:tc>
      </w:tr>
      <w:tr w:rsidR="00D86489" w14:paraId="40E5F1F3" w14:textId="77777777">
        <w:trPr>
          <w:trHeight w:val="312"/>
          <w:jc w:val="center"/>
        </w:trPr>
        <w:tc>
          <w:tcPr>
            <w:tcW w:w="1760" w:type="dxa"/>
            <w:tcBorders>
              <w:top w:val="nil"/>
              <w:left w:val="nil"/>
              <w:bottom w:val="nil"/>
              <w:right w:val="nil"/>
            </w:tcBorders>
            <w:shd w:val="clear" w:color="auto" w:fill="auto"/>
            <w:noWrap/>
            <w:vAlign w:val="center"/>
          </w:tcPr>
          <w:p w14:paraId="64A971B0" w14:textId="77777777" w:rsidR="00D86489" w:rsidRDefault="00B22FD0">
            <w:pPr>
              <w:widowControl/>
              <w:jc w:val="left"/>
              <w:rPr>
                <w:rFonts w:ascii="Times New Roman" w:eastAsia="等线" w:hAnsi="Times New Roman"/>
                <w:color w:val="000000"/>
                <w:kern w:val="0"/>
                <w:szCs w:val="21"/>
              </w:rPr>
            </w:pPr>
            <w:r>
              <w:rPr>
                <w:rFonts w:ascii="Times New Roman" w:eastAsia="等线" w:hAnsi="Times New Roman" w:hint="eastAsia"/>
                <w:color w:val="000000"/>
                <w:kern w:val="0"/>
                <w:szCs w:val="21"/>
              </w:rPr>
              <w:t>NF-</w:t>
            </w:r>
            <w:r>
              <w:rPr>
                <w:rFonts w:ascii="Times New Roman" w:eastAsia="等线" w:hAnsi="Times New Roman"/>
                <w:color w:val="000000"/>
                <w:kern w:val="0"/>
                <w:szCs w:val="21"/>
              </w:rPr>
              <w:t>κ</w:t>
            </w:r>
            <w:r>
              <w:rPr>
                <w:rFonts w:ascii="Times New Roman" w:eastAsia="等线" w:hAnsi="Times New Roman" w:hint="eastAsia"/>
                <w:color w:val="000000"/>
                <w:kern w:val="0"/>
                <w:szCs w:val="21"/>
              </w:rPr>
              <w:t>B2</w:t>
            </w:r>
            <w:r>
              <w:rPr>
                <w:rFonts w:ascii="Times New Roman" w:eastAsia="等线" w:hAnsi="Times New Roman"/>
                <w:color w:val="000000"/>
                <w:kern w:val="0"/>
                <w:szCs w:val="21"/>
              </w:rPr>
              <w:t>-F</w:t>
            </w:r>
          </w:p>
        </w:tc>
        <w:tc>
          <w:tcPr>
            <w:tcW w:w="4440" w:type="dxa"/>
            <w:tcBorders>
              <w:top w:val="nil"/>
              <w:left w:val="nil"/>
              <w:bottom w:val="nil"/>
              <w:right w:val="nil"/>
            </w:tcBorders>
            <w:shd w:val="clear" w:color="auto" w:fill="auto"/>
            <w:noWrap/>
            <w:vAlign w:val="center"/>
          </w:tcPr>
          <w:p w14:paraId="537B6BDD" w14:textId="77777777" w:rsidR="00D86489" w:rsidRDefault="00B22FD0">
            <w:pPr>
              <w:widowControl/>
              <w:jc w:val="left"/>
              <w:rPr>
                <w:rFonts w:ascii="Times New Roman" w:eastAsia="等线" w:hAnsi="Times New Roman"/>
                <w:color w:val="000000"/>
                <w:kern w:val="0"/>
                <w:szCs w:val="21"/>
              </w:rPr>
            </w:pPr>
            <w:r>
              <w:rPr>
                <w:rFonts w:ascii="Times New Roman" w:eastAsia="等线" w:hAnsi="Times New Roman"/>
                <w:color w:val="000000"/>
                <w:kern w:val="0"/>
                <w:szCs w:val="21"/>
              </w:rPr>
              <w:t>GGCCGGAAGACCTATCCTACT</w:t>
            </w:r>
          </w:p>
        </w:tc>
      </w:tr>
      <w:tr w:rsidR="00D86489" w14:paraId="16D397D1" w14:textId="77777777">
        <w:trPr>
          <w:trHeight w:val="312"/>
          <w:jc w:val="center"/>
        </w:trPr>
        <w:tc>
          <w:tcPr>
            <w:tcW w:w="1760" w:type="dxa"/>
            <w:tcBorders>
              <w:top w:val="nil"/>
              <w:left w:val="nil"/>
              <w:bottom w:val="nil"/>
              <w:right w:val="nil"/>
            </w:tcBorders>
            <w:shd w:val="clear" w:color="auto" w:fill="auto"/>
            <w:noWrap/>
            <w:vAlign w:val="center"/>
          </w:tcPr>
          <w:p w14:paraId="507FC9FF" w14:textId="77777777" w:rsidR="00D86489" w:rsidRDefault="00B22FD0">
            <w:pPr>
              <w:widowControl/>
              <w:jc w:val="left"/>
              <w:rPr>
                <w:rFonts w:ascii="Times New Roman" w:eastAsia="等线" w:hAnsi="Times New Roman"/>
                <w:color w:val="000000"/>
                <w:kern w:val="0"/>
                <w:szCs w:val="21"/>
              </w:rPr>
            </w:pPr>
            <w:r>
              <w:rPr>
                <w:rFonts w:ascii="Times New Roman" w:eastAsia="等线" w:hAnsi="Times New Roman" w:hint="eastAsia"/>
                <w:color w:val="000000"/>
                <w:kern w:val="0"/>
                <w:szCs w:val="21"/>
              </w:rPr>
              <w:t>NF-</w:t>
            </w:r>
            <w:r>
              <w:rPr>
                <w:rFonts w:ascii="Times New Roman" w:eastAsia="等线" w:hAnsi="Times New Roman"/>
                <w:color w:val="000000"/>
                <w:kern w:val="0"/>
                <w:szCs w:val="21"/>
              </w:rPr>
              <w:t>κ</w:t>
            </w:r>
            <w:r>
              <w:rPr>
                <w:rFonts w:ascii="Times New Roman" w:eastAsia="等线" w:hAnsi="Times New Roman" w:hint="eastAsia"/>
                <w:color w:val="000000"/>
                <w:kern w:val="0"/>
                <w:szCs w:val="21"/>
              </w:rPr>
              <w:t>B2</w:t>
            </w:r>
            <w:r>
              <w:rPr>
                <w:rFonts w:ascii="Times New Roman" w:eastAsia="等线" w:hAnsi="Times New Roman"/>
                <w:color w:val="000000"/>
                <w:kern w:val="0"/>
                <w:szCs w:val="21"/>
              </w:rPr>
              <w:t>-R</w:t>
            </w:r>
          </w:p>
        </w:tc>
        <w:tc>
          <w:tcPr>
            <w:tcW w:w="4440" w:type="dxa"/>
            <w:tcBorders>
              <w:top w:val="nil"/>
              <w:left w:val="nil"/>
              <w:bottom w:val="nil"/>
              <w:right w:val="nil"/>
            </w:tcBorders>
            <w:shd w:val="clear" w:color="auto" w:fill="auto"/>
            <w:noWrap/>
            <w:vAlign w:val="center"/>
          </w:tcPr>
          <w:p w14:paraId="517529DB" w14:textId="77777777" w:rsidR="00D86489" w:rsidRDefault="00B22FD0">
            <w:pPr>
              <w:widowControl/>
              <w:jc w:val="left"/>
              <w:rPr>
                <w:rFonts w:ascii="Times New Roman" w:eastAsia="等线" w:hAnsi="Times New Roman"/>
                <w:color w:val="000000"/>
                <w:kern w:val="0"/>
                <w:szCs w:val="21"/>
              </w:rPr>
            </w:pPr>
            <w:r>
              <w:rPr>
                <w:rFonts w:ascii="Times New Roman" w:eastAsia="等线" w:hAnsi="Times New Roman"/>
                <w:color w:val="000000"/>
                <w:kern w:val="0"/>
                <w:szCs w:val="21"/>
              </w:rPr>
              <w:t>CTACAGACACAGCGCACACT</w:t>
            </w:r>
          </w:p>
        </w:tc>
      </w:tr>
      <w:tr w:rsidR="00D86489" w14:paraId="23B3C1AB" w14:textId="77777777">
        <w:trPr>
          <w:trHeight w:val="312"/>
          <w:jc w:val="center"/>
        </w:trPr>
        <w:tc>
          <w:tcPr>
            <w:tcW w:w="1760" w:type="dxa"/>
            <w:tcBorders>
              <w:top w:val="nil"/>
              <w:left w:val="nil"/>
              <w:bottom w:val="nil"/>
              <w:right w:val="nil"/>
            </w:tcBorders>
            <w:shd w:val="clear" w:color="auto" w:fill="auto"/>
            <w:noWrap/>
            <w:vAlign w:val="center"/>
          </w:tcPr>
          <w:p w14:paraId="4E73FDEC" w14:textId="77777777" w:rsidR="00D86489" w:rsidRDefault="00B22FD0">
            <w:pPr>
              <w:widowControl/>
              <w:jc w:val="left"/>
              <w:rPr>
                <w:rFonts w:ascii="Times New Roman" w:eastAsia="等线" w:hAnsi="Times New Roman"/>
                <w:color w:val="000000"/>
                <w:kern w:val="0"/>
                <w:szCs w:val="21"/>
              </w:rPr>
            </w:pPr>
            <w:r>
              <w:rPr>
                <w:rFonts w:ascii="Times New Roman" w:eastAsia="等线" w:hAnsi="Times New Roman" w:hint="eastAsia"/>
                <w:color w:val="000000"/>
                <w:kern w:val="0"/>
                <w:szCs w:val="21"/>
              </w:rPr>
              <w:t>Rel</w:t>
            </w:r>
            <w:r>
              <w:rPr>
                <w:rFonts w:ascii="Times New Roman" w:eastAsia="等线" w:hAnsi="Times New Roman"/>
                <w:color w:val="000000"/>
                <w:kern w:val="0"/>
                <w:szCs w:val="21"/>
              </w:rPr>
              <w:t>-F</w:t>
            </w:r>
          </w:p>
        </w:tc>
        <w:tc>
          <w:tcPr>
            <w:tcW w:w="4440" w:type="dxa"/>
            <w:tcBorders>
              <w:top w:val="nil"/>
              <w:left w:val="nil"/>
              <w:bottom w:val="nil"/>
              <w:right w:val="nil"/>
            </w:tcBorders>
            <w:shd w:val="clear" w:color="auto" w:fill="auto"/>
            <w:noWrap/>
            <w:vAlign w:val="center"/>
          </w:tcPr>
          <w:p w14:paraId="52E12E22" w14:textId="77777777" w:rsidR="00D86489" w:rsidRDefault="00B22FD0">
            <w:pPr>
              <w:widowControl/>
              <w:jc w:val="left"/>
              <w:rPr>
                <w:rFonts w:ascii="Times New Roman" w:eastAsia="等线" w:hAnsi="Times New Roman"/>
                <w:color w:val="000000"/>
                <w:kern w:val="0"/>
                <w:szCs w:val="21"/>
              </w:rPr>
            </w:pPr>
            <w:r>
              <w:rPr>
                <w:rFonts w:ascii="Times New Roman" w:eastAsia="等线" w:hAnsi="Times New Roman"/>
                <w:color w:val="000000"/>
                <w:kern w:val="0"/>
                <w:szCs w:val="21"/>
              </w:rPr>
              <w:t>AGAGGGGAATGCGGTTTAGAT</w:t>
            </w:r>
          </w:p>
        </w:tc>
      </w:tr>
      <w:tr w:rsidR="00D86489" w14:paraId="31D35180" w14:textId="77777777">
        <w:trPr>
          <w:trHeight w:val="312"/>
          <w:jc w:val="center"/>
        </w:trPr>
        <w:tc>
          <w:tcPr>
            <w:tcW w:w="1760" w:type="dxa"/>
            <w:tcBorders>
              <w:top w:val="nil"/>
              <w:left w:val="nil"/>
              <w:bottom w:val="nil"/>
              <w:right w:val="nil"/>
            </w:tcBorders>
            <w:shd w:val="clear" w:color="auto" w:fill="auto"/>
            <w:noWrap/>
            <w:vAlign w:val="center"/>
          </w:tcPr>
          <w:p w14:paraId="42198581" w14:textId="77777777" w:rsidR="00D86489" w:rsidRDefault="00B22FD0">
            <w:pPr>
              <w:widowControl/>
              <w:jc w:val="left"/>
              <w:rPr>
                <w:rFonts w:ascii="Times New Roman" w:eastAsia="等线" w:hAnsi="Times New Roman"/>
                <w:color w:val="000000"/>
                <w:kern w:val="0"/>
                <w:szCs w:val="21"/>
              </w:rPr>
            </w:pPr>
            <w:r>
              <w:rPr>
                <w:rFonts w:ascii="Times New Roman" w:eastAsia="等线" w:hAnsi="Times New Roman" w:hint="eastAsia"/>
                <w:color w:val="000000"/>
                <w:kern w:val="0"/>
                <w:szCs w:val="21"/>
              </w:rPr>
              <w:t>Rel</w:t>
            </w:r>
            <w:r>
              <w:rPr>
                <w:rFonts w:ascii="Times New Roman" w:eastAsia="等线" w:hAnsi="Times New Roman"/>
                <w:color w:val="000000"/>
                <w:kern w:val="0"/>
                <w:szCs w:val="21"/>
              </w:rPr>
              <w:t>-R</w:t>
            </w:r>
          </w:p>
        </w:tc>
        <w:tc>
          <w:tcPr>
            <w:tcW w:w="4440" w:type="dxa"/>
            <w:tcBorders>
              <w:top w:val="nil"/>
              <w:left w:val="nil"/>
              <w:bottom w:val="nil"/>
              <w:right w:val="nil"/>
            </w:tcBorders>
            <w:shd w:val="clear" w:color="auto" w:fill="auto"/>
            <w:noWrap/>
            <w:vAlign w:val="center"/>
          </w:tcPr>
          <w:p w14:paraId="68236B2B" w14:textId="77777777" w:rsidR="00D86489" w:rsidRDefault="00B22FD0">
            <w:pPr>
              <w:widowControl/>
              <w:jc w:val="left"/>
              <w:rPr>
                <w:rFonts w:ascii="Times New Roman" w:eastAsia="等线" w:hAnsi="Times New Roman"/>
                <w:color w:val="000000"/>
                <w:kern w:val="0"/>
                <w:szCs w:val="21"/>
              </w:rPr>
            </w:pPr>
            <w:r>
              <w:rPr>
                <w:rFonts w:ascii="Times New Roman" w:eastAsia="等线" w:hAnsi="Times New Roman"/>
                <w:color w:val="000000"/>
                <w:kern w:val="0"/>
                <w:szCs w:val="21"/>
              </w:rPr>
              <w:t>TTCTGGTCCAAATTCTGCTTCAT</w:t>
            </w:r>
          </w:p>
        </w:tc>
      </w:tr>
      <w:tr w:rsidR="00D86489" w14:paraId="060A798D" w14:textId="77777777">
        <w:trPr>
          <w:trHeight w:val="312"/>
          <w:jc w:val="center"/>
        </w:trPr>
        <w:tc>
          <w:tcPr>
            <w:tcW w:w="1760" w:type="dxa"/>
            <w:tcBorders>
              <w:top w:val="nil"/>
              <w:left w:val="nil"/>
              <w:bottom w:val="nil"/>
              <w:right w:val="nil"/>
            </w:tcBorders>
            <w:shd w:val="clear" w:color="auto" w:fill="auto"/>
            <w:noWrap/>
            <w:vAlign w:val="center"/>
          </w:tcPr>
          <w:p w14:paraId="12EA5F2A" w14:textId="77777777" w:rsidR="00D86489" w:rsidRDefault="00B22FD0">
            <w:pPr>
              <w:widowControl/>
              <w:jc w:val="left"/>
              <w:rPr>
                <w:rFonts w:ascii="Times New Roman" w:eastAsia="等线" w:hAnsi="Times New Roman"/>
                <w:color w:val="000000"/>
                <w:kern w:val="0"/>
                <w:szCs w:val="21"/>
              </w:rPr>
            </w:pPr>
            <w:r>
              <w:rPr>
                <w:rFonts w:ascii="Times New Roman" w:eastAsia="等线" w:hAnsi="Times New Roman" w:hint="eastAsia"/>
                <w:color w:val="000000"/>
                <w:kern w:val="0"/>
                <w:szCs w:val="21"/>
              </w:rPr>
              <w:t>Rel-A</w:t>
            </w:r>
            <w:r>
              <w:rPr>
                <w:rFonts w:ascii="Times New Roman" w:eastAsia="等线" w:hAnsi="Times New Roman"/>
                <w:color w:val="000000"/>
                <w:kern w:val="0"/>
                <w:szCs w:val="21"/>
              </w:rPr>
              <w:t>-F</w:t>
            </w:r>
          </w:p>
        </w:tc>
        <w:tc>
          <w:tcPr>
            <w:tcW w:w="4440" w:type="dxa"/>
            <w:tcBorders>
              <w:top w:val="nil"/>
              <w:left w:val="nil"/>
              <w:bottom w:val="nil"/>
              <w:right w:val="nil"/>
            </w:tcBorders>
            <w:shd w:val="clear" w:color="auto" w:fill="auto"/>
            <w:noWrap/>
            <w:vAlign w:val="center"/>
          </w:tcPr>
          <w:p w14:paraId="4451828F" w14:textId="77777777" w:rsidR="00D86489" w:rsidRDefault="00B22FD0">
            <w:pPr>
              <w:widowControl/>
              <w:jc w:val="left"/>
              <w:rPr>
                <w:rFonts w:ascii="Times New Roman" w:eastAsia="等线" w:hAnsi="Times New Roman"/>
                <w:color w:val="000000"/>
                <w:kern w:val="0"/>
                <w:szCs w:val="21"/>
              </w:rPr>
            </w:pPr>
            <w:r>
              <w:rPr>
                <w:rFonts w:ascii="Times New Roman" w:eastAsia="等线" w:hAnsi="Times New Roman"/>
                <w:color w:val="000000"/>
                <w:kern w:val="0"/>
                <w:szCs w:val="21"/>
              </w:rPr>
              <w:t>GCCCAGACCGCAGTATCC</w:t>
            </w:r>
          </w:p>
        </w:tc>
      </w:tr>
      <w:tr w:rsidR="00D86489" w14:paraId="307B1E3E" w14:textId="77777777">
        <w:trPr>
          <w:trHeight w:val="312"/>
          <w:jc w:val="center"/>
        </w:trPr>
        <w:tc>
          <w:tcPr>
            <w:tcW w:w="1760" w:type="dxa"/>
            <w:tcBorders>
              <w:top w:val="nil"/>
              <w:left w:val="nil"/>
              <w:bottom w:val="nil"/>
              <w:right w:val="nil"/>
            </w:tcBorders>
            <w:shd w:val="clear" w:color="auto" w:fill="auto"/>
            <w:noWrap/>
            <w:vAlign w:val="center"/>
          </w:tcPr>
          <w:p w14:paraId="5AE5C247" w14:textId="77777777" w:rsidR="00D86489" w:rsidRDefault="00B22FD0">
            <w:pPr>
              <w:widowControl/>
              <w:jc w:val="left"/>
              <w:rPr>
                <w:rFonts w:ascii="Times New Roman" w:eastAsia="等线" w:hAnsi="Times New Roman"/>
                <w:color w:val="000000"/>
                <w:kern w:val="0"/>
                <w:szCs w:val="21"/>
              </w:rPr>
            </w:pPr>
            <w:r>
              <w:rPr>
                <w:rFonts w:ascii="Times New Roman" w:eastAsia="等线" w:hAnsi="Times New Roman" w:hint="eastAsia"/>
                <w:color w:val="000000"/>
                <w:kern w:val="0"/>
                <w:szCs w:val="21"/>
              </w:rPr>
              <w:t>Rel-A</w:t>
            </w:r>
            <w:r>
              <w:rPr>
                <w:rFonts w:ascii="Times New Roman" w:eastAsia="等线" w:hAnsi="Times New Roman"/>
                <w:color w:val="000000"/>
                <w:kern w:val="0"/>
                <w:szCs w:val="21"/>
              </w:rPr>
              <w:t>-R</w:t>
            </w:r>
          </w:p>
        </w:tc>
        <w:tc>
          <w:tcPr>
            <w:tcW w:w="4440" w:type="dxa"/>
            <w:tcBorders>
              <w:top w:val="nil"/>
              <w:left w:val="nil"/>
              <w:bottom w:val="nil"/>
              <w:right w:val="nil"/>
            </w:tcBorders>
            <w:shd w:val="clear" w:color="auto" w:fill="auto"/>
            <w:noWrap/>
            <w:vAlign w:val="center"/>
          </w:tcPr>
          <w:p w14:paraId="3B5B1681" w14:textId="77777777" w:rsidR="00D86489" w:rsidRDefault="00B22FD0">
            <w:pPr>
              <w:widowControl/>
              <w:jc w:val="left"/>
              <w:rPr>
                <w:rFonts w:ascii="Times New Roman" w:eastAsia="等线" w:hAnsi="Times New Roman"/>
                <w:color w:val="000000"/>
                <w:kern w:val="0"/>
                <w:szCs w:val="21"/>
              </w:rPr>
            </w:pPr>
            <w:r>
              <w:rPr>
                <w:rFonts w:ascii="Times New Roman" w:eastAsia="等线" w:hAnsi="Times New Roman"/>
                <w:color w:val="000000"/>
                <w:kern w:val="0"/>
                <w:szCs w:val="21"/>
              </w:rPr>
              <w:t>GTCCCGCACTGTCACCTG</w:t>
            </w:r>
          </w:p>
        </w:tc>
      </w:tr>
      <w:tr w:rsidR="00D86489" w14:paraId="4F5543FB" w14:textId="77777777">
        <w:trPr>
          <w:trHeight w:val="312"/>
          <w:jc w:val="center"/>
        </w:trPr>
        <w:tc>
          <w:tcPr>
            <w:tcW w:w="1760" w:type="dxa"/>
            <w:tcBorders>
              <w:top w:val="nil"/>
              <w:left w:val="nil"/>
              <w:bottom w:val="nil"/>
              <w:right w:val="nil"/>
            </w:tcBorders>
            <w:shd w:val="clear" w:color="auto" w:fill="auto"/>
            <w:noWrap/>
            <w:vAlign w:val="center"/>
          </w:tcPr>
          <w:p w14:paraId="7E440005" w14:textId="77777777" w:rsidR="00D86489" w:rsidRDefault="00B22FD0">
            <w:pPr>
              <w:widowControl/>
              <w:jc w:val="left"/>
              <w:rPr>
                <w:rFonts w:ascii="Times New Roman" w:eastAsia="等线" w:hAnsi="Times New Roman"/>
                <w:color w:val="000000"/>
                <w:kern w:val="0"/>
                <w:szCs w:val="21"/>
              </w:rPr>
            </w:pPr>
            <w:r>
              <w:rPr>
                <w:rFonts w:ascii="Times New Roman" w:eastAsia="等线" w:hAnsi="Times New Roman" w:hint="eastAsia"/>
                <w:color w:val="000000"/>
                <w:kern w:val="0"/>
                <w:szCs w:val="21"/>
              </w:rPr>
              <w:t>Rel-B</w:t>
            </w:r>
            <w:r>
              <w:rPr>
                <w:rFonts w:ascii="Times New Roman" w:eastAsia="等线" w:hAnsi="Times New Roman"/>
                <w:color w:val="000000"/>
                <w:kern w:val="0"/>
                <w:szCs w:val="21"/>
              </w:rPr>
              <w:t>-F</w:t>
            </w:r>
          </w:p>
        </w:tc>
        <w:tc>
          <w:tcPr>
            <w:tcW w:w="4440" w:type="dxa"/>
            <w:tcBorders>
              <w:top w:val="nil"/>
              <w:left w:val="nil"/>
              <w:bottom w:val="nil"/>
              <w:right w:val="nil"/>
            </w:tcBorders>
            <w:shd w:val="clear" w:color="auto" w:fill="auto"/>
            <w:noWrap/>
            <w:vAlign w:val="center"/>
          </w:tcPr>
          <w:p w14:paraId="11C1B54F" w14:textId="77777777" w:rsidR="00D86489" w:rsidRDefault="00B22FD0">
            <w:pPr>
              <w:widowControl/>
              <w:jc w:val="left"/>
              <w:rPr>
                <w:rFonts w:ascii="Times New Roman" w:eastAsia="等线" w:hAnsi="Times New Roman"/>
                <w:color w:val="000000"/>
                <w:kern w:val="0"/>
                <w:szCs w:val="21"/>
              </w:rPr>
            </w:pPr>
            <w:r>
              <w:rPr>
                <w:rFonts w:ascii="Times New Roman" w:eastAsia="等线" w:hAnsi="Times New Roman"/>
                <w:color w:val="000000"/>
                <w:kern w:val="0"/>
                <w:szCs w:val="21"/>
              </w:rPr>
              <w:t>CCGTACCTGGTCATCACAGAG</w:t>
            </w:r>
          </w:p>
        </w:tc>
      </w:tr>
      <w:tr w:rsidR="00D86489" w14:paraId="5B0BC803" w14:textId="77777777">
        <w:trPr>
          <w:trHeight w:val="312"/>
          <w:jc w:val="center"/>
        </w:trPr>
        <w:tc>
          <w:tcPr>
            <w:tcW w:w="1760" w:type="dxa"/>
            <w:tcBorders>
              <w:top w:val="nil"/>
              <w:left w:val="nil"/>
              <w:bottom w:val="nil"/>
              <w:right w:val="nil"/>
            </w:tcBorders>
            <w:shd w:val="clear" w:color="auto" w:fill="auto"/>
            <w:noWrap/>
            <w:vAlign w:val="center"/>
          </w:tcPr>
          <w:p w14:paraId="151DDB70" w14:textId="77777777" w:rsidR="00D86489" w:rsidRDefault="00B22FD0">
            <w:pPr>
              <w:widowControl/>
              <w:jc w:val="left"/>
              <w:rPr>
                <w:rFonts w:ascii="Times New Roman" w:eastAsia="等线" w:hAnsi="Times New Roman"/>
                <w:color w:val="000000"/>
                <w:kern w:val="0"/>
                <w:szCs w:val="21"/>
              </w:rPr>
            </w:pPr>
            <w:r>
              <w:rPr>
                <w:rFonts w:ascii="Times New Roman" w:eastAsia="等线" w:hAnsi="Times New Roman" w:hint="eastAsia"/>
                <w:color w:val="000000"/>
                <w:kern w:val="0"/>
                <w:szCs w:val="21"/>
              </w:rPr>
              <w:t>Rel-B</w:t>
            </w:r>
            <w:r>
              <w:rPr>
                <w:rFonts w:ascii="Times New Roman" w:eastAsia="等线" w:hAnsi="Times New Roman"/>
                <w:color w:val="000000"/>
                <w:kern w:val="0"/>
                <w:szCs w:val="21"/>
              </w:rPr>
              <w:t>-R</w:t>
            </w:r>
          </w:p>
        </w:tc>
        <w:tc>
          <w:tcPr>
            <w:tcW w:w="4440" w:type="dxa"/>
            <w:tcBorders>
              <w:top w:val="nil"/>
              <w:left w:val="nil"/>
              <w:bottom w:val="nil"/>
              <w:right w:val="nil"/>
            </w:tcBorders>
            <w:shd w:val="clear" w:color="auto" w:fill="auto"/>
            <w:noWrap/>
            <w:vAlign w:val="center"/>
          </w:tcPr>
          <w:p w14:paraId="357816B4" w14:textId="77777777" w:rsidR="00D86489" w:rsidRDefault="00B22FD0">
            <w:pPr>
              <w:widowControl/>
              <w:jc w:val="left"/>
              <w:rPr>
                <w:rFonts w:ascii="Times New Roman" w:eastAsia="等线" w:hAnsi="Times New Roman"/>
                <w:color w:val="000000"/>
                <w:kern w:val="0"/>
                <w:szCs w:val="21"/>
              </w:rPr>
            </w:pPr>
            <w:r>
              <w:rPr>
                <w:rFonts w:ascii="Times New Roman" w:eastAsia="等线" w:hAnsi="Times New Roman"/>
                <w:color w:val="000000"/>
                <w:kern w:val="0"/>
                <w:szCs w:val="21"/>
              </w:rPr>
              <w:t>CAGTCTCGAAGCTCGATGGC</w:t>
            </w:r>
          </w:p>
        </w:tc>
      </w:tr>
      <w:tr w:rsidR="00D86489" w14:paraId="7AD4E0F5" w14:textId="77777777">
        <w:trPr>
          <w:trHeight w:val="312"/>
          <w:jc w:val="center"/>
        </w:trPr>
        <w:tc>
          <w:tcPr>
            <w:tcW w:w="1760" w:type="dxa"/>
            <w:tcBorders>
              <w:top w:val="nil"/>
              <w:left w:val="nil"/>
              <w:bottom w:val="nil"/>
              <w:right w:val="nil"/>
            </w:tcBorders>
            <w:shd w:val="clear" w:color="auto" w:fill="auto"/>
            <w:noWrap/>
            <w:vAlign w:val="center"/>
          </w:tcPr>
          <w:p w14:paraId="6E050603" w14:textId="77777777" w:rsidR="00D86489" w:rsidRDefault="00B22FD0">
            <w:pPr>
              <w:widowControl/>
              <w:jc w:val="left"/>
              <w:rPr>
                <w:rFonts w:ascii="Times New Roman" w:eastAsia="等线" w:hAnsi="Times New Roman"/>
                <w:color w:val="000000"/>
                <w:kern w:val="0"/>
                <w:szCs w:val="21"/>
              </w:rPr>
            </w:pPr>
            <w:r>
              <w:rPr>
                <w:rFonts w:ascii="Times New Roman" w:eastAsia="等线" w:hAnsi="Times New Roman" w:hint="eastAsia"/>
                <w:color w:val="000000"/>
                <w:kern w:val="0"/>
                <w:szCs w:val="21"/>
              </w:rPr>
              <w:t>Ticam1</w:t>
            </w:r>
            <w:r>
              <w:rPr>
                <w:rFonts w:ascii="Times New Roman" w:eastAsia="等线" w:hAnsi="Times New Roman"/>
                <w:color w:val="000000"/>
                <w:kern w:val="0"/>
                <w:szCs w:val="21"/>
              </w:rPr>
              <w:t>-F</w:t>
            </w:r>
          </w:p>
        </w:tc>
        <w:tc>
          <w:tcPr>
            <w:tcW w:w="4440" w:type="dxa"/>
            <w:tcBorders>
              <w:top w:val="nil"/>
              <w:left w:val="nil"/>
              <w:bottom w:val="nil"/>
              <w:right w:val="nil"/>
            </w:tcBorders>
            <w:shd w:val="clear" w:color="auto" w:fill="auto"/>
            <w:noWrap/>
            <w:vAlign w:val="center"/>
          </w:tcPr>
          <w:p w14:paraId="51C482A5" w14:textId="77777777" w:rsidR="00D86489" w:rsidRDefault="00B22FD0">
            <w:pPr>
              <w:widowControl/>
              <w:jc w:val="left"/>
              <w:rPr>
                <w:rFonts w:ascii="Times New Roman" w:eastAsia="等线" w:hAnsi="Times New Roman"/>
                <w:color w:val="000000"/>
                <w:kern w:val="0"/>
                <w:szCs w:val="21"/>
              </w:rPr>
            </w:pPr>
            <w:r>
              <w:rPr>
                <w:rFonts w:ascii="Times New Roman" w:eastAsia="等线" w:hAnsi="Times New Roman"/>
                <w:color w:val="000000"/>
                <w:kern w:val="0"/>
                <w:szCs w:val="21"/>
              </w:rPr>
              <w:t>ACCTTCTGCGAGGATTTCCA</w:t>
            </w:r>
          </w:p>
        </w:tc>
      </w:tr>
      <w:tr w:rsidR="00D86489" w14:paraId="45477428" w14:textId="77777777">
        <w:trPr>
          <w:trHeight w:val="312"/>
          <w:jc w:val="center"/>
        </w:trPr>
        <w:tc>
          <w:tcPr>
            <w:tcW w:w="1760" w:type="dxa"/>
            <w:tcBorders>
              <w:top w:val="nil"/>
              <w:left w:val="nil"/>
              <w:bottom w:val="nil"/>
              <w:right w:val="nil"/>
            </w:tcBorders>
            <w:shd w:val="clear" w:color="auto" w:fill="auto"/>
            <w:noWrap/>
            <w:vAlign w:val="center"/>
          </w:tcPr>
          <w:p w14:paraId="53C72238" w14:textId="77777777" w:rsidR="00D86489" w:rsidRDefault="00B22FD0">
            <w:pPr>
              <w:widowControl/>
              <w:jc w:val="left"/>
              <w:rPr>
                <w:rFonts w:ascii="Times New Roman" w:eastAsia="等线" w:hAnsi="Times New Roman"/>
                <w:color w:val="000000"/>
                <w:kern w:val="0"/>
                <w:szCs w:val="21"/>
              </w:rPr>
            </w:pPr>
            <w:r>
              <w:rPr>
                <w:rFonts w:ascii="Times New Roman" w:eastAsia="等线" w:hAnsi="Times New Roman" w:hint="eastAsia"/>
                <w:color w:val="000000"/>
                <w:kern w:val="0"/>
                <w:szCs w:val="21"/>
              </w:rPr>
              <w:t>Ticam1</w:t>
            </w:r>
            <w:r>
              <w:rPr>
                <w:rFonts w:ascii="Times New Roman" w:eastAsia="等线" w:hAnsi="Times New Roman"/>
                <w:color w:val="000000"/>
                <w:kern w:val="0"/>
                <w:szCs w:val="21"/>
              </w:rPr>
              <w:t>-R</w:t>
            </w:r>
          </w:p>
        </w:tc>
        <w:tc>
          <w:tcPr>
            <w:tcW w:w="4440" w:type="dxa"/>
            <w:tcBorders>
              <w:top w:val="nil"/>
              <w:left w:val="nil"/>
              <w:bottom w:val="nil"/>
              <w:right w:val="nil"/>
            </w:tcBorders>
            <w:shd w:val="clear" w:color="auto" w:fill="auto"/>
            <w:noWrap/>
            <w:vAlign w:val="center"/>
          </w:tcPr>
          <w:p w14:paraId="1978AB11" w14:textId="77777777" w:rsidR="00D86489" w:rsidRDefault="00B22FD0">
            <w:pPr>
              <w:widowControl/>
              <w:jc w:val="left"/>
              <w:rPr>
                <w:rFonts w:ascii="Times New Roman" w:eastAsia="等线" w:hAnsi="Times New Roman"/>
                <w:color w:val="000000"/>
                <w:kern w:val="0"/>
                <w:szCs w:val="21"/>
              </w:rPr>
            </w:pPr>
            <w:r>
              <w:rPr>
                <w:rFonts w:ascii="Times New Roman" w:eastAsia="等线" w:hAnsi="Times New Roman"/>
                <w:color w:val="000000"/>
                <w:kern w:val="0"/>
                <w:szCs w:val="21"/>
              </w:rPr>
              <w:t>CGACAGTCGAAGTTGGAGGT</w:t>
            </w:r>
          </w:p>
        </w:tc>
      </w:tr>
      <w:tr w:rsidR="00D86489" w14:paraId="7CB7770D" w14:textId="77777777">
        <w:trPr>
          <w:trHeight w:val="312"/>
          <w:jc w:val="center"/>
        </w:trPr>
        <w:tc>
          <w:tcPr>
            <w:tcW w:w="1760" w:type="dxa"/>
            <w:tcBorders>
              <w:top w:val="nil"/>
              <w:left w:val="nil"/>
              <w:bottom w:val="nil"/>
              <w:right w:val="nil"/>
            </w:tcBorders>
            <w:shd w:val="clear" w:color="auto" w:fill="auto"/>
            <w:noWrap/>
            <w:vAlign w:val="center"/>
          </w:tcPr>
          <w:p w14:paraId="613FF939" w14:textId="77777777" w:rsidR="00D86489" w:rsidRDefault="00B22FD0">
            <w:pPr>
              <w:widowControl/>
              <w:jc w:val="left"/>
              <w:rPr>
                <w:rFonts w:ascii="Times New Roman" w:eastAsia="等线" w:hAnsi="Times New Roman"/>
                <w:color w:val="000000"/>
                <w:kern w:val="0"/>
                <w:szCs w:val="21"/>
              </w:rPr>
            </w:pPr>
            <w:r>
              <w:rPr>
                <w:rFonts w:ascii="Times New Roman" w:eastAsia="等线" w:hAnsi="Times New Roman" w:hint="eastAsia"/>
                <w:color w:val="000000"/>
                <w:kern w:val="0"/>
                <w:szCs w:val="21"/>
              </w:rPr>
              <w:t>TIRAP</w:t>
            </w:r>
            <w:r>
              <w:rPr>
                <w:rFonts w:ascii="Times New Roman" w:eastAsia="等线" w:hAnsi="Times New Roman"/>
                <w:color w:val="000000"/>
                <w:kern w:val="0"/>
                <w:szCs w:val="21"/>
              </w:rPr>
              <w:t>-F</w:t>
            </w:r>
          </w:p>
        </w:tc>
        <w:tc>
          <w:tcPr>
            <w:tcW w:w="4440" w:type="dxa"/>
            <w:tcBorders>
              <w:top w:val="nil"/>
              <w:left w:val="nil"/>
              <w:bottom w:val="nil"/>
              <w:right w:val="nil"/>
            </w:tcBorders>
            <w:shd w:val="clear" w:color="auto" w:fill="auto"/>
            <w:noWrap/>
            <w:vAlign w:val="center"/>
          </w:tcPr>
          <w:p w14:paraId="6E48DF9D" w14:textId="77777777" w:rsidR="00D86489" w:rsidRDefault="00B22FD0">
            <w:pPr>
              <w:widowControl/>
              <w:jc w:val="left"/>
              <w:rPr>
                <w:rFonts w:ascii="Times New Roman" w:eastAsia="等线" w:hAnsi="Times New Roman"/>
                <w:color w:val="000000"/>
                <w:kern w:val="0"/>
                <w:szCs w:val="21"/>
              </w:rPr>
            </w:pPr>
            <w:r>
              <w:rPr>
                <w:rFonts w:ascii="Times New Roman" w:eastAsia="等线" w:hAnsi="Times New Roman"/>
                <w:color w:val="000000"/>
                <w:kern w:val="0"/>
                <w:szCs w:val="21"/>
              </w:rPr>
              <w:t>CCTCCTCCACTCCGTCCAA</w:t>
            </w:r>
          </w:p>
        </w:tc>
      </w:tr>
      <w:tr w:rsidR="00D86489" w14:paraId="1802ACA6" w14:textId="77777777">
        <w:trPr>
          <w:trHeight w:val="312"/>
          <w:jc w:val="center"/>
        </w:trPr>
        <w:tc>
          <w:tcPr>
            <w:tcW w:w="1760" w:type="dxa"/>
            <w:tcBorders>
              <w:top w:val="nil"/>
              <w:left w:val="nil"/>
              <w:bottom w:val="nil"/>
              <w:right w:val="nil"/>
            </w:tcBorders>
            <w:shd w:val="clear" w:color="auto" w:fill="auto"/>
            <w:noWrap/>
            <w:vAlign w:val="center"/>
          </w:tcPr>
          <w:p w14:paraId="255F3904" w14:textId="77777777" w:rsidR="00D86489" w:rsidRDefault="00B22FD0">
            <w:pPr>
              <w:widowControl/>
              <w:jc w:val="left"/>
              <w:rPr>
                <w:rFonts w:ascii="Times New Roman" w:eastAsia="等线" w:hAnsi="Times New Roman"/>
                <w:color w:val="000000"/>
                <w:kern w:val="0"/>
                <w:szCs w:val="21"/>
              </w:rPr>
            </w:pPr>
            <w:r>
              <w:rPr>
                <w:rFonts w:ascii="Times New Roman" w:eastAsia="等线" w:hAnsi="Times New Roman" w:hint="eastAsia"/>
                <w:color w:val="000000"/>
                <w:kern w:val="0"/>
                <w:szCs w:val="21"/>
              </w:rPr>
              <w:t>TIRAP</w:t>
            </w:r>
            <w:r>
              <w:rPr>
                <w:rFonts w:ascii="Times New Roman" w:eastAsia="等线" w:hAnsi="Times New Roman"/>
                <w:color w:val="000000"/>
                <w:kern w:val="0"/>
                <w:szCs w:val="21"/>
              </w:rPr>
              <w:t>-R</w:t>
            </w:r>
          </w:p>
        </w:tc>
        <w:tc>
          <w:tcPr>
            <w:tcW w:w="4440" w:type="dxa"/>
            <w:tcBorders>
              <w:top w:val="nil"/>
              <w:left w:val="nil"/>
              <w:bottom w:val="nil"/>
              <w:right w:val="nil"/>
            </w:tcBorders>
            <w:shd w:val="clear" w:color="auto" w:fill="auto"/>
            <w:noWrap/>
            <w:vAlign w:val="center"/>
          </w:tcPr>
          <w:p w14:paraId="511B1BB4" w14:textId="77777777" w:rsidR="00D86489" w:rsidRDefault="00B22FD0">
            <w:pPr>
              <w:widowControl/>
              <w:jc w:val="left"/>
              <w:rPr>
                <w:rFonts w:ascii="Times New Roman" w:eastAsia="等线" w:hAnsi="Times New Roman"/>
                <w:color w:val="000000"/>
                <w:kern w:val="0"/>
                <w:szCs w:val="21"/>
              </w:rPr>
            </w:pPr>
            <w:r>
              <w:rPr>
                <w:rFonts w:ascii="Times New Roman" w:eastAsia="等线" w:hAnsi="Times New Roman"/>
                <w:color w:val="000000"/>
                <w:kern w:val="0"/>
                <w:szCs w:val="21"/>
              </w:rPr>
              <w:t>CTTTCCTGGGAGATCGGCAT</w:t>
            </w:r>
          </w:p>
        </w:tc>
      </w:tr>
      <w:tr w:rsidR="00D86489" w14:paraId="22090AF0" w14:textId="77777777">
        <w:trPr>
          <w:trHeight w:val="312"/>
          <w:jc w:val="center"/>
        </w:trPr>
        <w:tc>
          <w:tcPr>
            <w:tcW w:w="1760" w:type="dxa"/>
            <w:tcBorders>
              <w:top w:val="nil"/>
              <w:left w:val="nil"/>
              <w:bottom w:val="nil"/>
              <w:right w:val="nil"/>
            </w:tcBorders>
            <w:shd w:val="clear" w:color="auto" w:fill="auto"/>
            <w:noWrap/>
            <w:vAlign w:val="center"/>
          </w:tcPr>
          <w:p w14:paraId="39A61121" w14:textId="77777777" w:rsidR="00D86489" w:rsidRDefault="00B22FD0">
            <w:pPr>
              <w:widowControl/>
              <w:jc w:val="left"/>
              <w:rPr>
                <w:rFonts w:ascii="Times New Roman" w:eastAsia="等线" w:hAnsi="Times New Roman"/>
                <w:color w:val="000000"/>
                <w:kern w:val="0"/>
                <w:szCs w:val="21"/>
              </w:rPr>
            </w:pPr>
            <w:r>
              <w:rPr>
                <w:rFonts w:ascii="Times New Roman" w:eastAsia="等线" w:hAnsi="Times New Roman" w:hint="eastAsia"/>
                <w:color w:val="000000"/>
                <w:kern w:val="0"/>
                <w:szCs w:val="21"/>
              </w:rPr>
              <w:t>Myd88</w:t>
            </w:r>
            <w:r>
              <w:rPr>
                <w:rFonts w:ascii="Times New Roman" w:eastAsia="等线" w:hAnsi="Times New Roman"/>
                <w:color w:val="000000"/>
                <w:kern w:val="0"/>
                <w:szCs w:val="21"/>
              </w:rPr>
              <w:t>-F</w:t>
            </w:r>
          </w:p>
        </w:tc>
        <w:tc>
          <w:tcPr>
            <w:tcW w:w="4440" w:type="dxa"/>
            <w:tcBorders>
              <w:top w:val="nil"/>
              <w:left w:val="nil"/>
              <w:bottom w:val="nil"/>
              <w:right w:val="nil"/>
            </w:tcBorders>
            <w:shd w:val="clear" w:color="auto" w:fill="auto"/>
            <w:noWrap/>
            <w:vAlign w:val="center"/>
          </w:tcPr>
          <w:p w14:paraId="32EBFB00" w14:textId="77777777" w:rsidR="00D86489" w:rsidRDefault="00B22FD0">
            <w:pPr>
              <w:widowControl/>
              <w:jc w:val="left"/>
              <w:rPr>
                <w:rFonts w:ascii="Times New Roman" w:eastAsia="等线" w:hAnsi="Times New Roman"/>
                <w:color w:val="000000"/>
                <w:kern w:val="0"/>
                <w:szCs w:val="21"/>
              </w:rPr>
            </w:pPr>
            <w:r>
              <w:rPr>
                <w:rFonts w:ascii="Times New Roman" w:eastAsia="等线" w:hAnsi="Times New Roman"/>
                <w:color w:val="000000"/>
                <w:kern w:val="0"/>
                <w:szCs w:val="21"/>
              </w:rPr>
              <w:t>TCATGTTCTCCATACCCTTGGT</w:t>
            </w:r>
          </w:p>
        </w:tc>
      </w:tr>
      <w:tr w:rsidR="00D86489" w14:paraId="48D0257A" w14:textId="77777777">
        <w:trPr>
          <w:trHeight w:val="312"/>
          <w:jc w:val="center"/>
        </w:trPr>
        <w:tc>
          <w:tcPr>
            <w:tcW w:w="1760" w:type="dxa"/>
            <w:tcBorders>
              <w:top w:val="nil"/>
              <w:left w:val="nil"/>
              <w:bottom w:val="nil"/>
              <w:right w:val="nil"/>
            </w:tcBorders>
            <w:shd w:val="clear" w:color="auto" w:fill="auto"/>
            <w:noWrap/>
            <w:vAlign w:val="center"/>
          </w:tcPr>
          <w:p w14:paraId="4FF56E28" w14:textId="77777777" w:rsidR="00D86489" w:rsidRDefault="00B22FD0">
            <w:pPr>
              <w:widowControl/>
              <w:jc w:val="left"/>
              <w:rPr>
                <w:rFonts w:ascii="Times New Roman" w:eastAsia="等线" w:hAnsi="Times New Roman"/>
                <w:color w:val="000000"/>
                <w:kern w:val="0"/>
                <w:szCs w:val="21"/>
              </w:rPr>
            </w:pPr>
            <w:r>
              <w:rPr>
                <w:rFonts w:ascii="Times New Roman" w:eastAsia="等线" w:hAnsi="Times New Roman" w:hint="eastAsia"/>
                <w:color w:val="000000"/>
                <w:kern w:val="0"/>
                <w:szCs w:val="21"/>
              </w:rPr>
              <w:t>Myd88</w:t>
            </w:r>
            <w:r>
              <w:rPr>
                <w:rFonts w:ascii="Times New Roman" w:eastAsia="等线" w:hAnsi="Times New Roman"/>
                <w:color w:val="000000"/>
                <w:kern w:val="0"/>
                <w:szCs w:val="21"/>
              </w:rPr>
              <w:t>-R</w:t>
            </w:r>
          </w:p>
        </w:tc>
        <w:tc>
          <w:tcPr>
            <w:tcW w:w="4440" w:type="dxa"/>
            <w:tcBorders>
              <w:top w:val="nil"/>
              <w:left w:val="nil"/>
              <w:bottom w:val="nil"/>
              <w:right w:val="nil"/>
            </w:tcBorders>
            <w:shd w:val="clear" w:color="auto" w:fill="auto"/>
            <w:noWrap/>
            <w:vAlign w:val="center"/>
          </w:tcPr>
          <w:p w14:paraId="158FCDA0" w14:textId="77777777" w:rsidR="00D86489" w:rsidRDefault="00B22FD0">
            <w:pPr>
              <w:widowControl/>
              <w:jc w:val="left"/>
              <w:rPr>
                <w:rFonts w:ascii="Times New Roman" w:eastAsia="等线" w:hAnsi="Times New Roman"/>
                <w:color w:val="000000"/>
                <w:kern w:val="0"/>
                <w:szCs w:val="21"/>
              </w:rPr>
            </w:pPr>
            <w:r>
              <w:rPr>
                <w:rFonts w:ascii="Times New Roman" w:eastAsia="等线" w:hAnsi="Times New Roman"/>
                <w:color w:val="000000"/>
                <w:kern w:val="0"/>
                <w:szCs w:val="21"/>
              </w:rPr>
              <w:t>AAACTGCGAGTGGGGTCAG</w:t>
            </w:r>
          </w:p>
        </w:tc>
      </w:tr>
      <w:tr w:rsidR="00D86489" w14:paraId="37DB99B8" w14:textId="77777777">
        <w:trPr>
          <w:trHeight w:val="312"/>
          <w:jc w:val="center"/>
        </w:trPr>
        <w:tc>
          <w:tcPr>
            <w:tcW w:w="1760" w:type="dxa"/>
            <w:tcBorders>
              <w:top w:val="nil"/>
              <w:left w:val="nil"/>
              <w:bottom w:val="nil"/>
              <w:right w:val="nil"/>
            </w:tcBorders>
            <w:shd w:val="clear" w:color="auto" w:fill="auto"/>
            <w:noWrap/>
            <w:vAlign w:val="center"/>
          </w:tcPr>
          <w:p w14:paraId="743A958E" w14:textId="77777777" w:rsidR="00D86489" w:rsidRDefault="00B22FD0">
            <w:pPr>
              <w:widowControl/>
              <w:jc w:val="left"/>
              <w:rPr>
                <w:rFonts w:ascii="Times New Roman" w:eastAsia="等线" w:hAnsi="Times New Roman"/>
                <w:color w:val="000000"/>
                <w:kern w:val="0"/>
                <w:szCs w:val="21"/>
              </w:rPr>
            </w:pPr>
            <w:r>
              <w:rPr>
                <w:rFonts w:ascii="Times New Roman" w:eastAsia="等线" w:hAnsi="Times New Roman" w:hint="eastAsia"/>
                <w:color w:val="000000"/>
                <w:kern w:val="0"/>
                <w:szCs w:val="21"/>
              </w:rPr>
              <w:t>Tak1</w:t>
            </w:r>
            <w:r>
              <w:rPr>
                <w:rFonts w:ascii="Times New Roman" w:eastAsia="等线" w:hAnsi="Times New Roman"/>
                <w:color w:val="000000"/>
                <w:kern w:val="0"/>
                <w:szCs w:val="21"/>
              </w:rPr>
              <w:t>-F</w:t>
            </w:r>
          </w:p>
        </w:tc>
        <w:tc>
          <w:tcPr>
            <w:tcW w:w="4440" w:type="dxa"/>
            <w:tcBorders>
              <w:top w:val="nil"/>
              <w:left w:val="nil"/>
              <w:bottom w:val="nil"/>
              <w:right w:val="nil"/>
            </w:tcBorders>
            <w:shd w:val="clear" w:color="auto" w:fill="auto"/>
            <w:noWrap/>
            <w:vAlign w:val="center"/>
          </w:tcPr>
          <w:p w14:paraId="0688596F" w14:textId="77777777" w:rsidR="00D86489" w:rsidRDefault="00B22FD0">
            <w:pPr>
              <w:widowControl/>
              <w:jc w:val="left"/>
              <w:rPr>
                <w:rFonts w:ascii="Times New Roman" w:eastAsia="等线" w:hAnsi="Times New Roman"/>
                <w:color w:val="000000"/>
                <w:kern w:val="0"/>
                <w:szCs w:val="21"/>
              </w:rPr>
            </w:pPr>
            <w:r>
              <w:rPr>
                <w:rFonts w:ascii="Times New Roman" w:eastAsia="等线" w:hAnsi="Times New Roman"/>
                <w:color w:val="000000"/>
                <w:kern w:val="0"/>
                <w:szCs w:val="21"/>
              </w:rPr>
              <w:t>GTCATCCAGCCCTAGTGTCAGAAT</w:t>
            </w:r>
          </w:p>
        </w:tc>
      </w:tr>
      <w:tr w:rsidR="00D86489" w14:paraId="7DE74B72" w14:textId="77777777">
        <w:trPr>
          <w:trHeight w:val="312"/>
          <w:jc w:val="center"/>
        </w:trPr>
        <w:tc>
          <w:tcPr>
            <w:tcW w:w="1760" w:type="dxa"/>
            <w:tcBorders>
              <w:top w:val="nil"/>
              <w:left w:val="nil"/>
              <w:bottom w:val="nil"/>
              <w:right w:val="nil"/>
            </w:tcBorders>
            <w:shd w:val="clear" w:color="auto" w:fill="auto"/>
            <w:noWrap/>
            <w:vAlign w:val="center"/>
          </w:tcPr>
          <w:p w14:paraId="7EA4E9A1" w14:textId="77777777" w:rsidR="00D86489" w:rsidRDefault="00B22FD0">
            <w:pPr>
              <w:widowControl/>
              <w:jc w:val="left"/>
              <w:rPr>
                <w:rFonts w:ascii="Times New Roman" w:eastAsia="等线" w:hAnsi="Times New Roman"/>
                <w:color w:val="000000"/>
                <w:kern w:val="0"/>
                <w:szCs w:val="21"/>
              </w:rPr>
            </w:pPr>
            <w:r>
              <w:rPr>
                <w:rFonts w:ascii="Times New Roman" w:eastAsia="等线" w:hAnsi="Times New Roman" w:hint="eastAsia"/>
                <w:color w:val="000000"/>
                <w:kern w:val="0"/>
                <w:szCs w:val="21"/>
              </w:rPr>
              <w:t>Tak1</w:t>
            </w:r>
            <w:r>
              <w:rPr>
                <w:rFonts w:ascii="Times New Roman" w:eastAsia="等线" w:hAnsi="Times New Roman"/>
                <w:color w:val="000000"/>
                <w:kern w:val="0"/>
                <w:szCs w:val="21"/>
              </w:rPr>
              <w:t>-R</w:t>
            </w:r>
          </w:p>
        </w:tc>
        <w:tc>
          <w:tcPr>
            <w:tcW w:w="4440" w:type="dxa"/>
            <w:tcBorders>
              <w:top w:val="nil"/>
              <w:left w:val="nil"/>
              <w:bottom w:val="nil"/>
              <w:right w:val="nil"/>
            </w:tcBorders>
            <w:shd w:val="clear" w:color="auto" w:fill="auto"/>
            <w:noWrap/>
            <w:vAlign w:val="center"/>
          </w:tcPr>
          <w:p w14:paraId="17A3B1C3" w14:textId="77777777" w:rsidR="00D86489" w:rsidRDefault="00B22FD0">
            <w:pPr>
              <w:widowControl/>
              <w:jc w:val="left"/>
              <w:rPr>
                <w:rFonts w:ascii="Times New Roman" w:eastAsia="等线" w:hAnsi="Times New Roman"/>
                <w:color w:val="000000"/>
                <w:kern w:val="0"/>
                <w:szCs w:val="21"/>
              </w:rPr>
            </w:pPr>
            <w:r>
              <w:rPr>
                <w:rFonts w:ascii="Times New Roman" w:eastAsia="等线" w:hAnsi="Times New Roman"/>
                <w:color w:val="000000"/>
                <w:kern w:val="0"/>
                <w:szCs w:val="21"/>
              </w:rPr>
              <w:t>TTCTTTGGAGTTTGGGCACG</w:t>
            </w:r>
          </w:p>
        </w:tc>
      </w:tr>
      <w:tr w:rsidR="00D86489" w14:paraId="185F7341" w14:textId="77777777">
        <w:trPr>
          <w:trHeight w:val="312"/>
          <w:jc w:val="center"/>
        </w:trPr>
        <w:tc>
          <w:tcPr>
            <w:tcW w:w="1760" w:type="dxa"/>
            <w:tcBorders>
              <w:top w:val="nil"/>
              <w:left w:val="nil"/>
              <w:bottom w:val="nil"/>
              <w:right w:val="nil"/>
            </w:tcBorders>
            <w:shd w:val="clear" w:color="auto" w:fill="auto"/>
            <w:noWrap/>
            <w:vAlign w:val="center"/>
          </w:tcPr>
          <w:p w14:paraId="2D464ACD" w14:textId="77777777" w:rsidR="00D86489" w:rsidRDefault="00B22FD0">
            <w:pPr>
              <w:widowControl/>
              <w:jc w:val="left"/>
              <w:rPr>
                <w:rFonts w:ascii="Times New Roman" w:eastAsia="等线" w:hAnsi="Times New Roman"/>
                <w:color w:val="000000"/>
                <w:kern w:val="0"/>
                <w:szCs w:val="21"/>
              </w:rPr>
            </w:pPr>
            <w:r>
              <w:rPr>
                <w:rFonts w:ascii="Times New Roman" w:eastAsia="等线" w:hAnsi="Times New Roman"/>
                <w:color w:val="000000"/>
                <w:kern w:val="0"/>
                <w:szCs w:val="21"/>
              </w:rPr>
              <w:lastRenderedPageBreak/>
              <w:t>GAPDH-F</w:t>
            </w:r>
          </w:p>
        </w:tc>
        <w:tc>
          <w:tcPr>
            <w:tcW w:w="4440" w:type="dxa"/>
            <w:tcBorders>
              <w:top w:val="nil"/>
              <w:left w:val="nil"/>
              <w:bottom w:val="nil"/>
              <w:right w:val="nil"/>
            </w:tcBorders>
            <w:shd w:val="clear" w:color="auto" w:fill="auto"/>
            <w:noWrap/>
            <w:vAlign w:val="center"/>
          </w:tcPr>
          <w:p w14:paraId="7CB07402" w14:textId="77777777" w:rsidR="00D86489" w:rsidRDefault="00B22FD0">
            <w:pPr>
              <w:widowControl/>
              <w:jc w:val="left"/>
              <w:rPr>
                <w:rFonts w:ascii="Times New Roman" w:eastAsia="等线" w:hAnsi="Times New Roman"/>
                <w:color w:val="000000"/>
                <w:kern w:val="0"/>
                <w:szCs w:val="21"/>
              </w:rPr>
            </w:pPr>
            <w:r>
              <w:rPr>
                <w:rFonts w:ascii="Times New Roman" w:eastAsia="等线" w:hAnsi="Times New Roman"/>
                <w:color w:val="000000"/>
                <w:kern w:val="0"/>
                <w:szCs w:val="21"/>
              </w:rPr>
              <w:t>AGGTCGGTGTGAACGGATTTG</w:t>
            </w:r>
          </w:p>
        </w:tc>
      </w:tr>
      <w:tr w:rsidR="00D86489" w14:paraId="5F38EA50" w14:textId="77777777">
        <w:trPr>
          <w:trHeight w:val="312"/>
          <w:jc w:val="center"/>
        </w:trPr>
        <w:tc>
          <w:tcPr>
            <w:tcW w:w="1760" w:type="dxa"/>
            <w:tcBorders>
              <w:top w:val="nil"/>
              <w:left w:val="nil"/>
              <w:bottom w:val="single" w:sz="4" w:space="0" w:color="auto"/>
              <w:right w:val="nil"/>
            </w:tcBorders>
            <w:shd w:val="clear" w:color="auto" w:fill="auto"/>
            <w:noWrap/>
            <w:vAlign w:val="center"/>
          </w:tcPr>
          <w:p w14:paraId="20D54847" w14:textId="77777777" w:rsidR="00D86489" w:rsidRDefault="00B22FD0">
            <w:pPr>
              <w:widowControl/>
              <w:jc w:val="left"/>
              <w:rPr>
                <w:rFonts w:ascii="Times New Roman" w:eastAsia="等线" w:hAnsi="Times New Roman"/>
                <w:color w:val="000000"/>
                <w:kern w:val="0"/>
                <w:szCs w:val="21"/>
              </w:rPr>
            </w:pPr>
            <w:r>
              <w:rPr>
                <w:rFonts w:ascii="Times New Roman" w:eastAsia="等线" w:hAnsi="Times New Roman"/>
                <w:color w:val="000000"/>
                <w:kern w:val="0"/>
                <w:szCs w:val="21"/>
              </w:rPr>
              <w:t>GAPDH-R</w:t>
            </w:r>
          </w:p>
        </w:tc>
        <w:tc>
          <w:tcPr>
            <w:tcW w:w="4440" w:type="dxa"/>
            <w:tcBorders>
              <w:top w:val="nil"/>
              <w:left w:val="nil"/>
              <w:bottom w:val="single" w:sz="4" w:space="0" w:color="auto"/>
              <w:right w:val="nil"/>
            </w:tcBorders>
            <w:shd w:val="clear" w:color="auto" w:fill="auto"/>
            <w:noWrap/>
            <w:vAlign w:val="center"/>
          </w:tcPr>
          <w:p w14:paraId="31428018" w14:textId="77777777" w:rsidR="00D86489" w:rsidRDefault="00B22FD0">
            <w:pPr>
              <w:widowControl/>
              <w:jc w:val="left"/>
              <w:rPr>
                <w:rFonts w:ascii="Times New Roman" w:eastAsia="等线" w:hAnsi="Times New Roman"/>
                <w:color w:val="000000"/>
                <w:kern w:val="0"/>
                <w:szCs w:val="21"/>
              </w:rPr>
            </w:pPr>
            <w:r>
              <w:rPr>
                <w:rFonts w:ascii="Times New Roman" w:eastAsia="等线" w:hAnsi="Times New Roman"/>
                <w:color w:val="000000"/>
                <w:kern w:val="0"/>
                <w:szCs w:val="21"/>
              </w:rPr>
              <w:t>GGGGTCGTTGATGGCAACA</w:t>
            </w:r>
          </w:p>
        </w:tc>
      </w:tr>
    </w:tbl>
    <w:p w14:paraId="2581F7D9" w14:textId="77777777" w:rsidR="00D86489" w:rsidRDefault="00D86489">
      <w:pPr>
        <w:spacing w:line="360" w:lineRule="auto"/>
        <w:rPr>
          <w:rFonts w:ascii="Times New Roman" w:hAnsi="Times New Roman"/>
        </w:rPr>
      </w:pPr>
    </w:p>
    <w:p w14:paraId="060E122F" w14:textId="77777777" w:rsidR="00D86489" w:rsidRDefault="00D86489">
      <w:pPr>
        <w:tabs>
          <w:tab w:val="left" w:pos="6361"/>
        </w:tabs>
        <w:rPr>
          <w:rFonts w:ascii="Times New Roman" w:hAnsi="Times New Roman"/>
          <w:kern w:val="0"/>
          <w:sz w:val="16"/>
          <w:szCs w:val="16"/>
        </w:rPr>
      </w:pPr>
    </w:p>
    <w:sectPr w:rsidR="00D86489" w:rsidSect="00C91141">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3AE91E2" w14:textId="77777777" w:rsidR="00A7728A" w:rsidRDefault="00A7728A" w:rsidP="00D63129">
      <w:r>
        <w:separator/>
      </w:r>
    </w:p>
  </w:endnote>
  <w:endnote w:type="continuationSeparator" w:id="0">
    <w:p w14:paraId="1EC95F37" w14:textId="77777777" w:rsidR="00A7728A" w:rsidRDefault="00A7728A" w:rsidP="00D63129">
      <w:r>
        <w:continuationSeparator/>
      </w:r>
    </w:p>
  </w:endnote>
  <w:endnote w:type="continuationNotice" w:id="1">
    <w:p w14:paraId="49873298" w14:textId="77777777" w:rsidR="00A7728A" w:rsidRDefault="00A7728A"/>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notTrueType/>
    <w:pitch w:val="fixed"/>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35CF116" w14:textId="77777777" w:rsidR="00A7728A" w:rsidRDefault="00A7728A" w:rsidP="00D63129">
      <w:r>
        <w:separator/>
      </w:r>
    </w:p>
  </w:footnote>
  <w:footnote w:type="continuationSeparator" w:id="0">
    <w:p w14:paraId="5CA6DF7A" w14:textId="77777777" w:rsidR="00A7728A" w:rsidRDefault="00A7728A" w:rsidP="00D63129">
      <w:r>
        <w:continuationSeparator/>
      </w:r>
    </w:p>
  </w:footnote>
  <w:footnote w:type="continuationNotice" w:id="1">
    <w:p w14:paraId="6ADF1BFB" w14:textId="77777777" w:rsidR="00A7728A" w:rsidRDefault="00A7728A"/>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38606D2D"/>
    <w:multiLevelType w:val="multilevel"/>
    <w:tmpl w:val="425054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65F36925"/>
    <w:multiLevelType w:val="multilevel"/>
    <w:tmpl w:val="1E808B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bordersDoNotSurroundHeader/>
  <w:bordersDoNotSurroundFooter/>
  <w:doNotTrackMoves/>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MzU3NzQytTQ1MDa3MLBU0lEKTi0uzszPAykwrAUAc/slySwAAAA="/>
    <w:docVar w:name="NE.Ref{004E77D2-2FAE-4C86-89DF-A0899CC8A8DB}" w:val=" ADDIN NE.Ref.{004E77D2-2FAE-4C86-89DF-A0899CC8A8DB}&lt;Citation&gt;&lt;Group&gt;&lt;References&gt;&lt;Item&gt;&lt;ID&gt;694&lt;/ID&gt;&lt;UID&gt;{B7E30644-A4F4-47AF-99E5-D2B8F803F7C8}&lt;/UID&gt;&lt;Title&gt;T cells become licensed in the lung to enter the central nervous system&lt;/Title&gt;&lt;Template&gt;Journal Article&lt;/Template&gt;&lt;Star&gt;0&lt;/Star&gt;&lt;Tag&gt;0&lt;/Tag&gt;&lt;Author&gt;Odoardi, F; Sie, C; Streyl, K; Ulaganathan, V K; Schlager, C; Lodygin, D; Heckelsmiller, K; Nietfeld, W; Ellwart, J; Klinkert, W E; Lottaz, C; Nosov, M; Brinkmann, V; Spang, R; Lehrach, H; Vingron, M; Wekerle, H; Flugel-Koch, C; Flugel, A&lt;/Author&gt;&lt;Year&gt;2012&lt;/Year&gt;&lt;Details&gt;&lt;_accession_num&gt;22914092&lt;/_accession_num&gt;&lt;_author_adr&gt;Institute for Multiple Sclerosis Research, Department of Neuroimmunology, Gemeinnutzige Hertie-Stiftung and University Medical Centre Gottingen, 37073 Gottingen, Germany.&lt;/_author_adr&gt;&lt;_collection_scope&gt;SCI;SCIE&lt;/_collection_scope&gt;&lt;_created&gt;63229834&lt;/_created&gt;&lt;_date&gt;2012-08-30&lt;/_date&gt;&lt;_date_display&gt;2012 Aug 30&lt;/_date_display&gt;&lt;_db_updated&gt;PubMed&lt;/_db_updated&gt;&lt;_doi&gt;10.1038/nature11337&lt;/_doi&gt;&lt;_impact_factor&gt;  43.070&lt;/_impact_factor&gt;&lt;_isbn&gt;1476-4687 (Electronic); 0028-0836 (Linking)&lt;/_isbn&gt;&lt;_issue&gt;7413&lt;/_issue&gt;&lt;_journal&gt;Nature&lt;/_journal&gt;&lt;_keywords&gt;Adoptive Transfer; Animals; Autoimmunity/immunology; Blood-Brain Barrier/immunology; Brain/cytology/immunology/*pathology; Cell Adhesion Molecules, Neuronal/metabolism; *Cell Movement; Cerebrovascular Circulation; Disease Models, Animal; Encephalomyelitis, Autoimmune, Experimental/*immunology/*pathology; Gene Expression Profiling; Immunologic Memory; Lung/cytology/immunology/*pathology; Lymphocyte Activation; Myelin Sheath/immunology; Nerve Growth Factors/metabolism; Rats; Rats, Inbred Lew; T-Lymphocytes/cytology/immunology/metabolism/*pathology&lt;/_keywords&gt;&lt;_language&gt;eng&lt;/_language&gt;&lt;_modified&gt;63229834&lt;/_modified&gt;&lt;_pages&gt;675-9&lt;/_pages&gt;&lt;_tertiary_title&gt;Nature&lt;/_tertiary_title&gt;&lt;_type_work&gt;Journal Article; Research Support, Non-U.S. Gov&amp;apos;t&lt;/_type_work&gt;&lt;_url&gt;http://www.ncbi.nlm.nih.gov/entrez/query.fcgi?cmd=Retrieve&amp;amp;db=pubmed&amp;amp;dopt=Abstract&amp;amp;list_uids=22914092&amp;amp;query_hl=1&lt;/_url&gt;&lt;_volume&gt;488&lt;/_volume&gt;&lt;/Details&gt;&lt;Extra&gt;&lt;DBUID&gt;{F96A950B-833F-4880-A151-76DA2D6A2879}&lt;/DBUID&gt;&lt;/Extra&gt;&lt;/Item&gt;&lt;/References&gt;&lt;/Group&gt;&lt;Group&gt;&lt;References&gt;&lt;Item&gt;&lt;ID&gt;688&lt;/ID&gt;&lt;UID&gt;{C5AA2E4E-DAD8-409A-9348-0969E9122186}&lt;/UID&gt;&lt;Title&gt;Microglial priming through the lung-brain axis: the role of air pollution-induced circulating factors&lt;/Title&gt;&lt;Template&gt;Journal Article&lt;/Template&gt;&lt;Star&gt;0&lt;/Star&gt;&lt;Tag&gt;0&lt;/Tag&gt;&lt;Author&gt;Mumaw, C L; Levesque, S; McGraw, C; Robertson, S; Lucas, S; Stafflinger, J E; Campen, M J; Hall, P; Norenberg, J P; Anderson, T; Lund, A K; McDonald, J D; Ottens, A K; Block, M L&lt;/Author&gt;&lt;Year&gt;2016&lt;/Year&gt;&lt;Details&gt;&lt;_accession_num&gt;26864854&lt;/_accession_num&gt;&lt;_author_adr&gt;Department of Anatomy and Cell Biology, The Stark Neuroscience Research Institute, Indiana University School of Medicine, Indianapolis, Indiana, USA;; Department of Anatomy and Neurobiology, Virginia Commonwealth University Medical  Campus, Richmond, Virginia, USA;; Department of Anatomy and Neurobiology, Virginia Commonwealth University Medical  Campus, Richmond, Virginia, USA;; Department of Pharmaceutical Sciences and.; Department of Pharmaceutical Sciences and.; Department of Anatomy and Neurobiology, Virginia Commonwealth University Medical  Campus, Richmond, Virginia, USA;; Department of Pharmaceutical Sciences and.; Department of Pharmaceutical Sciences and.; Radiopharmaceutical Sciences, Keck-University of New Mexico Small-Animal Imaging  Resource, College of Pharmacy, University of New Mexico, Albuquerque, New Mexico, USA;; Radiopharmaceutical Sciences, Keck-University of New Mexico Small-Animal Imaging  Resource, College of Pharmacy, University of New Mexico, Albuquerque, New Mexico, USA;; Department of Biological Sciences, Advanced Environmental Research Institute, University of North Texas, Denton, Texas, USA; and.; Lovelace Respiratory Research Institute, Albuquerque, New Mexico, USA.; Department of Anatomy and Neurobiology, Virginia Commonwealth University Medical  Campus, Richmond, Virginia, USA;; Department of Anatomy and Cell Biology, The Stark Neuroscience Research Institute, Indiana University School of Medicine, Indianapolis, Indiana, USA; mlblock@iupui.edu.&lt;/_author_adr&gt;&lt;_collection_scope&gt;SCI;SCIE&lt;/_collection_scope&gt;&lt;_created&gt;63229826&lt;/_created&gt;&lt;_date&gt;2016-05-01&lt;/_date&gt;&lt;_date_display&gt;2016 May&lt;/_date_display&gt;&lt;_db_updated&gt;PubMed&lt;/_db_updated&gt;&lt;_doi&gt;10.1096/fj.201500047&lt;/_doi&gt;&lt;_impact_factor&gt;   5.391&lt;/_impact_factor&gt;&lt;_isbn&gt;1530-6860 (Electronic); 0892-6638 (Linking)&lt;/_isbn&gt;&lt;_issue&gt;5&lt;/_issue&gt;&lt;_journal&gt;FASEB J&lt;/_journal&gt;&lt;_keywords&gt;Air Pollution/*adverse effects; Animals; Antibodies; Brain/*drug effects/metabolism; Cell Line; Inflammation/chemically induced/metabolism; Lung/*drug effects/metabolism; Lung Diseases/*chemically induced/metabolism; Macrophage-1 Antigen/immunology; Mice; Microglia/*drug effects; Neurons/drug effects/metabolism; Ozone/*toxicity; Rats*glia; *inhaled pollutants; *neuroinflammation&lt;/_keywords&gt;&lt;_language&gt;eng&lt;/_language&gt;&lt;_modified&gt;63229826&lt;/_modified&gt;&lt;_ori_publication&gt;(c) FASEB.&lt;/_ori_publication&gt;&lt;_pages&gt;1880-91&lt;/_pages&gt;&lt;_tertiary_title&gt;FASEB journal : official publication of the Federation of American Societies for _x000a_      Experimental Biology&lt;/_tertiary_title&gt;&lt;_type_work&gt;Journal Article; Research Support, N.I.H., Extramural&lt;/_type_work&gt;&lt;_url&gt;http://www.ncbi.nlm.nih.gov/entrez/query.fcgi?cmd=Retrieve&amp;amp;db=pubmed&amp;amp;dopt=Abstract&amp;amp;list_uids=26864854&amp;amp;query_hl=1&lt;/_url&gt;&lt;_volume&gt;30&lt;/_volume&gt;&lt;/Details&gt;&lt;Extra&gt;&lt;DBUID&gt;{F96A950B-833F-4880-A151-76DA2D6A2879}&lt;/DBUID&gt;&lt;/Extra&gt;&lt;/Item&gt;&lt;/References&gt;&lt;/Group&gt;&lt;Group&gt;&lt;References&gt;&lt;Item&gt;&lt;ID&gt;690&lt;/ID&gt;&lt;UID&gt;{491934A1-234F-4E9D-B0A5-6D4F301E9E0C}&lt;/UID&gt;&lt;Title&gt;The HMGB1-RAGE axis mediates traumatic brain injury-induced pulmonary dysfunction in lung transplantation&lt;/Title&gt;&lt;Template&gt;Journal Article&lt;/Template&gt;&lt;Star&gt;0&lt;/Star&gt;&lt;Tag&gt;0&lt;/Tag&gt;&lt;Author&gt;Weber, D J; Gracon, A S; Ripsch, M S; Fisher, A J; Cheon, B M; Pandya, P H; Vittal, R; Capitano, M L; Kim, Y; Allette, Y M; Riley, A A; McCarthy, B P; Territo, P R; Hutchins, G D; Broxmeyer, H E; Sandusky, G E; White, F A; Wilkes, D S&lt;/Author&gt;&lt;Year&gt;2014&lt;/Year&gt;&lt;Details&gt;&lt;_accession_num&gt;25186179&lt;/_accession_num&gt;&lt;_author_adr&gt;Center for Immunobiology, Indiana University School of Medicine, Indianapolis, IN 46202, USA. Department of Surgery, Indiana University School of Medicine, Indianapolis, IN 46202, USA.; Center for Immunobiology, Indiana University School of Medicine, Indianapolis, IN 46202, USA. Department of Surgery, Indiana University School of Medicine, Indianapolis, IN 46202, USA.; Department of Anesthesia, Paul and Carole Stark Neurosciences Research Institute, Indianapolis, IN 46202, USA.; Center for Immunobiology, Indiana University School of Medicine, Indianapolis, IN 46202, USA. Department of Anesthesia, Paul and Carole Stark Neurosciences Research Institute, Indianapolis, IN 46202, USA.; Department of Anesthesia, Paul and Carole Stark Neurosciences Research Institute, Indianapolis, IN 46202, USA.; Center for Immunobiology, Indiana University School of Medicine, Indianapolis, IN 46202, USA. Department of Microbiology and Immunology, Indiana University School  of Medicine, Indianapolis, IN 46202, USA.; Center for Immunobiology, Indiana University School of Medicine, Indianapolis, IN 46202, USA. Department of Microbiology and Immunology, Indiana University School  of Medicine, Indianapolis, IN 46202, USA.; Department of Microbiology and Immunology, Indiana University School of Medicine, Indianapolis, IN 46202, USA.; Department of Anesthesia, Paul and Carole Stark Neurosciences Research Institute, Indianapolis, IN 46202, USA.; Department of Anesthesia, Paul and Carole Stark Neurosciences Research Institute, Indianapolis, IN 46202, USA.; Department of Radiology and Imaging Sciences, Indiana University School of Medicine, Indianapolis, IN 46202, USA.; Department of Radiology and Imaging Sciences, Indiana University School of Medicine, Indianapolis, IN 46202, USA.; Department of Radiology and Imaging Sciences, Indiana University School of Medicine, Indianapolis, IN 46202, USA.; Department of Radiology and Imaging Sciences, Indiana University School of Medicine, Indianapolis, IN 46202, USA.; Department of Microbiology and Immunology, Indiana University School of Medicine, Indianapolis, IN 46202, USA.; Department of Pathology, Indiana University School of Medicine, Indianapolis, IN  46202, USA.; Center for Immunobiology, Indiana University School of Medicine, Indianapolis, IN 46202, USA. Department of Anesthesia, Paul and Carole Stark Neurosciences Research Institute, Indianapolis, IN 46202, USA.; Center for Immunobiology, Indiana University School of Medicine, Indianapolis, IN 46202, USA. Department of Microbiology and Immunology, Indiana University School  of Medicine, Indianapolis, IN 46202, USA. dwilkes@iupui.edu.&lt;/_author_adr&gt;&lt;_collection_scope&gt;SCIE&lt;/_collection_scope&gt;&lt;_created&gt;63229829&lt;/_created&gt;&lt;_date&gt;2014-09-03&lt;/_date&gt;&lt;_date_display&gt;2014 Sep 3&lt;/_date_display&gt;&lt;_db_updated&gt;PubMed&lt;/_db_updated&gt;&lt;_doi&gt;10.1126/scitranslmed.3009443&lt;/_doi&gt;&lt;_impact_factor&gt;  17.161&lt;/_impact_factor&gt;&lt;_isbn&gt;1946-6242 (Electronic); 1946-6234 (Linking)&lt;/_isbn&gt;&lt;_issue&gt;252&lt;/_issue&gt;&lt;_journal&gt;Sci Transl Med&lt;/_journal&gt;&lt;_keywords&gt;Acute Lung Injury/etiology/physiopathology; Adult; Animals; Antibodies, Neutralizing/pharmacology; Brain Injuries/complications/*metabolism/*physiopathology; Cardiac Output/drug effects; Epithelial Cells/drug effects/metabolism; Female; HMGB1 Protein/*metabolism; Humans; Interleukin-10/metabolism; Lung/drug effects/pathology/*physiopathology; *Lung Transplantation; Male; Mice, Inbred C57BL; NF-kappa B/metabolism; Peptides/metabolism; Receptor for Advanced Glycation End Products; Receptors, Immunologic/deficiency/*metabolism; Tissue Donors; Toll-Like Receptor 4/deficiency/metabolism&lt;/_keywords&gt;&lt;_language&gt;eng&lt;/_language&gt;&lt;_modified&gt;63229829&lt;/_modified&gt;&lt;_ori_publication&gt;Copyright (c) 2014, American Association for the Advancement of Science.&lt;/_ori_publication&gt;&lt;_pages&gt;252ra124&lt;/_pages&gt;&lt;_tertiary_title&gt;Science translational medicine&lt;/_tertiary_title&gt;&lt;_type_work&gt;Journal Article; Research Support, N.I.H., Extramural; Retracted Publication&lt;/_type_work&gt;&lt;_url&gt;http://www.ncbi.nlm.nih.gov/entrez/query.fcgi?cmd=Retrieve&amp;amp;db=pubmed&amp;amp;dopt=Abstract&amp;amp;list_uids=25186179&amp;amp;query_hl=1&lt;/_url&gt;&lt;_volume&gt;6&lt;/_volume&gt;&lt;/Details&gt;&lt;Extra&gt;&lt;DBUID&gt;{F96A950B-833F-4880-A151-76DA2D6A2879}&lt;/DBUID&gt;&lt;/Extra&gt;&lt;/Item&gt;&lt;/References&gt;&lt;/Group&gt;&lt;/Citation&gt;_x000a_"/>
    <w:docVar w:name="NE.Ref{04FC1E80-35EE-4CBF-BFFD-04AEBED8965C}" w:val=" ADDIN NE.Ref.{04FC1E80-35EE-4CBF-BFFD-04AEBED8965C}&lt;Citation&gt;&lt;Group&gt;&lt;References&gt;&lt;Item&gt;&lt;ID&gt;694&lt;/ID&gt;&lt;UID&gt;{B7E30644-A4F4-47AF-99E5-D2B8F803F7C8}&lt;/UID&gt;&lt;Title&gt;T cells become licensed in the lung to enter the central nervous system&lt;/Title&gt;&lt;Template&gt;Journal Article&lt;/Template&gt;&lt;Star&gt;0&lt;/Star&gt;&lt;Tag&gt;0&lt;/Tag&gt;&lt;Author&gt;Odoardi, F; Sie, C; Streyl, K; Ulaganathan, V K; Schlager, C; Lodygin, D; Heckelsmiller, K; Nietfeld, W; Ellwart, J; Klinkert, W E; Lottaz, C; Nosov, M; Brinkmann, V; Spang, R; Lehrach, H; Vingron, M; Wekerle, H; Flugel-Koch, C; Flugel, A&lt;/Author&gt;&lt;Year&gt;2012&lt;/Year&gt;&lt;Details&gt;&lt;_accession_num&gt;22914092&lt;/_accession_num&gt;&lt;_author_adr&gt;Institute for Multiple Sclerosis Research, Department of Neuroimmunology, Gemeinnutzige Hertie-Stiftung and University Medical Centre Gottingen, 37073 Gottingen, Germany.&lt;/_author_adr&gt;&lt;_collection_scope&gt;SCI;SCIE&lt;/_collection_scope&gt;&lt;_created&gt;63229834&lt;/_created&gt;&lt;_date&gt;2012-08-30&lt;/_date&gt;&lt;_date_display&gt;2012 Aug 30&lt;/_date_display&gt;&lt;_db_updated&gt;PubMed&lt;/_db_updated&gt;&lt;_doi&gt;10.1038/nature11337&lt;/_doi&gt;&lt;_impact_factor&gt;  43.070&lt;/_impact_factor&gt;&lt;_isbn&gt;1476-4687 (Electronic); 0028-0836 (Linking)&lt;/_isbn&gt;&lt;_issue&gt;7413&lt;/_issue&gt;&lt;_journal&gt;Nature&lt;/_journal&gt;&lt;_keywords&gt;Adoptive Transfer; Animals; Autoimmunity/immunology; Blood-Brain Barrier/immunology; Brain/cytology/immunology/*pathology; Cell Adhesion Molecules, Neuronal/metabolism; *Cell Movement; Cerebrovascular Circulation; Disease Models, Animal; Encephalomyelitis, Autoimmune, Experimental/*immunology/*pathology; Gene Expression Profiling; Immunologic Memory; Lung/cytology/immunology/*pathology; Lymphocyte Activation; Myelin Sheath/immunology; Nerve Growth Factors/metabolism; Rats; Rats, Inbred Lew; T-Lymphocytes/cytology/immunology/metabolism/*pathology&lt;/_keywords&gt;&lt;_language&gt;eng&lt;/_language&gt;&lt;_modified&gt;63229834&lt;/_modified&gt;&lt;_pages&gt;675-9&lt;/_pages&gt;&lt;_tertiary_title&gt;Nature&lt;/_tertiary_title&gt;&lt;_type_work&gt;Journal Article; Research Support, Non-U.S. Gov&amp;apos;t&lt;/_type_work&gt;&lt;_url&gt;http://www.ncbi.nlm.nih.gov/entrez/query.fcgi?cmd=Retrieve&amp;amp;db=pubmed&amp;amp;dopt=Abstract&amp;amp;list_uids=22914092&amp;amp;query_hl=1&lt;/_url&gt;&lt;_volume&gt;488&lt;/_volume&gt;&lt;/Details&gt;&lt;Extra&gt;&lt;DBUID&gt;{F96A950B-833F-4880-A151-76DA2D6A2879}&lt;/DBUID&gt;&lt;/Extra&gt;&lt;/Item&gt;&lt;/References&gt;&lt;/Group&gt;&lt;/Citation&gt;_x000a_"/>
    <w:docVar w:name="NE.Ref{07C312EB-4915-48AF-B182-69E17CE63F50}" w:val=" ADDIN NE.Ref.{07C312EB-4915-48AF-B182-69E17CE63F50}&lt;Citation&gt;&lt;Group&gt;&lt;References&gt;&lt;Item&gt;&lt;ID&gt;775&lt;/ID&gt;&lt;UID&gt;{EB543C73-00FC-4385-A809-47C5C7E10C48}&lt;/UID&gt;&lt;Title&gt;Negative Regulation of Cytokine Signaling in Immunity&lt;/Title&gt;&lt;Template&gt;Journal Article&lt;/Template&gt;&lt;Star&gt;0&lt;/Star&gt;&lt;Tag&gt;0&lt;/Tag&gt;&lt;Author&gt;Yoshimura, A; Ito, M; Chikuma, S; Akanuma, T; Nakatsukasa, H&lt;/Author&gt;&lt;Year&gt;2018&lt;/Year&gt;&lt;Details&gt;&lt;_accession_num&gt;28716890&lt;/_accession_num&gt;&lt;_author_adr&gt;Department of Microbiology and Immunology, Keio University School of Medicine, Shinjuku-ku, Tokyo 160-8582, Japan.; Department of Microbiology and Immunology, Keio University School of Medicine, Shinjuku-ku, Tokyo 160-8582, Japan.; Department of Microbiology and Immunology, Keio University School of Medicine, Shinjuku-ku, Tokyo 160-8582, Japan.; Department of Microbiology and Immunology, Keio University School of Medicine, Shinjuku-ku, Tokyo 160-8582, Japan.; Department of Microbiology and Immunology, Keio University School of Medicine, Shinjuku-ku, Tokyo 160-8582, Japan.&lt;/_author_adr&gt;&lt;_date_display&gt;2018 Jul 2&lt;/_date_display&gt;&lt;_date&gt;2018-07-02&lt;/_date&gt;&lt;_doi&gt;10.1101/cshperspect.a028571&lt;/_doi&gt;&lt;_isbn&gt;1943-0264 (Electronic); 1943-0264 (Linking)&lt;/_isbn&gt;&lt;_issue&gt;7&lt;/_issue&gt;&lt;_journal&gt;Cold Spring Harb Perspect Biol&lt;/_journal&gt;&lt;_language&gt;eng&lt;/_language&gt;&lt;_ori_publication&gt;Copyright (c) 2018 Cold Spring Harbor Laboratory Press; all rights reserved.&lt;/_ori_publication&gt;&lt;_subject_headings&gt;Animals; Cytokines/genetics/*metabolism; Gene Expression Regulation/*immunology; Humans; Signal Transduction/*immunology&lt;/_subject_headings&gt;&lt;_tertiary_title&gt;Cold Spring Harbor perspectives in biology&lt;/_tertiary_title&gt;&lt;_type_work&gt;Journal Article; Research Support, Non-U.S. Gov&amp;apos;t; Review&lt;/_type_work&gt;&lt;_url&gt;http://www.ncbi.nlm.nih.gov/entrez/query.fcgi?cmd=Retrieve&amp;amp;db=pubmed&amp;amp;dopt=Abstract&amp;amp;list_uids=28716890&amp;amp;query_hl=1&lt;/_url&gt;&lt;_volume&gt;10&lt;/_volume&gt;&lt;_created&gt;63429054&lt;/_created&gt;&lt;_modified&gt;63429054&lt;/_modified&gt;&lt;_db_updated&gt;PubMed&lt;/_db_updated&gt;&lt;_impact_factor&gt;   9.110&lt;/_impact_factor&gt;&lt;/Details&gt;&lt;Extra&gt;&lt;DBUID&gt;{F96A950B-833F-4880-A151-76DA2D6A2879}&lt;/DBUID&gt;&lt;/Extra&gt;&lt;/Item&gt;&lt;/References&gt;&lt;/Group&gt;&lt;/Citation&gt;_x000a_"/>
    <w:docVar w:name="NE.Ref{0A20FBBD-EF45-4732-B96D-2295FFAFDEB9}" w:val=" ADDIN NE.Ref.{0A20FBBD-EF45-4732-B96D-2295FFAFDEB9}&lt;Citation&gt;&lt;Group&gt;&lt;References&gt;&lt;Item&gt;&lt;ID&gt;685&lt;/ID&gt;&lt;UID&gt;{F5BC5421-903D-48DB-A69A-BEB1051DA53F}&lt;/UID&gt;&lt;Title&gt;Antibody-independent functions of B cells: a focus on cytokines&lt;/Title&gt;&lt;Template&gt;Journal Article&lt;/Template&gt;&lt;Star&gt;0&lt;/Star&gt;&lt;Tag&gt;0&lt;/Tag&gt;&lt;Author&gt;Shen, P; Fillatreau, S&lt;/Author&gt;&lt;Year&gt;2015&lt;/Year&gt;&lt;Details&gt;&lt;_accession_num&gt;26065586&lt;/_accession_num&gt;&lt;_author_adr&gt;Deutsches Rheuma-Forschungszentrum, a Leibniz Institute, Chariteplatz 1, 10117 Berlin, Germany.; Deutsches Rheuma-Forschungszentrum, a Leibniz Institute, Chariteplatz 1, 10117 Berlin, Germany.&lt;/_author_adr&gt;&lt;_collection_scope&gt;SCI;SCIE&lt;/_collection_scope&gt;&lt;_created&gt;63229806&lt;/_created&gt;&lt;_date&gt;2015-07-01&lt;/_date&gt;&lt;_date_display&gt;2015 Jul&lt;/_date_display&gt;&lt;_db_updated&gt;PubMed&lt;/_db_updated&gt;&lt;_doi&gt;10.1038/nri3857&lt;/_doi&gt;&lt;_impact_factor&gt;  40.358&lt;/_impact_factor&gt;&lt;_isbn&gt;1474-1741 (Electronic); 1474-1733 (Linking)&lt;/_isbn&gt;&lt;_issue&gt;7&lt;/_issue&gt;&lt;_journal&gt;Nat Rev Immunol&lt;/_journal&gt;&lt;_keywords&gt;Animals; B-Lymphocytes/*immunology; Cytokines/*immunology; Humans; Immune System/immunology; Immunity/immunology&lt;/_keywords&gt;&lt;_language&gt;eng&lt;/_language&gt;&lt;_modified&gt;63430437&lt;/_modified&gt;&lt;_pages&gt;441-51&lt;/_pages&gt;&lt;_tertiary_title&gt;Nature reviews. Immunology&lt;/_tertiary_title&gt;&lt;_type_work&gt;Journal Article; Research Support, Non-U.S. Gov&amp;apos;t; Review&lt;/_type_work&gt;&lt;_url&gt;http://www.ncbi.nlm.nih.gov/entrez/query.fcgi?cmd=Retrieve&amp;amp;db=pubmed&amp;amp;dopt=Abstract&amp;amp;list_uids=26065586&amp;amp;query_hl=1&lt;/_url&gt;&lt;_volume&gt;15&lt;/_volume&gt;&lt;/Details&gt;&lt;Extra&gt;&lt;DBUID&gt;{F96A950B-833F-4880-A151-76DA2D6A2879}&lt;/DBUID&gt;&lt;/Extra&gt;&lt;/Item&gt;&lt;/References&gt;&lt;/Group&gt;&lt;/Citation&gt;_x000a_"/>
    <w:docVar w:name="NE.Ref{0B919A6A-AA0B-4276-A0F0-2306CAF535C7}" w:val=" ADDIN NE.Ref.{0B919A6A-AA0B-4276-A0F0-2306CAF535C7}&lt;Citation&gt;&lt;Group&gt;&lt;References&gt;&lt;Item&gt;&lt;ID&gt;471&lt;/ID&gt;&lt;UID&gt;{6A20A624-EA68-4AFF-94FF-E8E8B85BA305}&lt;/UID&gt;&lt;Title&gt;Meningeal lymphatic vessels at the skull base drain cerebrospinal fluid&lt;/Title&gt;&lt;Template&gt;Journal Article&lt;/Template&gt;&lt;Star&gt;0&lt;/Star&gt;&lt;Tag&gt;0&lt;/Tag&gt;&lt;Author&gt;Ahn, J H; Cho, H; Kim, J H; Kim, S H; Ham, J S; Park, I; Suh, S H; Hong, S P; Song, J H; Hong, Y K; Jeong, Y; Park, S H; Koh, G Y&lt;/Author&gt;&lt;Year&gt;2019&lt;/Year&gt;&lt;Details&gt;&lt;_accession_num&gt;31341278&lt;/_accession_num&gt;&lt;_author_adr&gt;Graduate School of Medical Science and Engineering, Korea Advanced Institute of Science and Technology (KAIST), Daejeon, South Korea.; Center for Vascular Research, Institute for Basic Science, Daejeon, South Korea.; Department of Bio and Brain Engineering, KAIST, Daejeon, South Korea.; Program of Brain and Cognitive Engineering, KAIST, Daejeon, South Korea.; Department of Bio and Brain Engineering, KAIST, Daejeon, South Korea.; Center for Vascular Research, Institute for Basic Science, Daejeon, South Korea.; Graduate School of Medical Science and Engineering, Korea Advanced Institute of Science and Technology (KAIST), Daejeon, South Korea.; Center for Vascular Research, Institute for Basic Science, Daejeon, South Korea.; Center for Vascular Research, Institute for Basic Science, Daejeon, South Korea.; Department of Surgery, Department of Biochemistry and Molecular Biology, Keck School of Medicine, University of Southern California, Los Angeles, CA, USA.; Graduate School of Medical Science and Engineering, Korea Advanced Institute of Science and Technology (KAIST), Daejeon, South Korea.; Department of Bio and Brain Engineering, KAIST, Daejeon, South Korea.; Program of Brain and Cognitive Engineering, KAIST, Daejeon, South Korea.; Department of Bio and Brain Engineering, KAIST, Daejeon, South Korea. sunghongpark@kaist.ac.kr.; Program of Brain and Cognitive Engineering, KAIST, Daejeon, South Korea. sunghongpark@kaist.ac.kr.; Graduate School of Medical Science and Engineering, Korea Advanced Institute of Science and Technology (KAIST), Daejeon, South Korea. gykoh@kaist.ac.kr.; Center for Vascular Research, Institute for Basic Science, Daejeon, South Korea.  gykoh@kaist.ac.kr.&lt;/_author_adr&gt;&lt;_collection_scope&gt;SCI;SCIE&lt;/_collection_scope&gt;&lt;_created&gt;63169487&lt;/_created&gt;&lt;_date&gt;2019-08-01&lt;/_date&gt;&lt;_date_display&gt;2019 Aug&lt;/_date_display&gt;&lt;_db_updated&gt;PubMed&lt;/_db_updated&gt;&lt;_doi&gt;10.1038/s41586-019-1419-5&lt;/_doi&gt;&lt;_impact_factor&gt;  42.778&lt;/_impact_factor&gt;&lt;_isbn&gt;1476-4687 (Electronic); 0028-0836 (Linking)&lt;/_isbn&gt;&lt;_issue&gt;7767&lt;/_issue&gt;&lt;_journal&gt;Nature&lt;/_journal&gt;&lt;_keywords&gt;Aging/pathology/physiology; Animals; Cerebrospinal Fluid/*metabolism; Endothelial Cells/cytology/pathology; Female; Forkhead Transcription Factors/metabolism; Glymphatic System/*anatomy &amp;amp;amp; histology/cytology/pathology/*physiology; Homeodomain Proteins/metabolism; Lymphatic Vessels/*anatomy &amp;amp;amp; histology/cytology/pathology/*physiology; Lymphedema/metabolism/pathology; Magnetic Resonance Imaging; Male; Mice; Skull Base/*anatomy &amp;amp;amp; histology; Subarachnoid Space/anatomy &amp;amp;amp; histology; Time Factors; Tumor Suppressor Proteins/metabolism; Vascular Endothelial Growth Factor A/metabolism; Vascular Endothelial Growth Factor Receptor-3/metabolism&lt;/_keywords&gt;&lt;_language&gt;eng&lt;/_language&gt;&lt;_modified&gt;63503820&lt;/_modified&gt;&lt;_pages&gt;62-66&lt;/_pages&gt;&lt;_tertiary_title&gt;Nature&lt;/_tertiary_title&gt;&lt;_type_work&gt;Journal Article; Research Support, Non-U.S. Gov&amp;apos;t&lt;/_type_work&gt;&lt;_url&gt;http://www.ncbi.nlm.nih.gov/entrez/query.fcgi?cmd=Retrieve&amp;amp;db=pubmed&amp;amp;dopt=Abstract&amp;amp;list_uids=31341278&amp;amp;query_hl=1&lt;/_url&gt;&lt;_volume&gt;572&lt;/_volume&gt;&lt;/Details&gt;&lt;Extra&gt;&lt;DBUID&gt;{F96A950B-833F-4880-A151-76DA2D6A2879}&lt;/DBUID&gt;&lt;/Extra&gt;&lt;/Item&gt;&lt;/References&gt;&lt;/Group&gt;&lt;/Citation&gt;_x000a_"/>
    <w:docVar w:name="NE.Ref{0E0D709D-CAE4-4F6D-BCDF-D9042D4211F3}" w:val=" ADDIN NE.Ref.{0E0D709D-CAE4-4F6D-BCDF-D9042D4211F3}&lt;Citation&gt;&lt;Group&gt;&lt;References&gt;&lt;Item&gt;&lt;ID&gt;478&lt;/ID&gt;&lt;UID&gt;{6AA8F355-C8B2-463A-8C45-6C6FFFCBE3CC}&lt;/UID&gt;&lt;Title&gt;Structural and functional features of central nervous system lymphatic vessels&lt;/Title&gt;&lt;Template&gt;Journal Article&lt;/Template&gt;&lt;Star&gt;0&lt;/Star&gt;&lt;Tag&gt;0&lt;/Tag&gt;&lt;Author&gt;Louveau, A; Smirnov, I; Keyes, T J; Eccles, J D; Rouhani, S J; Peske, J D; Derecki, N C; Castle, D; Mandell, J W; Lee, K S; Harris, T H; Kipnis, J&lt;/Author&gt;&lt;Year&gt;2015&lt;/Year&gt;&lt;Details&gt;&lt;_accession_num&gt;26030524&lt;/_accession_num&gt;&lt;_author_adr&gt;1] Center for Brain Immunology and Glia, School of Medicine, University of Virginia, Charlottesville, Virginia 22908, USA [2] Department of Neuroscience, School of Medicine, University of Virginia, Charlottesville, Virginia 22908, USA.; 1] Center for Brain Immunology and Glia, School of Medicine, University of Virginia, Charlottesville, Virginia 22908, USA [2] Department of Neuroscience, School of Medicine, University of Virginia, Charlottesville, Virginia 22908, USA.; 1] Center for Brain Immunology and Glia, School of Medicine, University of Virginia, Charlottesville, Virginia 22908, USA [2] Department of Neuroscience, School of Medicine, University of Virginia, Charlottesville, Virginia 22908, USA.; 1] Medical Scientist Training Program, School of Medicine, University of Virginia, Charlottesville, Virginia 22908, USA [2] Beirne B. Carter Center for Immunology Research, School of Medicine, University of Virginia, Charlottesville, Virginia 22908, USA [3] Department of Medicine (Division of Allergy), School of Medicine, University of Virginia, Charlottesville, Virginia 22908, USA.; 1] Medical Scientist Training Program, School of Medicine, University of Virginia, Charlottesville, Virginia 22908, USA [2] Beirne B. Carter Center for Immunology Research, School of Medicine, University of Virginia, Charlottesville, Virginia 22908, USA [3] Department of Microbiology, Immunology, and Cancer Biology, School of Medicine, University of Virginia, Charlottesville, Virginia 22908, USA.; 1] Medical Scientist Training Program, School of Medicine, University of Virginia, Charlottesville, Virginia 22908, USA [2] Beirne B. Carter Center for Immunology Research, School of Medicine, University of Virginia, Charlottesville, Virginia 22908, USA [3] Department of Microbiology, Immunology, and Cancer Biology, School of Medicine, University of Virginia, Charlottesville, Virginia 22908, USA.; 1] Center for Brain Immunology and Glia, School of Medicine, University of Virginia, Charlottesville, Virginia 22908, USA [2] Department of Neuroscience, School of Medicine, University of Virginia, Charlottesville, Virginia 22908, USA.; Department of Cell Biology, School of Medicine, University of Virginia, Charlottesville, Virginia 22908, USA.; Department of Pathology (Neuropathology), School of Medicine, University of Virginia, Charlottesville, Virginia 22908, USA.; 1] Center for Brain Immunology and Glia, School of Medicine, University of Virginia, Charlottesville, Virginia 22908, USA [2] Department of Neuroscience, School of Medicine, University of Virginia, Charlottesville, Virginia 22908, USA  [3] Department of Neurosurgery, School of Medicine, University of Virginia, Charlottesville, Virginia 22908, USA.; 1] Center for Brain Immunology and Glia, School of Medicine, University of Virginia, Charlottesville, Virginia 22908, USA [2] Department of Neuroscience, School of Medicine, University of Virginia, Charlottesville, Virginia 22908, USA.; 1] Center for Brain Immunology and Glia, School of Medicine, University of Virginia, Charlottesville, Virginia 22908, USA [2] Department of Neuroscience, School of Medicine, University of Virginia, Charlottesville, Virginia 22908, USA  [3] Medical Scientist Training Program, School of Medicine, University of Virginia, Charlottesville, Virginia 22908, USA.&lt;/_author_adr&gt;&lt;_collection_scope&gt;SCI;SCIE&lt;/_collection_scope&gt;&lt;_created&gt;63169643&lt;/_created&gt;&lt;_date&gt;2015-07-16&lt;/_date&gt;&lt;_date_display&gt;2015 Jul 16&lt;/_date_display&gt;&lt;_db_updated&gt;PubMed&lt;/_db_updated&gt;&lt;_doi&gt;10.1038/nature14432&lt;/_doi&gt;&lt;_impact_factor&gt;  43.070&lt;/_impact_factor&gt;&lt;_isbn&gt;1476-4687 (Electronic); 0028-0836 (Linking)&lt;/_isbn&gt;&lt;_issue&gt;7560&lt;/_issue&gt;&lt;_journal&gt;Nature&lt;/_journal&gt;&lt;_keywords&gt;Animals; Central Nervous System/*anatomy &amp;amp;amp; histology/cytology/*immunology; Cranial Sinuses/anatomy &amp;amp;amp; histology; Female; Humans; Immune Tolerance/immunology; Immunologic Surveillance/immunology; Lymphatic Vessels/*anatomy &amp;amp;amp; histology/cytology/*immunology; Male; Meninges/anatomy &amp;amp;amp; histology/cytology/immunology; Mice, Inbred C57BL; T-Lymphocytes/cytology/immunology&lt;/_keywords&gt;&lt;_language&gt;eng&lt;/_language&gt;&lt;_modified&gt;63169643&lt;/_modified&gt;&lt;_pages&gt;337-41&lt;/_pages&gt;&lt;_tertiary_title&gt;Nature&lt;/_tertiary_title&gt;&lt;_type_work&gt;Journal Article; Research Support, N.I.H., Extramural; Research Support, Non-U.S. Gov&amp;apos;t&lt;/_type_work&gt;&lt;_url&gt;http://www.ncbi.nlm.nih.gov/entrez/query.fcgi?cmd=Retrieve&amp;amp;db=pubmed&amp;amp;dopt=Abstract&amp;amp;list_uids=26030524&amp;amp;query_hl=1&lt;/_url&gt;&lt;_volume&gt;523&lt;/_volume&gt;&lt;/Details&gt;&lt;Extra&gt;&lt;DBUID&gt;{F96A950B-833F-4880-A151-76DA2D6A2879}&lt;/DBUID&gt;&lt;/Extra&gt;&lt;/Item&gt;&lt;/References&gt;&lt;/Group&gt;&lt;Group&gt;&lt;References&gt;&lt;Item&gt;&lt;ID&gt;464&lt;/ID&gt;&lt;UID&gt;{51C711F7-1311-4FAD-B710-DE205DFB8844}&lt;/UID&gt;&lt;Title&gt;A dural lymphatic vascular system that drains brain interstitial fluid and macromolecules&lt;/Title&gt;&lt;Template&gt;Journal Article&lt;/Template&gt;&lt;Star&gt;0&lt;/Star&gt;&lt;Tag&gt;0&lt;/Tag&gt;&lt;Author&gt;Aspelund, A; Antila, S; Proulx, S T; Karlsen, T V; Karaman, S; Detmar, M; Wiig, H; Alitalo, K&lt;/Author&gt;&lt;Year&gt;2015&lt;/Year&gt;&lt;Details&gt;&lt;_accession_num&gt;26077718&lt;/_accession_num&gt;&lt;_author_adr&gt;Wihuri Research Institute and Translational Cancer Biology Program, Biomedicum Helsinki, University of Helsinki, 00014 Helsinki, Finland Wihuri Research Institute and Translational Cancer Biology Program, Biomedicum Helsinki, University of Helsinki, 00014 Helsinki, Finland.; Wihuri Research Institute and Translational Cancer Biology Program, Biomedicum Helsinki, University of Helsinki, 00014 Helsinki, Finland Wihuri Research Institute and Translational Cancer Biology Program, Biomedicum Helsinki, University of Helsinki, 00014 Helsinki, Finland.; Institute of Pharmaceutical Sciences, Swiss Federal Institute of Technology (ETH  Zurich), CH-8093 Zurich, Switzerland.; Department of Biomedicine, University of Bergen, 5009 Bergen, Norway.; Institute of Pharmaceutical Sciences, Swiss Federal Institute of Technology (ETH  Zurich), CH-8093 Zurich, Switzerland.; Institute of Pharmaceutical Sciences, Swiss Federal Institute of Technology (ETH  Zurich), CH-8093 Zurich, Switzerland.; Department of Biomedicine, University of Bergen, 5009 Bergen, Norway.; Wihuri Research Institute and Translational Cancer Biology Program, Biomedicum Helsinki, University of Helsinki, 00014 Helsinki, Finland Wihuri Research Institute and Translational Cancer Biology Program, Biomedicum Helsinki, University of Helsinki, 00014 Helsinki, Finland kari.alitalo@helsinki.fi.&lt;/_author_adr&gt;&lt;_collection_scope&gt;SCI;SCIE&lt;/_collection_scope&gt;&lt;_created&gt;63169481&lt;/_created&gt;&lt;_date&gt;2015-06-29&lt;/_date&gt;&lt;_date_display&gt;2015 Jun 29&lt;/_date_display&gt;&lt;_db_updated&gt;PubMed&lt;/_db_updated&gt;&lt;_doi&gt;10.1084/jem.20142290&lt;/_doi&gt;&lt;_impact_factor&gt;  10.892&lt;/_impact_factor&gt;&lt;_isbn&gt;1540-9538 (Electronic); 0022-1007 (Linking)&lt;/_isbn&gt;&lt;_issue&gt;7&lt;/_issue&gt;&lt;_journal&gt;J Exp Med&lt;/_journal&gt;&lt;_keywords&gt;Analysis of Variance; Animals; Brain/anatomy &amp;amp;amp; histology/*metabolism; Cerebrospinal Fluid/*metabolism; Extracellular Fluid/*metabolism; Fluorescent Antibody Technique; Galactosides; Green Fluorescent Proteins; Image Processing, Computer-Assisted; Indoles; Lymph Nodes/*metabolism; Lymphatic System/anatomy &amp;amp;amp; histology/*metabolism; Macromolecular Substances/*metabolism; Mice; Mice, Transgenic; Microscopy, Confocal&lt;/_keywords&gt;&lt;_language&gt;eng&lt;/_language&gt;&lt;_modified&gt;63169481&lt;/_modified&gt;&lt;_ori_publication&gt;(c) 2015 Aspelund et al.&lt;/_ori_publication&gt;&lt;_pages&gt;991-9&lt;/_pages&gt;&lt;_tertiary_title&gt;The Journal of experimental medicine&lt;/_tertiary_title&gt;&lt;_type_work&gt;Journal Article; Research Support, Non-U.S. Gov&amp;apos;t&lt;/_type_work&gt;&lt;_url&gt;http://www.ncbi.nlm.nih.gov/entrez/query.fcgi?cmd=Retrieve&amp;amp;db=pubmed&amp;amp;dopt=Abstract&amp;amp;list_uids=26077718&amp;amp;query_hl=1&lt;/_url&gt;&lt;_volume&gt;212&lt;/_volume&gt;&lt;/Details&gt;&lt;Extra&gt;&lt;DBUID&gt;{F96A950B-833F-4880-A151-76DA2D6A2879}&lt;/DBUID&gt;&lt;/Extra&gt;&lt;/Item&gt;&lt;/References&gt;&lt;/Group&gt;&lt;Group&gt;&lt;References&gt;&lt;Item&gt;&lt;ID&gt;463&lt;/ID&gt;&lt;UID&gt;{CCA1B239-DA96-48A4-8D10-0E94FCC6A967}&lt;/UID&gt;&lt;Title&gt;A paravascular pathway facilitates CSF flow through the brain parenchyma and the  clearance of interstitial solutes, including amyloid beta&lt;/Title&gt;&lt;Template&gt;Journal Article&lt;/Template&gt;&lt;Star&gt;0&lt;/Star&gt;&lt;Tag&gt;0&lt;/Tag&gt;&lt;Author&gt;Iliff, J J; Wang, M; Liao, Y; Plogg, B A; Peng, W; Gundersen, G A; Benveniste, H; Vates, G E; Deane, R; Goldman, S A; Nagelhus, E A; Nedergaard, M&lt;/Author&gt;&lt;Year&gt;2012&lt;/Year&gt;&lt;Details&gt;&lt;_accessed&gt;63229840&lt;/_accessed&gt;&lt;_accession_num&gt;22896675&lt;/_accession_num&gt;&lt;_author_adr&gt;Center for Translational Neuromedicine, Department of Neurosurgery, University of Rochester Medical Center, Rochester, NY 14642, USA. jeffrey_iliff@urmc.rochester.edu&lt;/_author_adr&gt;&lt;_collection_scope&gt;SCIE&lt;/_collection_scope&gt;&lt;_created&gt;63169479&lt;/_created&gt;&lt;_date&gt;2012-08-15&lt;/_date&gt;&lt;_date_display&gt;2012 Aug 15&lt;/_date_display&gt;&lt;_db_updated&gt;PubMed&lt;/_db_updated&gt;&lt;_doi&gt;10.1126/scitranslmed.3003748&lt;/_doi&gt;&lt;_impact_factor&gt;  17.161&lt;/_impact_factor&gt;&lt;_isbn&gt;1946-6242 (Electronic); 1946-6234 (Linking)&lt;/_isbn&gt;&lt;_issue&gt;147&lt;/_issue&gt;&lt;_journal&gt;Sci Transl Med&lt;/_journal&gt;&lt;_keywords&gt;Amyloid beta-Peptides/*metabolism; Animals; Aquaporin 4/metabolism; Astrocytes/metabolism; Biological Transport; Brain/*metabolism; Cerebral Ventricles/metabolism; Cerebrospinal Fluid/*metabolism; Extracellular Fluid/*metabolism; Imaging, Three-Dimensional; Male; Mice; Mice, Inbred C57BL; Microscopy, Fluorescence, Multiphoton; Water/metabolism&lt;/_keywords&gt;&lt;_language&gt;eng&lt;/_language&gt;&lt;_modified&gt;63229840&lt;/_modified&gt;&lt;_pages&gt;147ra111&lt;/_pages&gt;&lt;_tertiary_title&gt;Science translational medicine&lt;/_tertiary_title&gt;&lt;_type_work&gt;Journal Article; Research Support, N.I.H., Extramural; Research Support, Non-U.S. Gov&amp;apos;t; Research Support, U.S. Gov&amp;apos;t, Non-P.H.S.&lt;/_type_work&gt;&lt;_url&gt;http://www.ncbi.nlm.nih.gov/entrez/query.fcgi?cmd=Retrieve&amp;amp;db=pubmed&amp;amp;dopt=Abstract&amp;amp;list_uids=22896675&amp;amp;query_hl=1&lt;/_url&gt;&lt;_volume&gt;4&lt;/_volume&gt;&lt;/Details&gt;&lt;Extra&gt;&lt;DBUID&gt;{F96A950B-833F-4880-A151-76DA2D6A2879}&lt;/DBUID&gt;&lt;/Extra&gt;&lt;/Item&gt;&lt;/References&gt;&lt;/Group&gt;&lt;/Citation&gt;_x000a_"/>
    <w:docVar w:name="NE.Ref{0EF724DB-49EA-4276-9F8E-9F74A5F6A0F0}" w:val=" ADDIN NE.Ref.{0EF724DB-49EA-4276-9F8E-9F74A5F6A0F0}&lt;Citation&gt;&lt;Group&gt;&lt;References&gt;&lt;Item&gt;&lt;ID&gt;683&lt;/ID&gt;&lt;UID&gt;{D085AF21-BF4D-4F4C-A933-D3CA9EE7199B}&lt;/UID&gt;&lt;Title&gt;A systemic view of Alzheimer disease - insights from amyloid-beta metabolism beyond the brain&lt;/Title&gt;&lt;Template&gt;Journal Article&lt;/Template&gt;&lt;Star&gt;0&lt;/Star&gt;&lt;Tag&gt;0&lt;/Tag&gt;&lt;Author&gt;Wang, J; Gu, B J; Masters, C L; Wang, Y J&lt;/Author&gt;&lt;Year&gt;2017&lt;/Year&gt;&lt;Details&gt;&lt;_accession_num&gt;29027541&lt;/_accession_num&gt;&lt;_collection_scope&gt;SCI;SCIE&lt;/_collection_scope&gt;&lt;_created&gt;63229788&lt;/_created&gt;&lt;_date&gt;2017-11-01&lt;/_date&gt;&lt;_date_display&gt;2017 Nov&lt;/_date_display&gt;&lt;_db_updated&gt;PubMed&lt;/_db_updated&gt;&lt;_doi&gt;10.1038/nrneurol.2017.147&lt;/_doi&gt;&lt;_impact_factor&gt;  27.000&lt;/_impact_factor&gt;&lt;_isbn&gt;1759-4766 (Electronic); 1759-4758 (Linking)&lt;/_isbn&gt;&lt;_issue&gt;11&lt;/_issue&gt;&lt;_journal&gt;Nat Rev Neurol&lt;/_journal&gt;&lt;_language&gt;eng&lt;/_language&gt;&lt;_modified&gt;63229788&lt;/_modified&gt;&lt;_pages&gt;703&lt;/_pages&gt;&lt;_tertiary_title&gt;Nature reviews. Neurology&lt;/_tertiary_title&gt;&lt;_type_work&gt;Journal Article; Published Erratum&lt;/_type_work&gt;&lt;_url&gt;http://www.ncbi.nlm.nih.gov/entrez/query.fcgi?cmd=Retrieve&amp;amp;db=pubmed&amp;amp;dopt=Abstract&amp;amp;list_uids=29027541&amp;amp;query_hl=1&lt;/_url&gt;&lt;_volume&gt;13&lt;/_volume&gt;&lt;/Details&gt;&lt;Extra&gt;&lt;DBUID&gt;{F96A950B-833F-4880-A151-76DA2D6A2879}&lt;/DBUID&gt;&lt;/Extra&gt;&lt;/Item&gt;&lt;/References&gt;&lt;/Group&gt;&lt;Group&gt;&lt;References&gt;&lt;Item&gt;&lt;ID&gt;428&lt;/ID&gt;&lt;UID&gt;{B7229D08-D052-4B7B-8458-CA13A983CA0B}&lt;/UID&gt;&lt;Title&gt;Alterations in the Peripheral Immune System in Dementia&lt;/Title&gt;&lt;Template&gt;Journal Article&lt;/Template&gt;&lt;Star&gt;0&lt;/Star&gt;&lt;Tag&gt;0&lt;/Tag&gt;&lt;Author&gt;Busse, M; Michler, E; von Hoff, F; Dobrowolny, H; Hartig, R; Frodl, T; Busse, S&lt;/Author&gt;&lt;Year&gt;2017&lt;/Year&gt;&lt;Details&gt;&lt;_accession_num&gt;28582858&lt;/_accession_num&gt;&lt;_author_adr&gt;Department of Psychiatry, University of Magdeburg, Magdeburg, Germany.; Department of Psychiatry, University of Magdeburg, Magdeburg, Germany.; Department of Psychiatry, University of Magdeburg, Magdeburg, Germany.; Department of Psychiatry, University of Magdeburg, Magdeburg, Germany.; Institute of Immunology, University of Magdeburg, Magdeburg, Germany.; Department of Psychiatry, University of Magdeburg, Magdeburg, Germany.; Department of Psychiatry, University of Magdeburg, Magdeburg, Germany.&lt;/_author_adr&gt;&lt;_collection_scope&gt;SCIE&lt;/_collection_scope&gt;&lt;_created&gt;63158186&lt;/_created&gt;&lt;_date&gt;2017-01-20&lt;/_date&gt;&lt;_date_display&gt;2017&lt;/_date_display&gt;&lt;_db_updated&gt;PubMed&lt;/_db_updated&gt;&lt;_doi&gt;10.3233/JAD-161304&lt;/_doi&gt;&lt;_impact_factor&gt;   3.909&lt;/_impact_factor&gt;&lt;_isbn&gt;1875-8908 (Electronic); 1387-2877 (Linking)&lt;/_isbn&gt;&lt;_issue&gt;4&lt;/_issue&gt;&lt;_journal&gt;J Alzheimers Dis&lt;/_journal&gt;&lt;_keywords&gt;Aged; Aged, 80 and over; Alzheimer Disease/blood/cerebrospinal fluid/*immunology; Antigens, CD/metabolism; Cohort Studies; Dementia, Vascular/blood/cerebrospinal fluid/*immunology; Female; Frontotemporal Dementia/blood/cerebrospinal fluid/*immunology; HLA-DR Antigens/blood/cerebrospinal fluid; Humans; Immune System/metabolism/*physiopathology; Leukocytes/*metabolism; Logistic Models; Male; Mental Status and Dementia Tests; Statistics, Nonparametric*Alzheimer&amp;apos;s disease; *B cells; *NK cells; *T cells; *frontotemporal dementia; *monocytes; *vascular dementia&lt;/_keywords&gt;&lt;_language&gt;eng&lt;/_language&gt;&lt;_modified&gt;63158187&lt;/_modified&gt;&lt;_pages&gt;1303-1313&lt;/_pages&gt;&lt;_tertiary_title&gt;Journal of Alzheimer&amp;apos;s disease : JAD&lt;/_tertiary_title&gt;&lt;_type_work&gt;Journal Article&lt;/_type_work&gt;&lt;_url&gt;http://www.ncbi.nlm.nih.gov/entrez/query.fcgi?cmd=Retrieve&amp;amp;db=pubmed&amp;amp;dopt=Abstract&amp;amp;list_uids=28582858&amp;amp;query_hl=1&lt;/_url&gt;&lt;_volume&gt;58&lt;/_volume&gt;&lt;/Details&gt;&lt;Extra&gt;&lt;DBUID&gt;{F96A950B-833F-4880-A151-76DA2D6A2879}&lt;/DBUID&gt;&lt;/Extra&gt;&lt;/Item&gt;&lt;/References&gt;&lt;/Group&gt;&lt;Group&gt;&lt;References&gt;&lt;Item&gt;&lt;ID&gt;391&lt;/ID&gt;&lt;UID&gt;{1CF1213C-1134-4ED4-8B34-5DF31C5E54B2}&lt;/UID&gt;&lt;Title&gt;Systemic immune aberrations in Alzheimer&amp;apos;s disease patients&lt;/Title&gt;&lt;Template&gt;Journal Article&lt;/Template&gt;&lt;Star&gt;0&lt;/Star&gt;&lt;Tag&gt;0&lt;/Tag&gt;&lt;Author&gt;Bonotis, K; Krikki, E; Holeva, V; Aggouridaki, C; Costa, V; Baloyannis, S&lt;/Author&gt;&lt;Year&gt;2008&lt;/Year&gt;&lt;Details&gt;&lt;_accession_num&gt;18037502&lt;/_accession_num&gt;&lt;_author_adr&gt;1st Department of Neurology, Aristotle University of Thessaloniki, Greece. kbonotis@yahoo.gr&lt;/_author_adr&gt;&lt;_collection_scope&gt;SCI;SCIE&lt;/_collection_scope&gt;&lt;_created&gt;63158165&lt;/_created&gt;&lt;_date&gt;2008-01-01&lt;/_date&gt;&lt;_date_display&gt;2008 Jan&lt;/_date_display&gt;&lt;_db_updated&gt;PubMed&lt;/_db_updated&gt;&lt;_doi&gt;10.1016/j.jneuroim.2007.10.020&lt;/_doi&gt;&lt;_impact_factor&gt;   3.125&lt;/_impact_factor&gt;&lt;_isbn&gt;0165-5728 (Print); 0165-5728 (Linking)&lt;/_isbn&gt;&lt;_issue&gt;1-2&lt;/_issue&gt;&lt;_journal&gt;J Neuroimmunol&lt;/_journal&gt;&lt;_keywords&gt;Aged; Aged, 80 and over; Alzheimer Disease/*immunology; Cytokines/blood; Female; Humans; Linear Models; Male; T-Lymphocyte Subsets/immunology&lt;/_keywords&gt;&lt;_language&gt;eng&lt;/_language&gt;&lt;_modified&gt;63158165&lt;/_modified&gt;&lt;_pages&gt;183-7&lt;/_pages&gt;&lt;_tertiary_title&gt;Journal of neuroimmunology&lt;/_tertiary_title&gt;&lt;_type_work&gt;Journal Article&lt;/_type_work&gt;&lt;_url&gt;http://www.ncbi.nlm.nih.gov/entrez/query.fcgi?cmd=Retrieve&amp;amp;db=pubmed&amp;amp;dopt=Abstract&amp;amp;list_uids=18037502&amp;amp;query_hl=1&lt;/_url&gt;&lt;_volume&gt;193&lt;/_volume&gt;&lt;/Details&gt;&lt;Extra&gt;&lt;DBUID&gt;{F96A950B-833F-4880-A151-76DA2D6A2879}&lt;/DBUID&gt;&lt;/Extra&gt;&lt;/Item&gt;&lt;/References&gt;&lt;/Group&gt;&lt;/Citation&gt;_x000a_"/>
    <w:docVar w:name="NE.Ref{102F4641-1BAE-4AA3-82CE-99282B596F3B}" w:val=" ADDIN NE.Ref.{102F4641-1BAE-4AA3-82CE-99282B596F3B}&lt;Citation&gt;&lt;Group&gt;&lt;References&gt;&lt;Item&gt;&lt;ID&gt;776&lt;/ID&gt;&lt;UID&gt;{528D07A7-4C43-42F1-9719-E9DBDBFF04EC}&lt;/UID&gt;&lt;Title&gt;Chronic obstructive pulmonary disease and asthma and the risk of mild cognitive impairment and dementia: a population based CAIDE study&lt;/Title&gt;&lt;Template&gt;Journal Article&lt;/Template&gt;&lt;Star&gt;0&lt;/Star&gt;&lt;Tag&gt;0&lt;/Tag&gt;&lt;Author&gt;Rusanen, M; Ngandu, T; Laatikainen, T; Tuomilehto, J; Soininen, H; Kivipelto, M&lt;/Author&gt;&lt;Year&gt;2013&lt;/Year&gt;&lt;Details&gt;&lt;_accession_num&gt;23566344&lt;/_accession_num&gt;&lt;_author_adr&gt;Department of Neurology, Institute of Clinical Medicine, University of Eastern Finland, Yliopistonranta 1, PL 1627, 70211 Kuopio, Finland. minna.rusanen@uef.fi&lt;/_author_adr&gt;&lt;_date_display&gt;2013 Jun&lt;/_date_display&gt;&lt;_date&gt;2013-06-01&lt;/_date&gt;&lt;_doi&gt;10.2174/1567205011310050011&lt;/_doi&gt;&lt;_isbn&gt;1875-5828 (Electronic); 1567-2050 (Linking)&lt;/_isbn&gt;&lt;_issue&gt;5&lt;/_issue&gt;&lt;_journal&gt;Curr Alzheimer Res&lt;/_journal&gt;&lt;_language&gt;eng&lt;/_language&gt;&lt;_pages&gt;549-55&lt;/_pages&gt;&lt;_subject_headings&gt;Adult; Aged; Asthma/*epidemiology; Cardiovascular Diseases/complications; Cognitive Dysfunction/complications/*epidemiology; Cohort Studies; Community Health Planning; Dementia/complications/*epidemiology; Female; Humans; Longitudinal Studies; Male; Middle Aged; Proportional Hazards Models; Pulmonary Disease, Chronic Obstructive/*epidemiology; Risk Factors; Self Report&lt;/_subject_headings&gt;&lt;_tertiary_title&gt;Current Alzheimer research&lt;/_tertiary_title&gt;&lt;_type_work&gt;Journal Article; Randomized Controlled Trial; Research Support, Non-U.S. Gov&amp;apos;t&lt;/_type_work&gt;&lt;_url&gt;http://www.ncbi.nlm.nih.gov/entrez/query.fcgi?cmd=Retrieve&amp;amp;db=pubmed&amp;amp;dopt=Abstract&amp;amp;list_uids=23566344&amp;amp;query_hl=1&lt;/_url&gt;&lt;_volume&gt;10&lt;/_volume&gt;&lt;_created&gt;63430442&lt;/_created&gt;&lt;_modified&gt;63430442&lt;/_modified&gt;&lt;_db_updated&gt;PubMed&lt;/_db_updated&gt;&lt;_impact_factor&gt;   3.047&lt;/_impact_factor&gt;&lt;_collection_scope&gt;SCIE&lt;/_collection_scope&gt;&lt;/Details&gt;&lt;Extra&gt;&lt;DBUID&gt;{F96A950B-833F-4880-A151-76DA2D6A2879}&lt;/DBUID&gt;&lt;/Extra&gt;&lt;/Item&gt;&lt;/References&gt;&lt;/Group&gt;&lt;/Citation&gt;_x000a_"/>
    <w:docVar w:name="NE.Ref{127AAFC8-D608-4D09-A4C4-3F60923DD45D}" w:val=" ADDIN NE.Ref.{127AAFC8-D608-4D09-A4C4-3F60923DD45D}&lt;Citation&gt;&lt;Group&gt;&lt;References&gt;&lt;Item&gt;&lt;ID&gt;788&lt;/ID&gt;&lt;UID&gt;{D62B77D1-90AE-4263-A31E-AF8F9BA5657D}&lt;/UID&gt;&lt;Title&gt;Activated naive B cells promote development of malignant pleural effusion by differential regulation of TH1 and TH17 response&lt;/Title&gt;&lt;Template&gt;Journal Article&lt;/Template&gt;&lt;Star&gt;0&lt;/Star&gt;&lt;Tag&gt;0&lt;/Tag&gt;&lt;Author&gt;Wu, X Z; Shi, X Y; Zhai, K; Yi, F S; Wang, Z; Wang, W; Pei, X B; Xu, L L; Wang, Z; Shi, H Z&lt;/Author&gt;&lt;Year&gt;2018&lt;/Year&gt;&lt;Details&gt;&lt;_accession_num&gt;29847991&lt;/_accession_num&gt;&lt;_author_adr&gt;Department of Respiratory and Critical Care Medicine, Beijing Institute of Respiratory Medicine, Beijing Chao-Yang Hospital, Capital Medical University , Beijing , China.; Department of Respiratory and Critical Care Medicine, Beijing Institute of Respiratory Medicine, Beijing Chao-Yang Hospital, Capital Medical University , Beijing , China.; Department of Respiratory and Critical Care Medicine, Beijing Institute of Respiratory Medicine, Beijing Chao-Yang Hospital, Capital Medical University , Beijing , China.; Department of Respiratory and Critical Care Medicine, Beijing Institute of Respiratory Medicine, Beijing Chao-Yang Hospital, Capital Medical University , Beijing , China.; Department of Respiratory and Critical Care Medicine, Beijing Institute of Respiratory Medicine, Beijing Chao-Yang Hospital, Capital Medical University , Beijing , China.; Department of Respiratory and Critical Care Medicine, Beijing Institute of Respiratory Medicine, Beijing Chao-Yang Hospital, Capital Medical University , Beijing , China.; Department of Respiratory and Critical Care Medicine, Beijing Institute of Respiratory Medicine, Beijing Chao-Yang Hospital, Capital Medical University , Beijing , China.; Department of Respiratory and Critical Care Medicine, Beijing Institute of Respiratory Medicine, Beijing Chao-Yang Hospital, Capital Medical University , Beijing , China.; Department of Respiratory and Critical Care Medicine, Beijing Institute of Respiratory Medicine, Beijing Chao-Yang Hospital, Capital Medical University , Beijing , China.; Department of Respiratory and Critical Care Medicine, Beijing Institute of Respiratory Medicine, Beijing Chao-Yang Hospital, Capital Medical University , Beijing , China.&lt;/_author_adr&gt;&lt;_date_display&gt;2018 Sep 1&lt;/_date_display&gt;&lt;_date&gt;2018-09-01&lt;/_date&gt;&lt;_doi&gt;10.1152/ajplung.00120.2018&lt;/_doi&gt;&lt;_isbn&gt;1522-1504 (Electronic); 1040-0605 (Linking)&lt;/_isbn&gt;&lt;_issue&gt;3&lt;/_issue&gt;&lt;_journal&gt;Am J Physiol Lung Cell Mol Physiol&lt;/_journal&gt;&lt;_keywords&gt;*B cells; *TH cells; *malignant pleural effusion&lt;/_keywords&gt;&lt;_language&gt;eng&lt;/_language&gt;&lt;_pages&gt;L443-L455&lt;/_pages&gt;&lt;_subject_headings&gt;Animals; B-Lymphocytes/*immunology/pathology; Mice; Mice, Knockout; Neoplasm Proteins/genetics/immunology; Pleural Effusion, Malignant/genetics/*immunology/pathology; Signal Transduction/genetics/*immunology; Th1 Cells/*immunology/pathology; Th17 Cells/*immunology/pathology&lt;/_subject_headings&gt;&lt;_tertiary_title&gt;American journal of physiology. Lung cellular and molecular physiology&lt;/_tertiary_title&gt;&lt;_type_work&gt;Journal Article; Research Support, Non-U.S. Gov&amp;apos;t&lt;/_type_work&gt;&lt;_url&gt;http://www.ncbi.nlm.nih.gov/entrez/query.fcgi?cmd=Retrieve&amp;amp;db=pubmed&amp;amp;dopt=Abstract&amp;amp;list_uids=29847991&amp;amp;query_hl=1&lt;/_url&gt;&lt;_volume&gt;315&lt;/_volume&gt;&lt;_created&gt;63845251&lt;/_created&gt;&lt;_modified&gt;63845251&lt;/_modified&gt;&lt;_db_updated&gt;PubMed&lt;/_db_updated&gt;&lt;_impact_factor&gt;   4.406&lt;/_impact_factor&gt;&lt;/Details&gt;&lt;Extra&gt;&lt;DBUID&gt;{F96A950B-833F-4880-A151-76DA2D6A2879}&lt;/DBUID&gt;&lt;/Extra&gt;&lt;/Item&gt;&lt;/References&gt;&lt;/Group&gt;&lt;/Citation&gt;_x000a_"/>
    <w:docVar w:name="NE.Ref{14CBB745-55FB-4BA7-871C-8EC234297F88}" w:val=" ADDIN NE.Ref.{14CBB745-55FB-4BA7-871C-8EC234297F88}&lt;Citation&gt;&lt;Group&gt;&lt;References&gt;&lt;Item&gt;&lt;ID&gt;737&lt;/ID&gt;&lt;UID&gt;{FABE204F-E494-4777-9029-72996417CCD9}&lt;/UID&gt;&lt;Title&gt;Recirculating Intestinal IgA-Producing Cells Regulate Neuroinflammation via IL-10&lt;/Title&gt;&lt;Template&gt;Journal Article&lt;/Template&gt;&lt;Star&gt;0&lt;/Star&gt;&lt;Tag&gt;0&lt;/Tag&gt;&lt;Author&gt;Rojas, O L; Probstel, A K; Porfilio, E A; Wang, A A; Charabati, M; Sun, T; Lee, DSW; Galicia, G; Ramaglia, V; Ward, L A; Leung, LYT; Najafi, G; Khaleghi, K; Garcillan, B; Li, A; Besla, R; Naouar, I; Cao, E Y; Chiaranunt, P; Burrows, K; Robinson, H G; Allanach, J R; Yam, J; Luck, H; Campbell, D J; Allman, D; Brooks, D G; Tomura, M; Baumann, R; Zamvil, S S; Bar-Or, A; Horwitz, M S; Winer, D A; Mortha, A; Mackay, F; Prat, A; Osborne, L C; Robbins, C; Baranzini, S E; Gommerman, J L&lt;/Author&gt;&lt;Year&gt;2019&lt;/Year&gt;&lt;Details&gt;&lt;_accession_num&gt;30951673&lt;/_accession_num&gt;&lt;_collection_scope&gt;SCI;SCIE&lt;/_collection_scope&gt;&lt;_created&gt;63229965&lt;/_created&gt;&lt;_date&gt;2019-04-04&lt;/_date&gt;&lt;_date_display&gt;2019 Apr 4&lt;/_date_display&gt;&lt;_db_updated&gt;PubMed&lt;/_db_updated&gt;&lt;_doi&gt;10.1016/j.cell.2019.03.037&lt;/_doi&gt;&lt;_impact_factor&gt;  38.637&lt;/_impact_factor&gt;&lt;_isbn&gt;1097-4172 (Electronic); 0092-8674 (Linking)&lt;/_isbn&gt;&lt;_issue&gt;2&lt;/_issue&gt;&lt;_journal&gt;Cell&lt;/_journal&gt;&lt;_language&gt;eng&lt;/_language&gt;&lt;_modified&gt;63430422&lt;/_modified&gt;&lt;_pages&gt;492-493&lt;/_pages&gt;&lt;_tertiary_title&gt;Cell&lt;/_tertiary_title&gt;&lt;_type_work&gt;Published Erratum&lt;/_type_work&gt;&lt;_url&gt;http://www.ncbi.nlm.nih.gov/entrez/query.fcgi?cmd=Retrieve&amp;amp;db=pubmed&amp;amp;dopt=Abstract&amp;amp;list_uids=30951673&amp;amp;query_hl=1&lt;/_url&gt;&lt;_volume&gt;177&lt;/_volume&gt;&lt;/Details&gt;&lt;Extra&gt;&lt;DBUID&gt;{F96A950B-833F-4880-A151-76DA2D6A2879}&lt;/DBUID&gt;&lt;/Extra&gt;&lt;/Item&gt;&lt;/References&gt;&lt;/Group&gt;&lt;Group&gt;&lt;References&gt;&lt;Item&gt;&lt;ID&gt;781&lt;/ID&gt;&lt;UID&gt;{50DE1194-39B7-474F-8F35-7BBF5D477CBA}&lt;/UID&gt;&lt;Title&gt;Gut-educated IgA plasma cells defend the meningeal venous sinuses&lt;/Title&gt;&lt;Template&gt;Journal Article&lt;/Template&gt;&lt;Star&gt;0&lt;/Star&gt;&lt;Tag&gt;0&lt;/Tag&gt;&lt;Author&gt;Fitzpatrick, Z; Frazer, G; Ferro, A; Clare, S; Bouladoux, N; Ferdinand, J; Tuong, Z K; Negro-Demontel, M L; Kumar, N; Suchanek, O; Tajsic, T; Harcourt, K; Scott, K; Bashford-Rogers, R; Helmy, A; Reich, D S; Belkaid, Y; Lawley, T D; McGavern, D B; Clatworthy, M R&lt;/Author&gt;&lt;Year&gt;2020&lt;/Year&gt;&lt;Details&gt;&lt;_accession_num&gt;33149302&lt;/_accession_num&gt;&lt;_author_adr&gt;Molecular Immunity Unit, Department of Medicine, University of Cambridge, Cambridge, UK.; Viral Immunology and Intravital Imaging Section, National Institute of Neurological Disorders and Stroke, National Institutes of Health, Bethesda, MA, USA.; Molecular Immunity Unit, Department of Medicine, University of Cambridge, Cambridge, UK.; Molecular Immunity Unit, Department of Medicine, University of Cambridge, Cambridge, UK.; Host-Microbiota Interactions Laboratory, Wellcome Sanger Institute, Hinxton, UK.; National Institute of Allergy and Infectious Diseases, National Institutes of Health, Bethesda, MA, USA.; Molecular Immunity Unit, Department of Medicine, University of Cambridge, Cambridge, UK.; Molecular Immunity Unit, Department of Medicine, University of Cambridge, Cambridge, UK.; Cellular Genetics, Wellcome Sanger Institute, Hinxton, UK.; Viral Immunology and Intravital Imaging Section, National Institute of Neurological Disorders and Stroke, National Institutes of Health, Bethesda, MA, USA.; Host-Microbiota Interactions Laboratory, Wellcome Sanger Institute, Hinxton, UK.; Molecular Immunity Unit, Department of Medicine, University of Cambridge, Cambridge, UK.; Division of Neurosurgery, Department of Clinical Neurosciences, University of Cambridge, Cambridge, UK.; Host-Microbiota Interactions Laboratory, Wellcome Sanger Institute, Hinxton, UK.; Molecular Immunity Unit, Department of Medicine, University of Cambridge, Cambridge, UK.; John van Geest Centre for Brain Repair, Department of Clinical Neurosciences, University of Cambridge, Cambridge, UK.; Wellcome Trust Centre for Human Genetics, University of Oxford, Oxford, UK.; Division of Neurosurgery, Department of Clinical Neurosciences, University of Cambridge, Cambridge, UK.; Translational Neuroradiology Section, National Institute of Neurological Disorders and Stroke, National Institutes of Health, Bethesda, MA, USA.; National Institute of Allergy and Infectious Diseases, National Institutes of Health, Bethesda, MA, USA.; Host-Microbiota Interactions Laboratory, Wellcome Sanger Institute, Hinxton, UK.; Viral Immunology and Intravital Imaging Section, National Institute of Neurological Disorders and Stroke, National Institutes of Health, Bethesda, MA, USA. mcgavernd@mail.nih.gov.; Molecular Immunity Unit, Department of Medicine, University of Cambridge, Cambridge, UK. mrc38@cam.ac.uk.; Cellular Genetics, Wellcome Sanger Institute, Hinxton, UK. mrc38@cam.ac.uk.; Cambridge Institute of Therapeutic Immunology and Infectious Diseases, University of Cambridge, Cambridge, UK. mrc38@cam.ac.uk.&lt;/_author_adr&gt;&lt;_date_display&gt;2020 Nov 4&lt;/_date_display&gt;&lt;_date&gt;2020-11-04&lt;/_date&gt;&lt;_doi&gt;10.1038/s41586-020-2886-4&lt;/_doi&gt;&lt;_isbn&gt;1476-4687 (Electronic); 0028-0836 (Linking)&lt;/_isbn&gt;&lt;_journal&gt;Nature&lt;/_journal&gt;&lt;_language&gt;eng&lt;/_language&gt;&lt;_tertiary_title&gt;Nature&lt;/_tertiary_title&gt;&lt;_type_work&gt;Journal Article&lt;/_type_work&gt;&lt;_url&gt;http://www.ncbi.nlm.nih.gov/entrez/query.fcgi?cmd=Retrieve&amp;amp;db=pubmed&amp;amp;dopt=Abstract&amp;amp;list_uids=33149302&amp;amp;query_hl=1&lt;/_url&gt;&lt;_created&gt;63564087&lt;/_created&gt;&lt;_modified&gt;63564087&lt;/_modified&gt;&lt;_db_updated&gt;PubMed&lt;/_db_updated&gt;&lt;_impact_factor&gt;  42.778&lt;/_impact_factor&gt;&lt;_collection_scope&gt;SCI;SCIE&lt;/_collection_scope&gt;&lt;/Details&gt;&lt;Extra&gt;&lt;DBUID&gt;{F96A950B-833F-4880-A151-76DA2D6A2879}&lt;/DBUID&gt;&lt;/Extra&gt;&lt;/Item&gt;&lt;/References&gt;&lt;/Group&gt;&lt;/Citation&gt;_x000a_"/>
    <w:docVar w:name="NE.Ref{14F8F166-B8A2-424B-B62A-E51230A13A21}" w:val=" ADDIN NE.Ref.{14F8F166-B8A2-424B-B62A-E51230A13A21}&lt;Citation&gt;&lt;Group&gt;&lt;References&gt;&lt;Item&gt;&lt;ID&gt;696&lt;/ID&gt;&lt;UID&gt;{E2765E6B-108D-43C1-A66C-382CE321D1C4}&lt;/UID&gt;&lt;Title&gt;CNS lymphatic drainage and neuroinflammation are regulated by meningeal lymphatic vasculature&lt;/Title&gt;&lt;Template&gt;Journal Article&lt;/Template&gt;&lt;Star&gt;0&lt;/Star&gt;&lt;Tag&gt;0&lt;/Tag&gt;&lt;Author&gt;Louveau, A; Herz, J; Alme, M N; Salvador, A F; Dong, M Q; Viar, K E; Herod, S G; Knopp, J; Setliff, J C; Lupi, A L; Da, Mesquita S; Frost, E L; Gaultier, A; Harris, T H; Cao, R; Hu, S; Lukens, J R; Smirnov, I; Overall, C C; Oliver, G; Kipnis, J&lt;/Author&gt;&lt;Year&gt;2018&lt;/Year&gt;&lt;Details&gt;&lt;_accession_num&gt;30224810&lt;/_accession_num&gt;&lt;_author_adr&gt;Center for Brain Immunology and Glia (BIG), University of Virginia, Charlottesville, VA, USA. al2hk@virginia.edu.; Department of Neuroscience, University of Virginia, Charlottesville, VA, USA. al2hk@virginia.edu.; Center for Brain Immunology and Glia (BIG), University of Virginia, Charlottesville, VA, USA.; Department of Neuroscience, University of Virginia, Charlottesville, VA, USA.; Center for Brain Immunology and Glia (BIG), University of Virginia, Charlottesville, VA, USA.; Department of Neuroscience, University of Virginia, Charlottesville, VA, USA.; Department of Clinical Medicine, University of Bergen, Bergen, Norway.; Department of Neurology, Haukeland University Hospital, Bergen, Norway.; Center for Brain Immunology and Glia (BIG), University of Virginia, Charlottesville, VA, USA.; Department of Neuroscience, University of Virginia, Charlottesville, VA, USA.; Neuroscience Graduate Program, University of Virginia, Charlottesville, VA, USA.; Center for Brain Immunology and Glia (BIG), University of Virginia, Charlottesville, VA, USA.; Department of Neuroscience, University of Virginia, Charlottesville, VA, USA.; Center for Brain Immunology and Glia (BIG), University of Virginia, Charlottesville, VA, USA.; Department of Neuroscience, University of Virginia, Charlottesville, VA, USA.; Center for Brain Immunology and Glia (BIG), University of Virginia, Charlottesville, VA, USA.; Department of Neuroscience, University of Virginia, Charlottesville, VA, USA.; Center for Brain Immunology and Glia (BIG), University of Virginia, Charlottesville, VA, USA.; Department of Neuroscience, University of Virginia, Charlottesville, VA, USA.; Center for Brain Immunology and Glia (BIG), University of Virginia, Charlottesville, VA, USA.; Department of Neuroscience, University of Virginia, Charlottesville, VA, USA.; Center for Brain Immunology and Glia (BIG), University of Virginia, Charlottesville, VA, USA.; Department of Neuroscience, University of Virginia, Charlottesville, VA, USA.; Center for Brain Immunology and Glia (BIG), University of Virginia, Charlottesville, VA, USA.; Department of Neuroscience, University of Virginia, Charlottesville, VA, USA.; Center for Brain Immunology and Glia (BIG), University of Virginia, Charlottesville, VA, USA.; Department of Neuroscience, University of Virginia, Charlottesville, VA, USA.; Center for Brain Immunology and Glia (BIG), University of Virginia, Charlottesville, VA, USA.; Department of Neuroscience, University of Virginia, Charlottesville, VA, USA.; Center for Brain Immunology and Glia (BIG), University of Virginia, Charlottesville, VA, USA.; Department of Neuroscience, University of Virginia, Charlottesville, VA, USA.; Department of Biomedical Engineering, University of Virginia, Charlottesville, VA, USA.; Department of Biomedical Engineering, University of Virginia, Charlottesville, VA, USA.; Center for Brain Immunology and Glia (BIG), University of Virginia, Charlottesville, VA, USA.; Department of Neuroscience, University of Virginia, Charlottesville, VA, USA.; Center for Brain Immunology and Glia (BIG), University of Virginia, Charlottesville, VA, USA.; Department of Neuroscience, University of Virginia, Charlottesville, VA, USA.; Center for Brain Immunology and Glia (BIG), University of Virginia, Charlottesville, VA, USA.; Department of Neuroscience, University of Virginia, Charlottesville, VA, USA.; Northwestern University, Feinberg School of Medicine, Chicago, IL, USA.; Center for Brain Immunology and Glia (BIG), University of Virginia, Charlottesville, VA, USA. kipnis@virginia.edu.; Department of Neuroscience, University of Virginia, Charlottesville, VA, USA. kipnis@virginia.edu.; Neuroscience Graduate Program, University of Virginia, Charlottesville, VA, USA.  kipnis@virginia.edu.; Gutenberg Research Fellowship Group of Neuroimmunology, Focus Program Translational Neuroscience (FTN) and Immunotherapy (FZI), Rhine Main Neuroscience Network (rmn(2)), University Medical Center of the Johannes Gutenberg University  Mainz, Mainz, Germany. kipnis@virginia.edu.&lt;/_author_adr&gt;&lt;_collection_scope&gt;SCI;SCIE&lt;/_collection_scope&gt;&lt;_created&gt;63229842&lt;/_created&gt;&lt;_date&gt;2018-10-01&lt;/_date&gt;&lt;_date_display&gt;2018 Oct&lt;/_date_display&gt;&lt;_db_updated&gt;PubMed&lt;/_db_updated&gt;&lt;_doi&gt;10.1038/s41593-018-0227-9&lt;/_doi&gt;&lt;_impact_factor&gt;  21.126&lt;/_impact_factor&gt;&lt;_isbn&gt;1546-1726 (Electronic); 1097-6256 (Linking)&lt;/_isbn&gt;&lt;_issue&gt;10&lt;/_issue&gt;&lt;_journal&gt;Nat Neurosci&lt;/_journal&gt;&lt;_keywords&gt;Animals; Antigens, CD/genetics/metabolism; Central Nervous System/immunology/pathology; Dendritic Cells/pathology; Disease Models, Animal; Encephalitis/chemically induced/*pathology/*physiopathology; Green Fluorescent Proteins/genetics/metabolism; Homeodomain Proteins/genetics/metabolism; Lymph Nodes/pathology; Lymphatic Vessels/*physiology; Male; Meninges/*pathology; Mice; Mice, Inbred C57BL; Mice, Transgenic; MicroRNAs/genetics/metabolism; Myelin-Oligodendrocyte Glycoprotein/toxicity; Peptide Fragments/toxicity; Photosensitizing Agents/pharmacology; Receptors, CCR7/deficiency/genetics; Spleen/pathology; T-Lymphocytes/physiology; Tumor Suppressor Proteins/genetics/metabolism&lt;/_keywords&gt;&lt;_language&gt;eng&lt;/_language&gt;&lt;_modified&gt;63229842&lt;/_modified&gt;&lt;_pages&gt;1380-1391&lt;/_pages&gt;&lt;_tertiary_title&gt;Nature neuroscience&lt;/_tertiary_title&gt;&lt;_type_work&gt;Journal Article; Research Support, N.I.H., Extramural; Research Support, Non-U.S. Gov&amp;apos;t&lt;/_type_work&gt;&lt;_url&gt;http://www.ncbi.nlm.nih.gov/entrez/query.fcgi?cmd=Retrieve&amp;amp;db=pubmed&amp;amp;dopt=Abstract&amp;amp;list_uids=30224810&amp;amp;query_hl=1&lt;/_url&gt;&lt;_volume&gt;21&lt;/_volume&gt;&lt;/Details&gt;&lt;Extra&gt;&lt;DBUID&gt;{F96A950B-833F-4880-A151-76DA2D6A2879}&lt;/DBUID&gt;&lt;/Extra&gt;&lt;/Item&gt;&lt;/References&gt;&lt;/Group&gt;&lt;/Citation&gt;_x000a_"/>
    <w:docVar w:name="NE.Ref{1532817E-D27B-4A45-8F31-9DB9A7616215}" w:val=" ADDIN NE.Ref.{1532817E-D27B-4A45-8F31-9DB9A7616215}&lt;Citation&gt;&lt;Group&gt;&lt;References&gt;&lt;Item&gt;&lt;ID&gt;441&lt;/ID&gt;&lt;UID&gt;{9DCD618C-9928-4BB8-AA48-59B6C40E72D9}&lt;/UID&gt;&lt;Title&gt;Microglia emerge as central players in brain disease&lt;/Title&gt;&lt;Template&gt;Journal Article&lt;/Template&gt;&lt;Star&gt;0&lt;/Star&gt;&lt;Tag&gt;0&lt;/Tag&gt;&lt;Author&gt;Salter, M W; Stevens, B&lt;/Author&gt;&lt;Year&gt;2017&lt;/Year&gt;&lt;Details&gt;&lt;_accession_num&gt;28886007&lt;/_accession_num&gt;&lt;_author_adr&gt;Neurosciences &amp;amp;amp;Mental Health Program, Hospital for Sick Children, Department of Physiology, Faculty of Medicine, University of Toronto, Toronto, Ontario, Canada.; F.M. Kirby Neurobiology Center, Boston Children&amp;apos;s Hospital and Harvard Medical School, Boston, Massachusetts, Stanley Center for Psychiatric Research, Broad Institute of MIT and Harvard, Cambridge, United States.&lt;/_author_adr&gt;&lt;_collection_scope&gt;SCI;SCIE&lt;/_collection_scope&gt;&lt;_created&gt;63169436&lt;/_created&gt;&lt;_date&gt;2017-09-08&lt;/_date&gt;&lt;_date_display&gt;2017 Sep 8&lt;/_date_display&gt;&lt;_db_updated&gt;PubMed&lt;/_db_updated&gt;&lt;_doi&gt;10.1038/nm.4397&lt;/_doi&gt;&lt;_impact_factor&gt;  30.641&lt;/_impact_factor&gt;&lt;_isbn&gt;1546-170X (Electronic); 1078-8956 (Linking)&lt;/_isbn&gt;&lt;_issue&gt;9&lt;/_issue&gt;&lt;_journal&gt;Nat Med&lt;/_journal&gt;&lt;_keywords&gt;Alzheimer Disease/physiopathology; Animals; Autistic Disorder/physiopathology; Brain Diseases/*physiopathology; Cell Death; Central Nervous System Diseases/physiopathology; Chronic Pain/physiopathology; Disease Models, Animal; Humans; Inflammation/physiopathology; Mice; Microglia/*physiology; Neurodegenerative Diseases/physiopathology; Neurodevelopmental Disorders/physiopathology; Neuronal Plasticity/*physiology; Phagocytosis/*physiology&lt;/_keywords&gt;&lt;_language&gt;eng&lt;/_language&gt;&lt;_modified&gt;63169436&lt;/_modified&gt;&lt;_pages&gt;1018-1027&lt;/_pages&gt;&lt;_tertiary_title&gt;Nature medicine&lt;/_tertiary_title&gt;&lt;_type_work&gt;Journal Article; Review&lt;/_type_work&gt;&lt;_url&gt;http://www.ncbi.nlm.nih.gov/entrez/query.fcgi?cmd=Retrieve&amp;amp;db=pubmed&amp;amp;dopt=Abstract&amp;amp;list_uids=28886007&amp;amp;query_hl=1&lt;/_url&gt;&lt;_volume&gt;23&lt;/_volume&gt;&lt;/Details&gt;&lt;Extra&gt;&lt;DBUID&gt;{F96A950B-833F-4880-A151-76DA2D6A2879}&lt;/DBUID&gt;&lt;/Extra&gt;&lt;/Item&gt;&lt;/References&gt;&lt;/Group&gt;&lt;Group&gt;&lt;References&gt;&lt;Item&gt;&lt;ID&gt;470&lt;/ID&gt;&lt;UID&gt;{F72E9833-C8A7-44D7-A573-4518629441FD}&lt;/UID&gt;&lt;Title&gt;Functional aspects of meningeal lymphatics in ageing and Alzheimer&amp;apos;s disease&lt;/Title&gt;&lt;Template&gt;Journal Article&lt;/Template&gt;&lt;Star&gt;0&lt;/Star&gt;&lt;Tag&gt;0&lt;/Tag&gt;&lt;Author&gt;Da, Mesquita S; Louveau, A; Vaccari, A; Smirnov, I; Cornelison, R C; Kingsmore, K M; Contarino, C; Onengut-Gumuscu, S; Farber, E; Raper, D; Viar, K E; Powell, R D; Baker, W; Dabhi, N; Bai, R; Cao, R; Hu, S; Rich, S S; Munson, J M; Lopes, M B; Overall, C C; Acton, S T; Kipnis, J&lt;/Author&gt;&lt;Year&gt;2018&lt;/Year&gt;&lt;Details&gt;&lt;_accession_num&gt;30046111&lt;/_accession_num&gt;&lt;_author_adr&gt;Center for Brain Immunology and Glia (BIG), University of Virginia, Charlottesville, VA, USA. sd8tf@virginia.edu.; Department of Neuroscience, University of Virginia, Charlottesville, VA, USA. sd8tf@virginia.edu.; Center for Brain Immunology and Glia (BIG), University of Virginia, Charlottesville, VA, USA.; Department of Neuroscience, University of Virginia, Charlottesville, VA, USA.; Virginia Image and Video Analysis Laboratory, Department of Electrical and Computer Engineering, University of Virginia, Charlottesville, VA, USA.; Department of Biomedical Engineering, University of Virginia, Charlottesville, VA, USA.; Center for Brain Immunology and Glia (BIG), University of Virginia, Charlottesville, VA, USA.; Department of Neuroscience, University of Virginia, Charlottesville, VA, USA.; Department of Biomedical Engineering, University of Virginia, Charlottesville, VA, USA.; Department of Biomedical Engineering, University of Virginia, Charlottesville, VA, USA.; Center for Brain Immunology and Glia (BIG), University of Virginia, Charlottesville, VA, USA.; Department of Neuroscience, University of Virginia, Charlottesville, VA, USA.; Department of Mathematics, University of Trento, Povo, Italy.; Center for Public Health Genomics, University of Virginia, Charlottesville, VA, USA.; Center for Public Health Genomics, University of Virginia, Charlottesville, VA, USA.; Center for Brain Immunology and Glia (BIG), University of Virginia, Charlottesville, VA, USA.; Department of Neuroscience, University of Virginia, Charlottesville, VA, USA.; Department of Neurosurgery, University of Virginia Health System, Charlottesville, VA, USA.; Center for Brain Immunology and Glia (BIG), University of Virginia, Charlottesville, VA, USA.; Department of Neuroscience, University of Virginia, Charlottesville, VA, USA.; Center for Brain Immunology and Glia (BIG), University of Virginia, Charlottesville, VA, USA.; Department of Neuroscience, University of Virginia, Charlottesville, VA, USA.; Center for Brain Immunology and Glia (BIG), University of Virginia, Charlottesville, VA, USA.; Department of Neuroscience, University of Virginia, Charlottesville, VA, USA.; Center for Brain Immunology and Glia (BIG), University of Virginia, Charlottesville, VA, USA.; Department of Neuroscience, University of Virginia, Charlottesville, VA, USA.; Center for Brain Immunology and Glia (BIG), University of Virginia, Charlottesville, VA, USA.; Department of Neuroscience, University of Virginia, Charlottesville, VA, USA.; Department of Biomedical Engineering, University of Virginia, Charlottesville, VA, USA.; Department of Biomedical Engineering, University of Virginia, Charlottesville, VA, USA.; Center for Public Health Genomics, University of Virginia, Charlottesville, VA, USA.; Department of Biomedical Engineering, University of Virginia, Charlottesville, VA, USA.; Department of Biomedical Engineering and Mechanics, College of Engineering, Virginia Tech, Blacksburg, VA, USA.; Department of Pathology, University of Virginia, Charlottesville, VA, USA.; Center for Brain Immunology and Glia (BIG), University of Virginia, Charlottesville, VA, USA.; Department of Neuroscience, University of Virginia, Charlottesville, VA, USA.; Virginia Image and Video Analysis Laboratory, Department of Electrical and Computer Engineering, University of Virginia, Charlottesville, VA, USA.; Department of Biomedical Engineering, University of Virginia, Charlottesville, VA, USA.; Center for Brain Immunology and Glia (BIG), University of Virginia, Charlottesville, VA, USA. kipnis@virginia.edu.; Department of Neuroscience, University of Virginia, Charlottesville, VA, USA. kipnis@virginia.edu.&lt;/_author_adr&gt;&lt;_collection_scope&gt;SCI;SCIE&lt;/_collection_scope&gt;&lt;_created&gt;63169486&lt;/_created&gt;&lt;_date&gt;2018-08-01&lt;/_date&gt;&lt;_date_display&gt;2018 Aug&lt;/_date_display&gt;&lt;_db_updated&gt;PubMed&lt;/_db_updated&gt;&lt;_doi&gt;10.1038/s41586-018-0368-8&lt;/_doi&gt;&lt;_impact_factor&gt;  43.070&lt;/_impact_factor&gt;&lt;_isbn&gt;1476-4687 (Electronic); 0028-0836 (Linking)&lt;/_isbn&gt;&lt;_issue&gt;7717&lt;/_issue&gt;&lt;_journal&gt;Nature&lt;/_journal&gt;&lt;_keywords&gt;Aging/*cerebrospinal fluid/pathology; Alzheimer Disease/*cerebrospinal fluid/pathology/*physiopathology; Amyloid/metabolism; Amyloid beta-Peptides/metabolism; Animals; Brain/metabolism; Cognition; Cognition Disorders/physiopathology/therapy; Disease Models, Animal; Extracellular Fluid/metabolism; Female; Homeostasis; Humans; Lymph Nodes/metabolism; Lymphatic Vessels/pathology/*physiopathology; Male; Meninges/pathology/*physiopathology; Mice; Mice, Transgenic; Perfusion&lt;/_keywords&gt;&lt;_language&gt;eng&lt;/_language&gt;&lt;_modified&gt;63169486&lt;/_modified&gt;&lt;_pages&gt;185-191&lt;/_pages&gt;&lt;_tertiary_title&gt;Nature&lt;/_tertiary_title&gt;&lt;_type_work&gt;Journal Article; Research Support, N.I.H., Extramural&lt;/_type_work&gt;&lt;_url&gt;http://www.ncbi.nlm.nih.gov/entrez/query.fcgi?cmd=Retrieve&amp;amp;db=pubmed&amp;amp;dopt=Abstract&amp;amp;list_uids=30046111&amp;amp;query_hl=1&lt;/_url&gt;&lt;_volume&gt;560&lt;/_volume&gt;&lt;/Details&gt;&lt;Extra&gt;&lt;DBUID&gt;{F96A950B-833F-4880-A151-76DA2D6A2879}&lt;/DBUID&gt;&lt;/Extra&gt;&lt;/Item&gt;&lt;/References&gt;&lt;/Group&gt;&lt;/Citation&gt;_x000a_"/>
    <w:docVar w:name="NE.Ref{1960E801-9248-4297-9AD0-9E81A201F0BF}" w:val=" ADDIN NE.Ref.{1960E801-9248-4297-9AD0-9E81A201F0BF}&lt;Citation&gt;&lt;Group&gt;&lt;References&gt;&lt;Item&gt;&lt;ID&gt;713&lt;/ID&gt;&lt;UID&gt;{7F119050-807F-4DAC-96BC-FC7E4048AE54}&lt;/UID&gt;&lt;Title&gt;Transcriptional regulation of BACE1, the beta-amyloid precursor protein beta-secretase, by Sp1&lt;/Title&gt;&lt;Template&gt;Journal Article&lt;/Template&gt;&lt;Star&gt;0&lt;/Star&gt;&lt;Tag&gt;0&lt;/Tag&gt;&lt;Author&gt;Christensen, M A; Zhou, W; Qing, H; Lehman, A; Philipsen, S; Song, W&lt;/Author&gt;&lt;Year&gt;2004&lt;/Year&gt;&lt;Details&gt;&lt;_accession_num&gt;14701757&lt;/_accession_num&gt;&lt;_author_adr&gt;Department of Psychiatry, Brain Research Center, The University of British Columbia, Vancouver, British Columbia V6T 1Z3, Canada.&lt;/_author_adr&gt;&lt;_collection_scope&gt;SCI;SCIE&lt;/_collection_scope&gt;&lt;_created&gt;63229908&lt;/_created&gt;&lt;_date&gt;2004-01-01&lt;/_date&gt;&lt;_date_display&gt;2004 Jan&lt;/_date_display&gt;&lt;_db_updated&gt;PubMed&lt;/_db_updated&gt;&lt;_doi&gt;10.1128/mcb.24.2.865-874.2004&lt;/_doi&gt;&lt;_impact_factor&gt;   3.735&lt;/_impact_factor&gt;&lt;_isbn&gt;0270-7306 (Print); 0270-7306 (Linking)&lt;/_isbn&gt;&lt;_issue&gt;2&lt;/_issue&gt;&lt;_journal&gt;Mol Cell Biol&lt;/_journal&gt;&lt;_keywords&gt;Alzheimer Disease/genetics/metabolism; Amyloid Precursor Protein Secretases; Amyloid beta-Protein Precursor/metabolism; Animals; Aspartic Acid Endopeptidases/*genetics; Base Sequence; Cell Line; Chromosome Mapping; Cloning, Molecular; DNA/genetics; Endopeptidases; Humans; Mice; Mice, Knockout; Molecular Sequence Data; Plicamycin/*analogs &amp;amp;amp; derivatives/pharmacology; Promoter Regions, Genetic/drug effects; Protein Processing, Post-Translational; Rats; Sequence Deletion; Sp1 Transcription Factor/deficiency/genetics/*metabolism; Transcription, Genetic; Up-Regulation&lt;/_keywords&gt;&lt;_language&gt;eng&lt;/_language&gt;&lt;_modified&gt;63229908&lt;/_modified&gt;&lt;_pages&gt;865-74&lt;/_pages&gt;&lt;_tertiary_title&gt;Molecular and cellular biology&lt;/_tertiary_title&gt;&lt;_type_work&gt;Journal Article; Research Support, Non-U.S. Gov&amp;apos;t&lt;/_type_work&gt;&lt;_url&gt;http://www.ncbi.nlm.nih.gov/entrez/query.fcgi?cmd=Retrieve&amp;amp;db=pubmed&amp;amp;dopt=Abstract&amp;amp;list_uids=14701757&amp;amp;query_hl=1&lt;/_url&gt;&lt;_volume&gt;24&lt;/_volume&gt;&lt;/Details&gt;&lt;Extra&gt;&lt;DBUID&gt;{F96A950B-833F-4880-A151-76DA2D6A2879}&lt;/DBUID&gt;&lt;/Extra&gt;&lt;/Item&gt;&lt;/References&gt;&lt;/Group&gt;&lt;Group&gt;&lt;References&gt;&lt;Item&gt;&lt;ID&gt;715&lt;/ID&gt;&lt;UID&gt;{693E4E55-8AE9-4B4E-B8B9-5CAF6141E189}&lt;/UID&gt;&lt;Title&gt;Transcriptional and post-transcriptional regulation of beta-secretase&lt;/Title&gt;&lt;Template&gt;Journal Article&lt;/Template&gt;&lt;Star&gt;0&lt;/Star&gt;&lt;Tag&gt;0&lt;/Tag&gt;&lt;Author&gt;Tamagno, E; Guglielmotto, M; Monteleone, D; Vercelli, A; Tabaton, M&lt;/Author&gt;&lt;Year&gt;2012&lt;/Year&gt;&lt;Details&gt;&lt;_accession_num&gt;23180460&lt;/_accession_num&gt;&lt;_author_adr&gt;Department of Neuroscience, University of Torino, Torino, Italy. elena.tamagno@unito.it&lt;/_author_adr&gt;&lt;_collection_scope&gt;SCI;SCIE&lt;/_collection_scope&gt;&lt;_created&gt;63229913&lt;/_created&gt;&lt;_date&gt;2012-12-01&lt;/_date&gt;&lt;_date_display&gt;2012 Dec&lt;/_date_display&gt;&lt;_db_updated&gt;PubMed&lt;/_db_updated&gt;&lt;_doi&gt;10.1002/iub.1099&lt;/_doi&gt;&lt;_impact_factor&gt;   3.051&lt;/_impact_factor&gt;&lt;_isbn&gt;1521-6551 (Electronic); 1521-6543 (Linking)&lt;/_isbn&gt;&lt;_issue&gt;12&lt;/_issue&gt;&lt;_journal&gt;IUBMB Life&lt;/_journal&gt;&lt;_keywords&gt;Alzheimer Disease/enzymology/*genetics/pathology; Amyloid Precursor Protein Secretases/*genetics/metabolism; Amyloid beta-Protein Precursor/*genetics/metabolism; Aspartic Acid Endopeptidases/*genetics/metabolism; Brain/*enzymology/pathology; Humans; Peptide Fragments/genetics/metabolism; Plaque, Amyloid/enzymology/genetics/pathology; Protein Structure, Tertiary; Proteolysis; RNA Processing, Post-Transcriptional; RNA, Messenger/*biosynthesis/genetics; Signal Transduction; *Transcription, Genetic&lt;/_keywords&gt;&lt;_language&gt;eng&lt;/_language&gt;&lt;_modified&gt;63229913&lt;/_modified&gt;&lt;_ori_publication&gt;Copyright (c) 2012 International Union of Biochemistry and Molecular Biology,_x000a_      Inc.&lt;/_ori_publication&gt;&lt;_pages&gt;943-50&lt;/_pages&gt;&lt;_tertiary_title&gt;IUBMB life&lt;/_tertiary_title&gt;&lt;_type_work&gt;Journal Article; Review&lt;/_type_work&gt;&lt;_url&gt;http://www.ncbi.nlm.nih.gov/entrez/query.fcgi?cmd=Retrieve&amp;amp;db=pubmed&amp;amp;dopt=Abstract&amp;amp;list_uids=23180460&amp;amp;query_hl=1&lt;/_url&gt;&lt;_volume&gt;64&lt;/_volume&gt;&lt;/Details&gt;&lt;Extra&gt;&lt;DBUID&gt;{F96A950B-833F-4880-A151-76DA2D6A2879}&lt;/DBUID&gt;&lt;/Extra&gt;&lt;/Item&gt;&lt;/References&gt;&lt;/Group&gt;&lt;/Citation&gt;_x000a_"/>
    <w:docVar w:name="NE.Ref{1CBD0A74-D354-4AD3-88D0-26B4C4BF06E3}" w:val=" ADDIN NE.Ref.{1CBD0A74-D354-4AD3-88D0-26B4C4BF06E3}&lt;Citation&gt;&lt;Group&gt;&lt;References&gt;&lt;Item&gt;&lt;ID&gt;470&lt;/ID&gt;&lt;UID&gt;{F72E9833-C8A7-44D7-A573-4518629441FD}&lt;/UID&gt;&lt;Title&gt;Functional aspects of meningeal lymphatics in ageing and Alzheimer&amp;apos;s disease&lt;/Title&gt;&lt;Template&gt;Journal Article&lt;/Template&gt;&lt;Star&gt;0&lt;/Star&gt;&lt;Tag&gt;0&lt;/Tag&gt;&lt;Author&gt;Da, Mesquita S; Louveau, A; Vaccari, A; Smirnov, I; Cornelison, R C; Kingsmore, K M; Contarino, C; Onengut-Gumuscu, S; Farber, E; Raper, D; Viar, K E; Powell, R D; Baker, W; Dabhi, N; Bai, R; Cao, R; Hu, S; Rich, S S; Munson, J M; Lopes, M B; Overall, C C; Acton, S T; Kipnis, J&lt;/Author&gt;&lt;Year&gt;2018&lt;/Year&gt;&lt;Details&gt;&lt;_accession_num&gt;30046111&lt;/_accession_num&gt;&lt;_author_adr&gt;Center for Brain Immunology and Glia (BIG), University of Virginia, Charlottesville, VA, USA. sd8tf@virginia.edu.; Department of Neuroscience, University of Virginia, Charlottesville, VA, USA. sd8tf@virginia.edu.; Center for Brain Immunology and Glia (BIG), University of Virginia, Charlottesville, VA, USA.; Department of Neuroscience, University of Virginia, Charlottesville, VA, USA.; Virginia Image and Video Analysis Laboratory, Department of Electrical and Computer Engineering, University of Virginia, Charlottesville, VA, USA.; Department of Biomedical Engineering, University of Virginia, Charlottesville, VA, USA.; Center for Brain Immunology and Glia (BIG), University of Virginia, Charlottesville, VA, USA.; Department of Neuroscience, University of Virginia, Charlottesville, VA, USA.; Department of Biomedical Engineering, University of Virginia, Charlottesville, VA, USA.; Department of Biomedical Engineering, University of Virginia, Charlottesville, VA, USA.; Center for Brain Immunology and Glia (BIG), University of Virginia, Charlottesville, VA, USA.; Department of Neuroscience, University of Virginia, Charlottesville, VA, USA.; Department of Mathematics, University of Trento, Povo, Italy.; Center for Public Health Genomics, University of Virginia, Charlottesville, VA, USA.; Center for Public Health Genomics, University of Virginia, Charlottesville, VA, USA.; Center for Brain Immunology and Glia (BIG), University of Virginia, Charlottesville, VA, USA.; Department of Neuroscience, University of Virginia, Charlottesville, VA, USA.; Department of Neurosurgery, University of Virginia Health System, Charlottesville, VA, USA.; Center for Brain Immunology and Glia (BIG), University of Virginia, Charlottesville, VA, USA.; Department of Neuroscience, University of Virginia, Charlottesville, VA, USA.; Center for Brain Immunology and Glia (BIG), University of Virginia, Charlottesville, VA, USA.; Department of Neuroscience, University of Virginia, Charlottesville, VA, USA.; Center for Brain Immunology and Glia (BIG), University of Virginia, Charlottesville, VA, USA.; Department of Neuroscience, University of Virginia, Charlottesville, VA, USA.; Center for Brain Immunology and Glia (BIG), University of Virginia, Charlottesville, VA, USA.; Department of Neuroscience, University of Virginia, Charlottesville, VA, USA.; Center for Brain Immunology and Glia (BIG), University of Virginia, Charlottesville, VA, USA.; Department of Neuroscience, University of Virginia, Charlottesville, VA, USA.; Department of Biomedical Engineering, University of Virginia, Charlottesville, VA, USA.; Department of Biomedical Engineering, University of Virginia, Charlottesville, VA, USA.; Center for Public Health Genomics, University of Virginia, Charlottesville, VA, USA.; Department of Biomedical Engineering, University of Virginia, Charlottesville, VA, USA.; Department of Biomedical Engineering and Mechanics, College of Engineering, Virginia Tech, Blacksburg, VA, USA.; Department of Pathology, University of Virginia, Charlottesville, VA, USA.; Center for Brain Immunology and Glia (BIG), University of Virginia, Charlottesville, VA, USA.; Department of Neuroscience, University of Virginia, Charlottesville, VA, USA.; Virginia Image and Video Analysis Laboratory, Department of Electrical and Computer Engineering, University of Virginia, Charlottesville, VA, USA.; Department of Biomedical Engineering, University of Virginia, Charlottesville, VA, USA.; Center for Brain Immunology and Glia (BIG), University of Virginia, Charlottesville, VA, USA. kipnis@virginia.edu.; Department of Neuroscience, University of Virginia, Charlottesville, VA, USA. kipnis@virginia.edu.&lt;/_author_adr&gt;&lt;_collection_scope&gt;SCI;SCIE&lt;/_collection_scope&gt;&lt;_created&gt;63169486&lt;/_created&gt;&lt;_date&gt;2018-08-01&lt;/_date&gt;&lt;_date_display&gt;2018 Aug&lt;/_date_display&gt;&lt;_db_updated&gt;PubMed&lt;/_db_updated&gt;&lt;_doi&gt;10.1038/s41586-018-0368-8&lt;/_doi&gt;&lt;_impact_factor&gt;  43.070&lt;/_impact_factor&gt;&lt;_isbn&gt;1476-4687 (Electronic); 0028-0836 (Linking)&lt;/_isbn&gt;&lt;_issue&gt;7717&lt;/_issue&gt;&lt;_journal&gt;Nature&lt;/_journal&gt;&lt;_keywords&gt;Aging/*cerebrospinal fluid/pathology; Alzheimer Disease/*cerebrospinal fluid/pathology/*physiopathology; Amyloid/metabolism; Amyloid beta-Peptides/metabolism; Animals; Brain/metabolism; Cognition; Cognition Disorders/physiopathology/therapy; Disease Models, Animal; Extracellular Fluid/metabolism; Female; Homeostasis; Humans; Lymph Nodes/metabolism; Lymphatic Vessels/pathology/*physiopathology; Male; Meninges/pathology/*physiopathology; Mice; Mice, Transgenic; Perfusion&lt;/_keywords&gt;&lt;_language&gt;eng&lt;/_language&gt;&lt;_modified&gt;63169486&lt;/_modified&gt;&lt;_pages&gt;185-191&lt;/_pages&gt;&lt;_tertiary_title&gt;Nature&lt;/_tertiary_title&gt;&lt;_type_work&gt;Journal Article; Research Support, N.I.H., Extramural&lt;/_type_work&gt;&lt;_url&gt;http://www.ncbi.nlm.nih.gov/entrez/query.fcgi?cmd=Retrieve&amp;amp;db=pubmed&amp;amp;dopt=Abstract&amp;amp;list_uids=30046111&amp;amp;query_hl=1&lt;/_url&gt;&lt;_volume&gt;560&lt;/_volume&gt;&lt;/Details&gt;&lt;Extra&gt;&lt;DBUID&gt;{F96A950B-833F-4880-A151-76DA2D6A2879}&lt;/DBUID&gt;&lt;/Extra&gt;&lt;/Item&gt;&lt;/References&gt;&lt;/Group&gt;&lt;Group&gt;&lt;References&gt;&lt;Item&gt;&lt;ID&gt;696&lt;/ID&gt;&lt;UID&gt;{E2765E6B-108D-43C1-A66C-382CE321D1C4}&lt;/UID&gt;&lt;Title&gt;CNS lymphatic drainage and neuroinflammation are regulated by meningeal lymphatic vasculature&lt;/Title&gt;&lt;Template&gt;Journal Article&lt;/Template&gt;&lt;Star&gt;0&lt;/Star&gt;&lt;Tag&gt;0&lt;/Tag&gt;&lt;Author&gt;Louveau, A; Herz, J; Alme, M N; Salvador, A F; Dong, M Q; Viar, K E; Herod, S G; Knopp, J; Setliff, J C; Lupi, A L; Da, Mesquita S; Frost, E L; Gaultier, A; Harris, T H; Cao, R; Hu, S; Lukens, J R; Smirnov, I; Overall, C C; Oliver, G; Kipnis, J&lt;/Author&gt;&lt;Year&gt;2018&lt;/Year&gt;&lt;Details&gt;&lt;_accession_num&gt;30224810&lt;/_accession_num&gt;&lt;_author_adr&gt;Center for Brain Immunology and Glia (BIG), University of Virginia, Charlottesville, VA, USA. al2hk@virginia.edu.; Department of Neuroscience, University of Virginia, Charlottesville, VA, USA. al2hk@virginia.edu.; Center for Brain Immunology and Glia (BIG), University of Virginia, Charlottesville, VA, USA.; Department of Neuroscience, University of Virginia, Charlottesville, VA, USA.; Center for Brain Immunology and Glia (BIG), University of Virginia, Charlottesville, VA, USA.; Department of Neuroscience, University of Virginia, Charlottesville, VA, USA.; Department of Clinical Medicine, University of Bergen, Bergen, Norway.; Department of Neurology, Haukeland University Hospital, Bergen, Norway.; Center for Brain Immunology and Glia (BIG), University of Virginia, Charlottesville, VA, USA.; Department of Neuroscience, University of Virginia, Charlottesville, VA, USA.; Neuroscience Graduate Program, University of Virginia, Charlottesville, VA, USA.; Center for Brain Immunology and Glia (BIG), University of Virginia, Charlottesville, VA, USA.; Department of Neuroscience, University of Virginia, Charlottesville, VA, USA.; Center for Brain Immunology and Glia (BIG), University of Virginia, Charlottesville, VA, USA.; Department of Neuroscience, University of Virginia, Charlottesville, VA, USA.; Center for Brain Immunology and Glia (BIG), University of Virginia, Charlottesville, VA, USA.; Department of Neuroscience, University of Virginia, Charlottesville, VA, USA.; Center for Brain Immunology and Glia (BIG), University of Virginia, Charlottesville, VA, USA.; Department of Neuroscience, University of Virginia, Charlottesville, VA, USA.; Center for Brain Immunology and Glia (BIG), University of Virginia, Charlottesville, VA, USA.; Department of Neuroscience, University of Virginia, Charlottesville, VA, USA.; Center for Brain Immunology and Glia (BIG), University of Virginia, Charlottesville, VA, USA.; Department of Neuroscience, University of Virginia, Charlottesville, VA, USA.; Center for Brain Immunology and Glia (BIG), University of Virginia, Charlottesville, VA, USA.; Department of Neuroscience, University of Virginia, Charlottesville, VA, USA.; Center for Brain Immunology and Glia (BIG), University of Virginia, Charlottesville, VA, USA.; Department of Neuroscience, University of Virginia, Charlottesville, VA, USA.; Center for Brain Immunology and Glia (BIG), University of Virginia, Charlottesville, VA, USA.; Department of Neuroscience, University of Virginia, Charlottesville, VA, USA.; Center for Brain Immunology and Glia (BIG), University of Virginia, Charlottesville, VA, USA.; Department of Neuroscience, University of Virginia, Charlottesville, VA, USA.; Department of Biomedical Engineering, University of Virginia, Charlottesville, VA, USA.; Department of Biomedical Engineering, University of Virginia, Charlottesville, VA, USA.; Center for Brain Immunology and Glia (BIG), University of Virginia, Charlottesville, VA, USA.; Department of Neuroscience, University of Virginia, Charlottesville, VA, USA.; Center for Brain Immunology and Glia (BIG), University of Virginia, Charlottesville, VA, USA.; Department of Neuroscience, University of Virginia, Charlottesville, VA, USA.; Center for Brain Immunology and Glia (BIG), University of Virginia, Charlottesville, VA, USA.; Department of Neuroscience, University of Virginia, Charlottesville, VA, USA.; Northwestern University, Feinberg School of Medicine, Chicago, IL, USA.; Center for Brain Immunology and Glia (BIG), University of Virginia, Charlottesville, VA, USA. kipnis@virginia.edu.; Department of Neuroscience, University of Virginia, Charlottesville, VA, USA. kipnis@virginia.edu.; Neuroscience Graduate Program, University of Virginia, Charlottesville, VA, USA.  kipnis@virginia.edu.; Gutenberg Research Fellowship Group of Neuroimmunology, Focus Program Translational Neuroscience (FTN) and Immunotherapy (FZI), Rhine Main Neuroscience Network (rmn(2)), University Medical Center of the Johannes Gutenberg University  Mainz, Mainz, Germany. kipnis@virginia.edu.&lt;/_author_adr&gt;&lt;_collection_scope&gt;SCI;SCIE&lt;/_collection_scope&gt;&lt;_created&gt;63229842&lt;/_created&gt;&lt;_date&gt;2018-10-01&lt;/_date&gt;&lt;_date_display&gt;2018 Oct&lt;/_date_display&gt;&lt;_db_updated&gt;PubMed&lt;/_db_updated&gt;&lt;_doi&gt;10.1038/s41593-018-0227-9&lt;/_doi&gt;&lt;_impact_factor&gt;  21.126&lt;/_impact_factor&gt;&lt;_isbn&gt;1546-1726 (Electronic); 1097-6256 (Linking)&lt;/_isbn&gt;&lt;_issue&gt;10&lt;/_issue&gt;&lt;_journal&gt;Nat Neurosci&lt;/_journal&gt;&lt;_keywords&gt;Animals; Antigens, CD/genetics/metabolism; Central Nervous System/immunology/pathology; Dendritic Cells/pathology; Disease Models, Animal; Encephalitis/chemically induced/*pathology/*physiopathology; Green Fluorescent Proteins/genetics/metabolism; Homeodomain Proteins/genetics/metabolism; Lymph Nodes/pathology; Lymphatic Vessels/*physiology; Male; Meninges/*pathology; Mice; Mice, Inbred C57BL; Mice, Transgenic; MicroRNAs/genetics/metabolism; Myelin-Oligodendrocyte Glycoprotein/toxicity; Peptide Fragments/toxicity; Photosensitizing Agents/pharmacology; Receptors, CCR7/deficiency/genetics; Spleen/pathology; T-Lymphocytes/physiology; Tumor Suppressor Proteins/genetics/metabolism&lt;/_keywords&gt;&lt;_language&gt;eng&lt;/_language&gt;&lt;_modified&gt;63229842&lt;/_modified&gt;&lt;_pages&gt;1380-1391&lt;/_pages&gt;&lt;_tertiary_title&gt;Nature neuroscience&lt;/_tertiary_title&gt;&lt;_type_work&gt;Journal Article; Research Support, N.I.H., Extramural; Research Support, Non-U.S. Gov&amp;apos;t&lt;/_type_work&gt;&lt;_url&gt;http://www.ncbi.nlm.nih.gov/entrez/query.fcgi?cmd=Retrieve&amp;amp;db=pubmed&amp;amp;dopt=Abstract&amp;amp;list_uids=30224810&amp;amp;query_hl=1&lt;/_url&gt;&lt;_volume&gt;21&lt;/_volume&gt;&lt;/Details&gt;&lt;Extra&gt;&lt;DBUID&gt;{F96A950B-833F-4880-A151-76DA2D6A2879}&lt;/DBUID&gt;&lt;/Extra&gt;&lt;/Item&gt;&lt;/References&gt;&lt;/Group&gt;&lt;/Citation&gt;_x000a_"/>
    <w:docVar w:name="NE.Ref{249685CB-46FF-4A96-BA89-90AF2EE086E0}" w:val=" ADDIN NE.Ref.{249685CB-46FF-4A96-BA89-90AF2EE086E0}&lt;Citation&gt;&lt;Group&gt;&lt;References&gt;&lt;Item&gt;&lt;ID&gt;738&lt;/ID&gt;&lt;UID&gt;{1692C8FD-8788-4133-9D60-3E1954868DDE}&lt;/UID&gt;&lt;Title&gt;B cells in autoimmune and neurodegenerative central nervous system diseases&lt;/Title&gt;&lt;Template&gt;Journal Article&lt;/Template&gt;&lt;Star&gt;0&lt;/Star&gt;&lt;Tag&gt;0&lt;/Tag&gt;&lt;Author&gt;Sabatino, JJ Jr; Probstel, A K; Zamvil, S S&lt;/Author&gt;&lt;Year&gt;2019&lt;/Year&gt;&lt;Details&gt;&lt;_accession_num&gt;31712781&lt;/_accession_num&gt;&lt;_author_adr&gt;Department of Neurology, University of California, San Francisco, San Francisco,  CA, USA.; Weill Institute for Neurosciences, University of California, San Francisco, San Francisco, CA, USA.; Department of Neurology, University of California, San Francisco, San Francisco,  CA, USA.; Weill Institute for Neurosciences, University of California, San Francisco, San Francisco, CA, USA.; Neurologic Clinic and Policlinic, Departments of Medicine and Biomedicine, University Hospital Basel and University of Basel, Basel, Switzerland.; Department of Neurology, University of California, San Francisco, San Francisco,  CA, USA. zamvil@ucsf.neuroimmunol.org.; Weill Institute for Neurosciences, University of California, San Francisco, San Francisco, CA, USA. zamvil@ucsf.neuroimmunol.org.; Program in Immunology, University of California, San Francisco, San Francisco, CA, USA. zamvil@ucsf.neuroimmunol.org.&lt;/_author_adr&gt;&lt;_collection_scope&gt;SCI;SCIE&lt;/_collection_scope&gt;&lt;_created&gt;63229966&lt;/_created&gt;&lt;_date&gt;2019-12-01&lt;/_date&gt;&lt;_date_display&gt;2019 Dec&lt;/_date_display&gt;&lt;_db_updated&gt;PubMed&lt;/_db_updated&gt;&lt;_doi&gt;10.1038/s41583-019-0233-2&lt;/_doi&gt;&lt;_impact_factor&gt;  33.654&lt;/_impact_factor&gt;&lt;_isbn&gt;1471-0048 (Electronic); 1471-003X (Linking)&lt;/_isbn&gt;&lt;_issue&gt;12&lt;/_issue&gt;&lt;_journal&gt;Nat Rev Neurosci&lt;/_journal&gt;&lt;_keywords&gt;Adaptive Immunity/drug effects/immunology; Animals; Autoimmune Diseases/drug therapy/*immunology/pathology; B-Lymphocytes/drug effects/*immunology/pathology; Central Nervous System Diseases/drug therapy/*immunology/pathology; Humans; Immunosuppressive Agents/pharmacology/therapeutic use; Neurodegenerative Diseases/drug therapy/*immunology/pathology&lt;/_keywords&gt;&lt;_language&gt;eng&lt;/_language&gt;&lt;_modified&gt;63229967&lt;/_modified&gt;&lt;_pages&gt;728-745&lt;/_pages&gt;&lt;_tertiary_title&gt;Nature reviews. Neuroscience&lt;/_tertiary_title&gt;&lt;_type_work&gt;Journal Article; Research Support, N.I.H., Extramural; Research Support, Non-U.S. Gov&amp;apos;t; Review&lt;/_type_work&gt;&lt;_url&gt;http://www.ncbi.nlm.nih.gov/entrez/query.fcgi?cmd=Retrieve&amp;amp;db=pubmed&amp;amp;dopt=Abstract&amp;amp;list_uids=31712781&amp;amp;query_hl=1&lt;/_url&gt;&lt;_volume&gt;20&lt;/_volume&gt;&lt;/Details&gt;&lt;Extra&gt;&lt;DBUID&gt;{F96A950B-833F-4880-A151-76DA2D6A2879}&lt;/DBUID&gt;&lt;/Extra&gt;&lt;/Item&gt;&lt;/References&gt;&lt;/Group&gt;&lt;Group&gt;&lt;References&gt;&lt;Item&gt;&lt;ID&gt;732&lt;/ID&gt;&lt;UID&gt;{729123EC-B670-4DA7-A2B8-62EBF60DBC92}&lt;/UID&gt;&lt;Title&gt;Reassessing B cell contributions in multiple sclerosis&lt;/Title&gt;&lt;Template&gt;Journal Article&lt;/Template&gt;&lt;Star&gt;0&lt;/Star&gt;&lt;Tag&gt;0&lt;/Tag&gt;&lt;Author&gt;Li, R; Patterson, K R; Bar-Or, A&lt;/Author&gt;&lt;Year&gt;2018&lt;/Year&gt;&lt;Details&gt;&lt;_accession_num&gt;29925992&lt;/_accession_num&gt;&lt;_author_adr&gt;Center for Neuroinflammation and Experimental Therapeutics (CNET) and Department  of Neurology, Perelman School of Medicine, University of Pennsylvania, Philadelphia, PA, USA.; Center for Neuroinflammation and Experimental Therapeutics (CNET) and Department  of Neurology, Perelman School of Medicine, University of Pennsylvania, Philadelphia, PA, USA.; Center for Neuroinflammation and Experimental Therapeutics (CNET) and Department  of Neurology, Perelman School of Medicine, University of Pennsylvania, Philadelphia, PA, USA. amitbar@upenn.edu.&lt;/_author_adr&gt;&lt;_collection_scope&gt;SCI;SCIE&lt;/_collection_scope&gt;&lt;_created&gt;63229948&lt;/_created&gt;&lt;_date&gt;2018-07-01&lt;/_date&gt;&lt;_date_display&gt;2018 Jul&lt;/_date_display&gt;&lt;_db_updated&gt;PubMed&lt;/_db_updated&gt;&lt;_doi&gt;10.1038/s41590-018-0135-x&lt;/_doi&gt;&lt;_impact_factor&gt;  20.479&lt;/_impact_factor&gt;&lt;_isbn&gt;1529-2916 (Electronic); 1529-2908 (Linking)&lt;/_isbn&gt;&lt;_issue&gt;7&lt;/_issue&gt;&lt;_journal&gt;Nat Immunol&lt;/_journal&gt;&lt;_keywords&gt;Antibody Formation; Antigen Presentation; B-Lymphocytes/*immunology; Central Nervous System; Cytokines/biosynthesis; Humans; Immune Tolerance; Multiple Sclerosis/*immunology/therapy; T-Lymphocytes/immunology&lt;/_keywords&gt;&lt;_language&gt;eng&lt;/_language&gt;&lt;_modified&gt;63229948&lt;/_modified&gt;&lt;_pages&gt;696-707&lt;/_pages&gt;&lt;_tertiary_title&gt;Nature immunology&lt;/_tertiary_title&gt;&lt;_type_work&gt;Journal Article; Review&lt;/_type_work&gt;&lt;_url&gt;http://www.ncbi.nlm.nih.gov/entrez/query.fcgi?cmd=Retrieve&amp;amp;db=pubmed&amp;amp;dopt=Abstract&amp;amp;list_uids=29925992&amp;amp;query_hl=1&lt;/_url&gt;&lt;_volume&gt;19&lt;/_volume&gt;&lt;/Details&gt;&lt;Extra&gt;&lt;DBUID&gt;{F96A950B-833F-4880-A151-76DA2D6A2879}&lt;/DBUID&gt;&lt;/Extra&gt;&lt;/Item&gt;&lt;/References&gt;&lt;/Group&gt;&lt;/Citation&gt;_x000a_"/>
    <w:docVar w:name="NE.Ref{27B930B5-A0D6-4DEA-8F28-DFC15E211023}" w:val=" ADDIN NE.Ref.{27B930B5-A0D6-4DEA-8F28-DFC15E211023}&lt;Citation&gt;&lt;Group&gt;&lt;References&gt;&lt;Item&gt;&lt;ID&gt;740&lt;/ID&gt;&lt;UID&gt;{5E993047-1E57-4787-B0C4-634062624479}&lt;/UID&gt;&lt;Title&gt;Post-chemotherapy cognitive impairment in patients with B-cell non-Hodgkin lymphoma: a first comprehensive approach to determine cognitive impairments after treatment with rituximab, cyclophosphamide, doxorubicin, vincristine and prednisone or rituximab and bendamustine&lt;/Title&gt;&lt;Template&gt;Journal Article&lt;/Template&gt;&lt;Star&gt;0&lt;/Star&gt;&lt;Tag&gt;0&lt;/Tag&gt;&lt;Author&gt;Zimmer, P; Mierau, A; Bloch, W; Struder, H K; Hulsdunker, T; Schenk, A; Fiebig, L; Baumann, F T; Hahn, M; Reinart, N; Hallek, M; Elter, T&lt;/Author&gt;&lt;Year&gt;2015&lt;/Year&gt;&lt;Details&gt;&lt;_accession_num&gt;24738942&lt;/_accession_num&gt;&lt;_author_adr&gt;Department for Molecular and Cellular Sports Medicine.&lt;/_author_adr&gt;&lt;_created&gt;63229971&lt;/_created&gt;&lt;_date&gt;2015-02-01&lt;/_date&gt;&lt;_date_display&gt;2015 Feb&lt;/_date_display&gt;&lt;_db_updated&gt;PubMed&lt;/_db_updated&gt;&lt;_doi&gt;10.3109/10428194.2014.915546&lt;/_doi&gt;&lt;_isbn&gt;1029-2403 (Electronic); 1026-8022 (Linking)&lt;/_isbn&gt;&lt;_issue&gt;2&lt;/_issue&gt;&lt;_journal&gt;Leuk Lymphoma&lt;/_journal&gt;&lt;_keywords&gt;Aged; Antineoplastic Combined Chemotherapy Protocols/adverse effects/*therapeutic use; B-Lymphocytes/*drug effects/pathology; Bendamustine Hydrochloride/administration &amp;amp;amp; dosage/adverse effects; Brain-Derived Neurotrophic Factor/blood; Cognition Disorders/chemically induced/*diagnosis; Cyclophosphamide/administration &amp;amp;amp; dosage/adverse effects; Doxorubicin/administration &amp;amp;amp; dosage/adverse effects; Electroencephalography; Fatigue/chemically induced/diagnosis; Female; Humans; Interleukin-6/blood; Lymphoma, Non-Hodgkin/blood/*drug therapy; Male; Middle Aged; Outcome Assessment, Health Care/methods; Prednisone/administration &amp;amp;amp; dosage/adverse effects; Rituximab/administration &amp;amp;amp; dosage/adverse effects; Surveys and Questionnaires; Vincristine/administration &amp;amp;amp; dosage/adverse effectsChemobrain; EEG; cognition; cytokines; fatigue; lymphoma&lt;/_keywords&gt;&lt;_language&gt;eng&lt;/_language&gt;&lt;_modified&gt;63229971&lt;/_modified&gt;&lt;_pages&gt;347-52&lt;/_pages&gt;&lt;_tertiary_title&gt;Leukemia &amp;amp;amp; lymphoma&lt;/_tertiary_title&gt;&lt;_type_work&gt;Journal Article; Research Support, Non-U.S. Gov&amp;apos;t&lt;/_type_work&gt;&lt;_url&gt;http://www.ncbi.nlm.nih.gov/entrez/query.fcgi?cmd=Retrieve&amp;amp;db=pubmed&amp;amp;dopt=Abstract&amp;amp;list_uids=24738942&amp;amp;query_hl=1&lt;/_url&gt;&lt;_volume&gt;56&lt;/_volume&gt;&lt;/Details&gt;&lt;Extra&gt;&lt;DBUID&gt;{F96A950B-833F-4880-A151-76DA2D6A2879}&lt;/DBUID&gt;&lt;/Extra&gt;&lt;/Item&gt;&lt;/References&gt;&lt;/Group&gt;&lt;Group&gt;&lt;References&gt;&lt;Item&gt;&lt;ID&gt;741&lt;/ID&gt;&lt;UID&gt;{C13069BC-8FDD-499A-B72B-B096DB5D4702}&lt;/UID&gt;&lt;Title&gt;Early manifestation of mild cognitive impairment in B-cell non-Hodgkin&amp;apos;s lymphoma patients receiving CHOP and rituximab-CHOP chemotherapy&lt;/Title&gt;&lt;Template&gt;Journal Article&lt;/Template&gt;&lt;Star&gt;0&lt;/Star&gt;&lt;Tag&gt;0&lt;/Tag&gt;&lt;Author&gt;Khan, M A; Garg, K; Bhurani, D; Agarwal, N B&lt;/Author&gt;&lt;Year&gt;2016&lt;/Year&gt;&lt;Details&gt;&lt;_accession_num&gt;27568029&lt;/_accession_num&gt;&lt;_author_adr&gt;Centre for Translational &amp;amp;amp; Clinical Research, Faculty of Science, Jamia Hamdard (Hamdard University), Hamdard Nagar, New Delhi, 110062, India.; Department of Pharmaceutical Medicine, Faculty of Pharmacy, Jamia Hamdard, Hamdard Nagar, New Delhi, 110062, India.; Department of Pharmacology, Vardhman Mahavir Medical College and Safdarjung Hospital, New Delhi, 110029, India.; Chief of Haemato-Oncology Services &amp;amp;amp; Senior Bone Marrow Transplant Specialist, Rajiv Gandhi Cancer Institute &amp;amp;amp; Research Centre, Rohini, New Delhi, 110085, India.; Centre for Translational &amp;amp;amp; Clinical Research, Faculty of Science, Jamia Hamdard (Hamdard University), Hamdard Nagar, New Delhi, 110062, India. nidhi.bharal@gmail.com.&lt;/_author_adr&gt;&lt;_created&gt;63229972&lt;/_created&gt;&lt;_date&gt;2016-12-01&lt;/_date&gt;&lt;_date_display&gt;2016 Dec&lt;/_date_display&gt;&lt;_db_updated&gt;PubMed&lt;/_db_updated&gt;&lt;_doi&gt;10.1007/s00210-016-1290-y&lt;/_doi&gt;&lt;_impact_factor&gt;   2.050&lt;/_impact_factor&gt;&lt;_isbn&gt;1432-1912 (Electronic); 0028-1298 (Linking)&lt;/_isbn&gt;&lt;_issue&gt;12&lt;/_issue&gt;&lt;_journal&gt;Naunyn Schmiedebergs Arch Pharmacol&lt;/_journal&gt;&lt;_keywords&gt;Adult; Antineoplastic Combined Chemotherapy Protocols/*adverse effects; Biomarkers/blood; Cognition/*drug effects; Cognitive Dysfunction/blood/*chemically induced/diagnosis/psychology; Cyclophosphamide/adverse effects; Cytokines/blood; Doxorubicin/adverse effects; Female; Humans; Inflammation Mediators/blood; Longitudinal Studies; Lymphoma, Large B-Cell, Diffuse/diagnosis/*drug therapy; Male; Middle Aged; Prednisolone/adverse effects; Prospective Studies; Rituximab/*adverse effects; Thyroid Hormones/blood; Time Factors; Treatment Outcome; Vincristine/adverse effects*B-cell NHL; *CHOP; *Cognitive impairment; *Pro-inflammatory cytokines; *R-CHOP; *Thyroid function&lt;/_keywords&gt;&lt;_language&gt;eng&lt;/_language&gt;&lt;_modified&gt;63229972&lt;/_modified&gt;&lt;_pages&gt;1253-1265&lt;/_pages&gt;&lt;_tertiary_title&gt;Naunyn-Schmiedeberg&amp;apos;s archives of pharmacology&lt;/_tertiary_title&gt;&lt;_type_work&gt;Clinical Trial; Comparative Study; Journal Article&lt;/_type_work&gt;&lt;_url&gt;http://www.ncbi.nlm.nih.gov/entrez/query.fcgi?cmd=Retrieve&amp;amp;db=pubmed&amp;amp;dopt=Abstract&amp;amp;list_uids=27568029&amp;amp;query_hl=1&lt;/_url&gt;&lt;_volume&gt;389&lt;/_volume&gt;&lt;/Details&gt;&lt;Extra&gt;&lt;DBUID&gt;{F96A950B-833F-4880-A151-76DA2D6A2879}&lt;/DBUID&gt;&lt;/Extra&gt;&lt;/Item&gt;&lt;/References&gt;&lt;/Group&gt;&lt;/Citation&gt;_x000a_"/>
    <w:docVar w:name="NE.Ref{2A934EA2-5C1D-4AF5-B5DC-D2C2657D381A}" w:val=" ADDIN NE.Ref.{2A934EA2-5C1D-4AF5-B5DC-D2C2657D381A}&lt;Citation&gt;&lt;Group&gt;&lt;References&gt;&lt;Item&gt;&lt;ID&gt;790&lt;/ID&gt;&lt;UID&gt;{392FACE2-9A49-4CBD-BFD8-B6546C73438D}&lt;/UID&gt;&lt;Title&gt;Regulatory B cells: origin, phenotype, and function&lt;/Title&gt;&lt;Template&gt;Journal Article&lt;/Template&gt;&lt;Star&gt;0&lt;/Star&gt;&lt;Tag&gt;0&lt;/Tag&gt;&lt;Author&gt;Rosser, E C; Mauri, C&lt;/Author&gt;&lt;Year&gt;2015&lt;/Year&gt;&lt;Details&gt;&lt;_accession_num&gt;25902480&lt;/_accession_num&gt;&lt;_author_adr&gt;Centre for Rheumatology Research, Division of Medicine, University College London, 5 University Street, London WC1E 6JF, UK.; Centre for Rheumatology Research, Division of Medicine, University College London, 5 University Street, London WC1E 6JF, UK. Electronic address: c.mauri@ucl.ac.uk.&lt;/_author_adr&gt;&lt;_date_display&gt;2015 Apr 21&lt;/_date_display&gt;&lt;_date&gt;2015-04-21&lt;/_date&gt;&lt;_doi&gt;10.1016/j.immuni.2015.04.005&lt;/_doi&gt;&lt;_isbn&gt;1097-4180 (Electronic); 1074-7613 (Linking)&lt;/_isbn&gt;&lt;_issue&gt;4&lt;/_issue&gt;&lt;_journal&gt;Immunity&lt;/_journal&gt;&lt;_language&gt;eng&lt;/_language&gt;&lt;_ori_publication&gt;Copyright (c) 2015 Elsevier Inc. All rights reserved.&lt;/_ori_publication&gt;&lt;_pages&gt;607-12&lt;/_pages&gt;&lt;_subject_headings&gt;B-Lymphocytes, Regulatory/classification/*immunology/pathology; Cell Differentiation; Cell Lineage/*immunology; Cell Proliferation; Dendritic Cells/immunology/pathology; Humans; *Immune Tolerance; *Immunity, Innate; Inflammation/immunology/pathology; Interleukin-10/biosynthesis/immunology; Interleukins/biosynthesis/immunology; Killer Cells, Natural/immunology/pathology; Phenotype; T-Lymphocytes/immunology/pathology; Transforming Growth Factor beta/biosynthesis/immunology&lt;/_subject_headings&gt;&lt;_tertiary_title&gt;Immunity&lt;/_tertiary_title&gt;&lt;_type_work&gt;Journal Article; Research Support, Non-U.S. Gov&amp;apos;t; Review&lt;/_type_work&gt;&lt;_url&gt;http://www.ncbi.nlm.nih.gov/entrez/query.fcgi?cmd=Retrieve&amp;amp;db=pubmed&amp;amp;dopt=Abstract&amp;amp;list_uids=25902480&amp;amp;query_hl=1&lt;/_url&gt;&lt;_volume&gt;42&lt;/_volume&gt;&lt;_created&gt;63845260&lt;/_created&gt;&lt;_modified&gt;63845260&lt;/_modified&gt;&lt;_db_updated&gt;PubMed&lt;/_db_updated&gt;&lt;_impact_factor&gt;  22.553&lt;/_impact_factor&gt;&lt;_collection_scope&gt;SCI;SCIE&lt;/_collection_scope&gt;&lt;/Details&gt;&lt;Extra&gt;&lt;DBUID&gt;{F96A950B-833F-4880-A151-76DA2D6A2879}&lt;/DBUID&gt;&lt;/Extra&gt;&lt;/Item&gt;&lt;/References&gt;&lt;/Group&gt;&lt;/Citation&gt;_x000a_"/>
    <w:docVar w:name="NE.Ref{2D25BFD6-CADD-41F6-895E-07E9DFBF3D76}" w:val=" ADDIN NE.Ref.{2D25BFD6-CADD-41F6-895E-07E9DFBF3D76}&lt;Citation&gt;&lt;Group&gt;&lt;References&gt;&lt;Item&gt;&lt;ID&gt;726&lt;/ID&gt;&lt;UID&gt;{754AFF27-FF1E-4481-BEB2-3B1BB0611D9C}&lt;/UID&gt;&lt;Title&gt;IL-35-producing B cells are critical regulators of immunity during autoimmune and infectious diseases&lt;/Title&gt;&lt;Template&gt;Journal Article&lt;/Template&gt;&lt;Star&gt;0&lt;/Star&gt;&lt;Tag&gt;0&lt;/Tag&gt;&lt;Author&gt;Shen, P; Roch, T; Lampropoulou, V; O&amp;apos;Connor, R A; Stervbo, U; Hilgenberg, E; Ries, S; Dang, V D; Jaimes, Y; Daridon, C; Li, R; Jouneau, L; Boudinot, P; Wilantri, S; Sakwa, I; Miyazaki, Y; Leech, M D; McPherson, R C; Wirtz, S; Neurath, M; Hoehlig, K; Meinl, E; Grutzkau, A; Grun, J R; Horn, K; Kuhl, A A; Dorner, T; Bar-Or, A; Kaufmann, SHE; Anderton, S M; Fillatreau, S&lt;/Author&gt;&lt;Year&gt;2014&lt;/Year&gt;&lt;Details&gt;&lt;_accession_num&gt;24572363&lt;/_accession_num&gt;&lt;_author_adr&gt;Deutsches Rheuma-Forschungszentrum, a Leibniz Institute, Chariteplatz 1, 10117 Berlin, Germany.; Deutsches Rheuma-Forschungszentrum, a Leibniz Institute, Chariteplatz 1, 10117 Berlin, Germany.; Deutsches Rheuma-Forschungszentrum, a Leibniz Institute, Chariteplatz 1, 10117 Berlin, Germany.; University of Edinburgh, Centre for Inflammation Research and Centre for Multiple Sclerosis Research, Queen&amp;apos;s Medical Research Institute, Edinburgh, EH16 4TJ, United Kingdom.; Deutsches Rheuma-Forschungszentrum, a Leibniz Institute, Chariteplatz 1, 10117 Berlin, Germany.; Deutsches Rheuma-Forschungszentrum, a Leibniz Institute, Chariteplatz 1, 10117 Berlin, Germany.; Deutsches Rheuma-Forschungszentrum, a Leibniz Institute, Chariteplatz 1, 10117 Berlin, Germany.; Deutsches Rheuma-Forschungszentrum, a Leibniz Institute, Chariteplatz 1, 10117 Berlin, Germany.; Deutsches Rheuma-Forschungszentrum, a Leibniz Institute, Chariteplatz 1, 10117 Berlin, Germany.; Deutsches Rheuma-Forschungszentrum, a Leibniz Institute, Chariteplatz 1, 10117 Berlin, Germany.; Charite Universitatsmedizin Berlin, CC12, Dept. Medicine/Rheumatology and Clinical Immunology, 10117 Berlin, Germany.; Neuroimmunology Unit, Montreal Neurological Institute and Hospital, McGill University, Montreal, Quebec, H3A2B4, Canada.; Virologie et Immunologie Moleculaires, INRA, 78352 Jouy-en-Josas, France.; Virologie et Immunologie Moleculaires, INRA, 78352 Jouy-en-Josas, France.; Deutsches Rheuma-Forschungszentrum, a Leibniz Institute, Chariteplatz 1, 10117 Berlin, Germany.; Deutsches Rheuma-Forschungszentrum, a Leibniz Institute, Chariteplatz 1, 10117 Berlin, Germany.; Neuroimmunology Unit, Montreal Neurological Institute and Hospital, McGill University, Montreal, Quebec, H3A2B4, Canada.; University of Edinburgh, Centre for Inflammation Research and Centre for Multiple Sclerosis Research, Queen&amp;apos;s Medical Research Institute, Edinburgh, EH16 4TJ, United Kingdom.; University of Edinburgh, Centre for Inflammation Research and Centre for Multiple Sclerosis Research, Queen&amp;apos;s Medical Research Institute, Edinburgh, EH16 4TJ, United Kingdom.; Medical Clinic 1, Kussmaul Campus for Medical Research, University of Erlangen-Nurnberg, Germany.; Medical Clinic 1, Kussmaul Campus for Medical Research, University of Erlangen-Nurnberg, Germany.; Deutsches Rheuma-Forschungszentrum, a Leibniz Institute, Chariteplatz 1, 10117 Berlin, Germany.; Institut fur Klinische Neuroimmunologie Klinikum der Ludwig-Maximilians-Universitat Munchen, 81377 Munchen, Germany.; Deutsches Rheuma-Forschungszentrum, a Leibniz Institute, Chariteplatz 1, 10117 Berlin, Germany.; Deutsches Rheuma-Forschungszentrum, a Leibniz Institute, Chariteplatz 1, 10117 Berlin, Germany.; Deutsches Rheuma-Forschungszentrum, a Leibniz Institute, Chariteplatz 1, 10117 Berlin, Germany.; Immunpathologie, Research Center ImmunoSciences, 12203 Berlin, Germany.; Deutsches Rheuma-Forschungszentrum, a Leibniz Institute, Chariteplatz 1, 10117 Berlin, Germany.; Charite Universitatsmedizin Berlin, CC12, Dept. Medicine/Rheumatology and Clinical Immunology, 10117 Berlin, Germany.; Neuroimmunology Unit, Montreal Neurological Institute and Hospital, McGill University, Montreal, Quebec, H3A2B4, Canada.; Max Planck Institute of Infection Biology, Department of Immunology, Chariteplatz 1, 10117 Berlin, Germany.; University of Edinburgh, Centre for Inflammation Research and Centre for Multiple Sclerosis Research, Queen&amp;apos;s Medical Research Institute, Edinburgh, EH16 4TJ, United Kingdom.; Deutsches Rheuma-Forschungszentrum, a Leibniz Institute, Chariteplatz 1, 10117 Berlin, Germany.&lt;/_author_adr&gt;&lt;_collection_scope&gt;SCI;SCIE&lt;/_collection_scope&gt;&lt;_created&gt;63229939&lt;/_created&gt;&lt;_date&gt;2014-03-20&lt;/_date&gt;&lt;_date_display&gt;2014 Mar 20&lt;/_date_display&gt;&lt;_db_updated&gt;PubMed&lt;/_db_updated&gt;&lt;_doi&gt;10.1038/nature12979&lt;/_doi&gt;&lt;_impact_factor&gt;  43.070&lt;/_impact_factor&gt;&lt;_isbn&gt;1476-4687 (Electronic); 0028-0836 (Linking)&lt;/_isbn&gt;&lt;_issue&gt;7492&lt;/_issue&gt;&lt;_journal&gt;Nature&lt;/_journal&gt;&lt;_keywords&gt;Animals; Antigen-Presenting Cells/immunology/metabolism; B-Lymphocytes/*immunology/*metabolism; CD40 Antigens/immunology; Encephalomyelitis, Autoimmune, Experimental/*immunology; Female; Humans; Immunity/*immunology; Interleukin-10/metabolism; Interleukins/immunology/*metabolism; Lymphocyte Activation; Macrophages/cytology/immunology; Male; Mice; Plasma Cells/immunology/metabolism; Salmonella Infections/*immunology/microbiology; T-Lymphocytes/immunology; Toll-Like Receptor 4/immunology&lt;/_keywords&gt;&lt;_language&gt;eng&lt;/_language&gt;&lt;_modified&gt;63229939&lt;/_modified&gt;&lt;_pages&gt;366-370&lt;/_pages&gt;&lt;_tertiary_title&gt;Nature&lt;/_tertiary_title&gt;&lt;_type_work&gt;Journal Article; Research Support, Non-U.S. Gov&amp;apos;t&lt;/_type_work&gt;&lt;_url&gt;http://www.ncbi.nlm.nih.gov/entrez/query.fcgi?cmd=Retrieve&amp;amp;db=pubmed&amp;amp;dopt=Abstract&amp;amp;list_uids=24572363&amp;amp;query_hl=1&lt;/_url&gt;&lt;_volume&gt;507&lt;/_volume&gt;&lt;/Details&gt;&lt;Extra&gt;&lt;DBUID&gt;{F96A950B-833F-4880-A151-76DA2D6A2879}&lt;/DBUID&gt;&lt;/Extra&gt;&lt;/Item&gt;&lt;/References&gt;&lt;/Group&gt;&lt;Group&gt;&lt;References&gt;&lt;Item&gt;&lt;ID&gt;719&lt;/ID&gt;&lt;UID&gt;{755328FD-5174-4C86-9CC4-CA8B63DDB029}&lt;/UID&gt;&lt;Title&gt;IL-35, as a newly proposed homeostasis-associated molecular pattern, plays three  major functions including anti-inflammatory initiator, effector, and blocker in cardiovascular diseases&lt;/Title&gt;&lt;Template&gt;Journal Article&lt;/Template&gt;&lt;Star&gt;0&lt;/Star&gt;&lt;Tag&gt;0&lt;/Tag&gt;&lt;Author&gt;Li, X; Fang, P; Yang, W Y; Wang, H; Yang, X&lt;/Author&gt;&lt;Year&gt;2019&lt;/Year&gt;&lt;Details&gt;&lt;_accession_num&gt;28648331&lt;/_accession_num&gt;&lt;_author_adr&gt;Centers for Metabolic Disease Research, Cardiovascular Research, and Thrombosis Research, Departments of Pharmacology and Immunology, Lewis Katz School of Medicine at Temple University, Philadelphia, PA 19140, USA.; Centers for Metabolic Disease Research, Cardiovascular Research, and Thrombosis Research, Departments of Pharmacology and Immunology, Lewis Katz School of Medicine at Temple University, Philadelphia, PA 19140, USA.; Centers for Metabolic Disease Research, Cardiovascular Research, and Thrombosis Research, Departments of Pharmacology and Immunology, Lewis Katz School of Medicine at Temple University, Philadelphia, PA 19140, USA.; Centers for Metabolic Disease Research, Cardiovascular Research, and Thrombosis Research, Departments of Pharmacology and Immunology, Lewis Katz School of Medicine at Temple University, Philadelphia, PA 19140, USA.; Centers for Metabolic Disease Research, Cardiovascular Research, and Thrombosis Research, Departments of Pharmacology and Immunology, Lewis Katz School of Medicine at Temple University, Philadelphia, PA 19140, USA. Electronic address: xfyang@temple.edu.&lt;/_author_adr&gt;&lt;_collection_scope&gt;SCI;SCIE&lt;/_collection_scope&gt;&lt;_created&gt;63229919&lt;/_created&gt;&lt;_date&gt;2019-10-01&lt;/_date&gt;&lt;_date_display&gt;2019 Oct&lt;/_date_display&gt;&lt;_db_updated&gt;PubMed&lt;/_db_updated&gt;&lt;_doi&gt;10.1016/j.cyto.2017.06.003&lt;/_doi&gt;&lt;_impact_factor&gt;   3.078&lt;/_impact_factor&gt;&lt;_isbn&gt;1096-0023 (Electronic); 1043-4666 (Linking)&lt;/_isbn&gt;&lt;_journal&gt;Cytokine&lt;/_journal&gt;&lt;_keywords&gt;Atherosclerosis; Cardiovascular disease; HAMP; IL-35; Vascular inflammation&lt;/_keywords&gt;&lt;_language&gt;eng&lt;/_language&gt;&lt;_modified&gt;63229919&lt;/_modified&gt;&lt;_ori_publication&gt;Copyright (c) 2017 Elsevier Ltd. All rights reserved.&lt;/_ori_publication&gt;&lt;_pages&gt;154076&lt;/_pages&gt;&lt;_tertiary_title&gt;Cytokine&lt;/_tertiary_title&gt;&lt;_type_work&gt;Journal Article&lt;/_type_work&gt;&lt;_url&gt;http://www.ncbi.nlm.nih.gov/entrez/query.fcgi?cmd=Retrieve&amp;amp;db=pubmed&amp;amp;dopt=Abstract&amp;amp;list_uids=28648331&amp;amp;query_hl=1&lt;/_url&gt;&lt;_volume&gt;122&lt;/_volume&gt;&lt;/Details&gt;&lt;Extra&gt;&lt;DBUID&gt;{F96A950B-833F-4880-A151-76DA2D6A2879}&lt;/DBUID&gt;&lt;/Extra&gt;&lt;/Item&gt;&lt;/References&gt;&lt;/Group&gt;&lt;/Citation&gt;_x000a_"/>
    <w:docVar w:name="NE.Ref{2E54FDDB-1ED4-4B1E-9049-9051E2B011A9}" w:val=" ADDIN NE.Ref.{2E54FDDB-1ED4-4B1E-9049-9051E2B011A9}&lt;Citation&gt;&lt;Group&gt;&lt;References&gt;&lt;Item&gt;&lt;ID&gt;458&lt;/ID&gt;&lt;UID&gt;{00C4BA7A-D7F5-471F-A0DD-18A238B21C36}&lt;/UID&gt;&lt;Title&gt;Complement and microglia mediate early synapse loss in Alzheimer mouse models&lt;/Title&gt;&lt;Template&gt;Journal Article&lt;/Template&gt;&lt;Star&gt;0&lt;/Star&gt;&lt;Tag&gt;0&lt;/Tag&gt;&lt;Author&gt;Hong, S; Beja-Glasser, V F; Nfonoyim, B M; Frouin, A; Li, S; Ramakrishnan, S; Merry, K M; Shi, Q; Rosenthal, A; Barres, B A; Lemere, C A; Selkoe, D J; Stevens, B&lt;/Author&gt;&lt;Year&gt;2016&lt;/Year&gt;&lt;Details&gt;&lt;_accession_num&gt;27033548&lt;/_accession_num&gt;&lt;_author_adr&gt;F.M. Kirby Neurobiology Center, Boston Children&amp;apos;s Hospital and Harvard Medical School, Boston, Massachusetts 02115, USA.; F.M. Kirby Neurobiology Center, Boston Children&amp;apos;s Hospital and Harvard Medical School, Boston, Massachusetts 02115, USA.; F.M. Kirby Neurobiology Center, Boston Children&amp;apos;s Hospital and Harvard Medical School, Boston, Massachusetts 02115, USA.; F.M. Kirby Neurobiology Center, Boston Children&amp;apos;s Hospital and Harvard Medical School, Boston, Massachusetts 02115, USA.; Ann Romney Center for Neurologic Diseases, Department of Neurology, Brigham and Women&amp;apos;s Hospital and Harvard Medical School, Boston, Massachusetts 02115, USA.; F.M. Kirby Neurobiology Center, Boston Children&amp;apos;s Hospital and Harvard Medical School, Boston, Massachusetts 02115, USA.; F.M. Kirby Neurobiology Center, Boston Children&amp;apos;s Hospital and Harvard Medical School, Boston, Massachusetts 02115, USA.; Ann Romney Center for Neurologic Diseases, Department of Neurology, Brigham and Women&amp;apos;s Hospital and Harvard Medical School, Boston, Massachusetts 02115, USA.; Alector Inc., 953 Indiana St, San Francisco, California 94107, USA.; Annexon Biosciences, 280 Utah Avenue Suite 110, South San Francisco, California 94080, USA.; Department of Anatomy, University of California San Francisco, California 94143,  USA.; Department of Neurobiology, Stanford University School of Medicine, Palo Alto, California 94305, USA.; Ann Romney Center for Neurologic Diseases, Department of Neurology, Brigham and Women&amp;apos;s Hospital and Harvard Medical School, Boston, Massachusetts 02115, USA.; Ann Romney Center for Neurologic Diseases, Department of Neurology, Brigham and Women&amp;apos;s Hospital and Harvard Medical School, Boston, Massachusetts 02115, USA.; Prothena Biosciences, Dublin, Ireland.; F.M. Kirby Neurobiology Center, Boston Children&amp;apos;s Hospital and Harvard Medical School, Boston, Massachusetts 02115, USA.; Stanley Center for Psychiatric Research, Broad Institute of MIT and Harvard, Cambridge, Massachusetts 02142, USA.&lt;/_author_adr&gt;&lt;_collection_scope&gt;SCI;SCIE&lt;/_collection_scope&gt;&lt;_created&gt;63169465&lt;/_created&gt;&lt;_date&gt;2016-05-06&lt;/_date&gt;&lt;_date_display&gt;2016 May 6&lt;/_date_display&gt;&lt;_db_updated&gt;PubMed&lt;/_db_updated&gt;&lt;_doi&gt;10.1126/science.aad8373&lt;/_doi&gt;&lt;_impact_factor&gt;  41.037&lt;/_impact_factor&gt;&lt;_isbn&gt;1095-9203 (Electronic); 0036-8075 (Linking)&lt;/_isbn&gt;&lt;_issue&gt;6286&lt;/_issue&gt;&lt;_journal&gt;Science&lt;/_journal&gt;&lt;_keywords&gt;Alzheimer Disease/*immunology/*pathology; Amyloid beta-Peptides/immunology; Animals; CA1 Region, Hippocampal/immunology/pathology/physiopathology; Cognition Disorders/immunology/pathology; Complement C1q/genetics/*immunology; Complement Pathway, Classical/immunology; Disease Models, Animal; Disks Large Homolog 4 Protein; Guanylate Kinases/immunology; Long-Term Potentiation; Macrophage-1 Antigen/genetics/immunology; Membrane Proteins/immunology; Mice; Mice, Knockout; Microglia/*immunology; Phagocytosis/*immunology; Plaque, Amyloid/immunology; Synapses/*immunology/*pathology; Synaptophysin/immunology; Up-Regulation&lt;/_keywords&gt;&lt;_language&gt;eng&lt;/_language&gt;&lt;_modified&gt;63169465&lt;/_modified&gt;&lt;_ori_publication&gt;Copyright (c) 2016, American Association for the Advancement of Science.&lt;/_ori_publication&gt;&lt;_pages&gt;712-716&lt;/_pages&gt;&lt;_tertiary_title&gt;Science (New York, N.Y.)&lt;/_tertiary_title&gt;&lt;_type_work&gt;Journal Article; Research Support, N.I.H., Extramural; Research Support, Non-U.S. Gov&amp;apos;t&lt;/_type_work&gt;&lt;_url&gt;http://www.ncbi.nlm.nih.gov/entrez/query.fcgi?cmd=Retrieve&amp;amp;db=pubmed&amp;amp;dopt=Abstract&amp;amp;list_uids=27033548&amp;amp;query_hl=1&lt;/_url&gt;&lt;_volume&gt;352&lt;/_volume&gt;&lt;/Details&gt;&lt;Extra&gt;&lt;DBUID&gt;{F96A950B-833F-4880-A151-76DA2D6A2879}&lt;/DBUID&gt;&lt;/Extra&gt;&lt;/Item&gt;&lt;/References&gt;&lt;/Group&gt;&lt;Group&gt;&lt;References&gt;&lt;Item&gt;&lt;ID&gt;461&lt;/ID&gt;&lt;UID&gt;{50E892F7-8233-42F7-A81B-A5B197A86442}&lt;/UID&gt;&lt;Title&gt;A common haplotype lowers PU.1 expression in myeloid cells and delays onset of Alzheimer&amp;apos;s disease&lt;/Title&gt;&lt;Template&gt;Journal Article&lt;/Template&gt;&lt;Star&gt;0&lt;/Star&gt;&lt;Tag&gt;0&lt;/Tag&gt;&lt;Author&gt;Huang, K L; Marcora, E; Pimenova, A A; Di Narzo, A F; Kapoor, M; Jin, S C; Harari, O; Bertelsen, S; Fairfax, B P; Czajkowski, J; Chouraki, V; Grenier-Boley, B; Bellenguez, C; Deming, Y; McKenzie, A; Raj, T; Renton, A E; Budde, J; Smith, A; Fitzpatrick, A; Bis, J C; DeStefano, A; Adams, HHH; Ikram, M A; van der Lee, S; Del-Aguila, J L; Fernandez, M V; Ibanez, L; Sims, R; Escott-Price, V; Mayeux, R; Haines, J L; Farrer, L A; Pericak-Vance, M A; Lambert, J C; van Duijn, C; Launer, L; Seshadri, S; Williams, J; Amouyel, P; Schellenberg, G D; Zhang, B; Borecki, I; Kauwe, JSK; Cruchaga, C; Hao, K; Goate, A M&lt;/Author&gt;&lt;Year&gt;2017&lt;/Year&gt;&lt;Details&gt;&lt;_accession_num&gt;28628103&lt;/_accession_num&gt;&lt;_author_adr&gt;Department of Medicine and McDonnell Genome Institute, Washington University in St. Louis, Saint Louis, Missouri, USA.; Department of Genetics and Genomic Sciences, Icahn School of Medicine at Mount Sinai, New York,New York, USA.; Ronald M. Loeb Center for Alzheimer&amp;apos;s Disease, Department of Neuroscience, Icahn  School of Medicine at Mount Sinai, New York,New York, USA.; Ronald M. Loeb Center for Alzheimer&amp;apos;s Disease, Department of Neuroscience, Icahn  School of Medicine at Mount Sinai, New York,New York, USA.; Department of Genetics and Genomic Sciences, Icahn School of Medicine at Mount Sinai, New York,New York, USA.; Department of Genetics and Genomic Sciences, Icahn School of Medicine at Mount Sinai, New York,New York, USA.; Ronald M. Loeb Center for Alzheimer&amp;apos;s Disease, Department of Neuroscience, Icahn  School of Medicine at Mount Sinai, New York,New York, USA.; Department of Genetics, Yale University School of Medicine, New Haven, Connecticut, USA.; Department of Psychiatry, Washington University in St. Louis, Saint Louis, Missouri, USA.; Ronald M. Loeb Center for Alzheimer&amp;apos;s Disease, Department of Neuroscience, Icahn  School of Medicine at Mount Sinai, New York,New York, USA.; Wellcome Trust Centre for Human Genetics, Nuffield Department of Medicine, University of Oxford, Oxford, UK.; Department of Genetics, Washington University in St. Louis, Saint Louis, Missouri, USA.; Department of Neurology, Boston University School of Medicine, Boston, Massachussets, USA.; Inserm, U1167, RID-AGE -Risk factors and molecular determinants of aging-related  diseases, Lille, France.; Univ. Lille - Excellence laboratory Labex DISTALZ, Lille, France.; Institut Pasteur de Lille, Lille, France.; Inserm, U1167, RID-AGE -Risk factors and molecular determinants of aging-related  diseases, Lille, France.; Univ. Lille - Excellence laboratory Labex DISTALZ, Lille, France.; Institut Pasteur de Lille, Lille, France.; Department of Psychiatry, Washington University in St. Louis, Saint Louis, Missouri, USA.; Department of Genetics and Genomic Sciences, Icahn School of Medicine at Mount Sinai, New York,New York, USA.; Department of Genetics and Genomic Sciences, Icahn School of Medicine at Mount Sinai, New York,New York, USA.; Ronald M. Loeb Center for Alzheimer&amp;apos;s Disease, Department of Neuroscience, Icahn  School of Medicine at Mount Sinai, New York,New York, USA.; Ronald M. Loeb Center for Alzheimer&amp;apos;s Disease, Department of Neuroscience, Icahn  School of Medicine at Mount Sinai, New York,New York, USA.; Department of Psychiatry, Washington University in St. Louis, Saint Louis, Missouri, USA.; Icelandic Heart Association, Faculty of Medicine, University of Iceland, Reykjavik, Iceland.; Department of Epidemiology, University of Washington, Seattle, Washington, USA.; Department of Medicine, University of Washington, Seattle, Washington, USA.; Department of Biostatistics, Boston University School of Public Health, Boston, Massachussetts, USA.; Department of Epidemiology, Erasmus University Medical Center, Rotterdam, the Netherlands.; Department of Epidemiology, Erasmus University Medical Center, Rotterdam, the Netherlands.; Department of Epidemiology, Erasmus University Medical Center, Rotterdam, the Netherlands.; Department of Psychiatry, Washington University in St. Louis, Saint Louis, Missouri, USA.; Department of Psychiatry, Washington University in St. Louis, Saint Louis, Missouri, USA.; Department of Psychiatry, Washington University in St. Louis, Saint Louis, Missouri, USA.; Psychological Medicine and Clinical Neurosciences, Medical Research Council (MRC) Centre for Neuropsychiatric Genetics and Genomics, Cardiff University, Cardiff, UK.; Psychological Medicine and Clinical Neurosciences, Medical Research Council (MRC) Centre for Neuropsychiatric Genetics and Genomics, Cardiff University, Cardiff, UK.; Taub Institute on Alzheimer&amp;apos;s Disease and the Aging Brain, Gertrude H. Sergievsky Center, and Department of Neurology, Columbia University, New York,New York, USA.; Department of Epidemiology and Biostatistics, Case Western Reserve University, Cleveland, Ohio, USA.; Department of Biostatistics, Boston University School of Public Health, Boston, Massachussetts, USA.; Department of Ophthalmology, Boston University School of Medicine, Boston, Massachussets, USA.; Department of Epidemiology, Boston University School of Public Health, Boston, Massachussetts, USA.; The John P. Hussman Institute for Human Genomics, University of Miami, Miami, Florida, USA.; The John P. Hussman Institute for Human Genomics, University of Miami, Miami, Florida, USA.; Macdonald Foundation Department of Human Genetics, University of Miami, Miami, Florida, USA.; Inserm, U1167, RID-AGE -Risk factors and molecular determinants of aging-related  diseases, Lille, France.; Univ. Lille - Excellence laboratory Labex DISTALZ, Lille, France.; Institut Pasteur de Lille, Lille, France.; Department of Epidemiology, Erasmus University Medical Center, Rotterdam, the Netherlands.; Laboratory of Epidemiology and Population Sciences, National Institute on Aging,  Bethesda, Maryland, USA.; Department of Neurology, Boston University School of Medicine, Boston, Massachussets, USA.; Psychological Medicine and Clinical Neurosciences, Medical Research Council (MRC) Centre for Neuropsychiatric Genetics and Genomics, Cardiff University, Cardiff, UK.; Inserm, U1167, RID-AGE -Risk factors and molecular determinants of aging-related  diseases, Lille, France.; Univ. Lille - Excellence laboratory Labex DISTALZ, Lille, France.; Institut Pasteur de Lille, Lille, France.; Centre Hospitalier Universitaire de Lille, U1167, Lille, France.; Department of Pathology and Laboratory Medicine, University of Pennsylvania Perelman School of Medicine, Philadelphia, Pennsylvania, USA.; Department of Genetics and Genomic Sciences, Icahn School of Medicine at Mount Sinai, New York,New York, USA.; Department of Genetics, Washington University in St. Louis, Saint Louis, Missouri, USA.; Department of Biology, Brigham Young University, Provo, Utah, USA.; Department of Psychiatry, Washington University in St. Louis, Saint Louis, Missouri, USA.; Department of Genetics and Genomic Sciences, Icahn School of Medicine at Mount Sinai, New York,New York, USA.; Department of Genetics and Genomic Sciences, Icahn School of Medicine at Mount Sinai, New York,New York, USA.; Ronald M. Loeb Center for Alzheimer&amp;apos;s Disease, Department of Neuroscience, Icahn  School of Medicine at Mount Sinai, New York,New York, USA.&lt;/_author_adr&gt;&lt;_collection_scope&gt;SCI;SCIE&lt;/_collection_scope&gt;&lt;_created&gt;63169475&lt;/_created&gt;&lt;_date&gt;2017-08-01&lt;/_date&gt;&lt;_date_display&gt;2017 Aug&lt;/_date_display&gt;&lt;_db_updated&gt;PubMed&lt;/_db_updated&gt;&lt;_doi&gt;10.1038/nn.4587&lt;/_doi&gt;&lt;_impact_factor&gt;  21.126&lt;/_impact_factor&gt;&lt;_isbn&gt;1546-1726 (Electronic); 1097-6256 (Linking)&lt;/_isbn&gt;&lt;_issue&gt;8&lt;/_issue&gt;&lt;_journal&gt;Nat Neurosci&lt;/_journal&gt;&lt;_keywords&gt;Alleles; Alzheimer Disease/*genetics; Animals; Female; *Genetic Predisposition to Disease; *Genome-Wide Association Study/methods; Haplotypes/*genetics; Humans; Linkage Disequilibrium/genetics; Male; Mice; Polymorphism, Single Nucleotide/*genetics; Proto-Oncogene Proteins/*genetics; Risk Factors; Trans-Activators/*genetics; Transcription Factors/genetics&lt;/_keywords&gt;&lt;_language&gt;eng&lt;/_language&gt;&lt;_modified&gt;63169475&lt;/_modified&gt;&lt;_pages&gt;1052-1061&lt;/_pages&gt;&lt;_tertiary_title&gt;Nature neuroscience&lt;/_tertiary_title&gt;&lt;_type_work&gt;Journal Article&lt;/_type_work&gt;&lt;_url&gt;http://www.ncbi.nlm.nih.gov/entrez/query.fcgi?cmd=Retrieve&amp;amp;db=pubmed&amp;amp;dopt=Abstract&amp;amp;list_uids=28628103&amp;amp;query_hl=1&lt;/_url&gt;&lt;_volume&gt;20&lt;/_volume&gt;&lt;/Details&gt;&lt;Extra&gt;&lt;DBUID&gt;{F96A950B-833F-4880-A151-76DA2D6A2879}&lt;/DBUID&gt;&lt;/Extra&gt;&lt;/Item&gt;&lt;/References&gt;&lt;/Group&gt;&lt;/Citation&gt;_x000a_"/>
    <w:docVar w:name="NE.Ref{3011E2F7-2D8F-446C-90A4-117120A4E05C}" w:val=" ADDIN NE.Ref.{3011E2F7-2D8F-446C-90A4-117120A4E05C}&lt;Citation&gt;&lt;Group&gt;&lt;References&gt;&lt;Item&gt;&lt;ID&gt;478&lt;/ID&gt;&lt;UID&gt;{6AA8F355-C8B2-463A-8C45-6C6FFFCBE3CC}&lt;/UID&gt;&lt;Title&gt;Structural and functional features of central nervous system lymphatic vessels&lt;/Title&gt;&lt;Template&gt;Journal Article&lt;/Template&gt;&lt;Star&gt;0&lt;/Star&gt;&lt;Tag&gt;0&lt;/Tag&gt;&lt;Author&gt;Louveau, A; Smirnov, I; Keyes, T J; Eccles, J D; Rouhani, S J; Peske, J D; Derecki, N C; Castle, D; Mandell, J W; Lee, K S; Harris, T H; Kipnis, J&lt;/Author&gt;&lt;Year&gt;2015&lt;/Year&gt;&lt;Details&gt;&lt;_accession_num&gt;26030524&lt;/_accession_num&gt;&lt;_author_adr&gt;1] Center for Brain Immunology and Glia, School of Medicine, University of Virginia, Charlottesville, Virginia 22908, USA [2] Department of Neuroscience, School of Medicine, University of Virginia, Charlottesville, Virginia 22908, USA.; 1] Center for Brain Immunology and Glia, School of Medicine, University of Virginia, Charlottesville, Virginia 22908, USA [2] Department of Neuroscience, School of Medicine, University of Virginia, Charlottesville, Virginia 22908, USA.; 1] Center for Brain Immunology and Glia, School of Medicine, University of Virginia, Charlottesville, Virginia 22908, USA [2] Department of Neuroscience, School of Medicine, University of Virginia, Charlottesville, Virginia 22908, USA.; 1] Medical Scientist Training Program, School of Medicine, University of Virginia, Charlottesville, Virginia 22908, USA [2] Beirne B. Carter Center for Immunology Research, School of Medicine, University of Virginia, Charlottesville, Virginia 22908, USA [3] Department of Medicine (Division of Allergy), School of Medicine, University of Virginia, Charlottesville, Virginia 22908, USA.; 1] Medical Scientist Training Program, School of Medicine, University of Virginia, Charlottesville, Virginia 22908, USA [2] Beirne B. Carter Center for Immunology Research, School of Medicine, University of Virginia, Charlottesville, Virginia 22908, USA [3] Department of Microbiology, Immunology, and Cancer Biology, School of Medicine, University of Virginia, Charlottesville, Virginia 22908, USA.; 1] Medical Scientist Training Program, School of Medicine, University of Virginia, Charlottesville, Virginia 22908, USA [2] Beirne B. Carter Center for Immunology Research, School of Medicine, University of Virginia, Charlottesville, Virginia 22908, USA [3] Department of Microbiology, Immunology, and Cancer Biology, School of Medicine, University of Virginia, Charlottesville, Virginia 22908, USA.; 1] Center for Brain Immunology and Glia, School of Medicine, University of Virginia, Charlottesville, Virginia 22908, USA [2] Department of Neuroscience, School of Medicine, University of Virginia, Charlottesville, Virginia 22908, USA.; Department of Cell Biology, School of Medicine, University of Virginia, Charlottesville, Virginia 22908, USA.; Department of Pathology (Neuropathology), School of Medicine, University of Virginia, Charlottesville, Virginia 22908, USA.; 1] Center for Brain Immunology and Glia, School of Medicine, University of Virginia, Charlottesville, Virginia 22908, USA [2] Department of Neuroscience, School of Medicine, University of Virginia, Charlottesville, Virginia 22908, USA  [3] Department of Neurosurgery, School of Medicine, University of Virginia, Charlottesville, Virginia 22908, USA.; 1] Center for Brain Immunology and Glia, School of Medicine, University of Virginia, Charlottesville, Virginia 22908, USA [2] Department of Neuroscience, School of Medicine, University of Virginia, Charlottesville, Virginia 22908, USA.; 1] Center for Brain Immunology and Glia, School of Medicine, University of Virginia, Charlottesville, Virginia 22908, USA [2] Department of Neuroscience, School of Medicine, University of Virginia, Charlottesville, Virginia 22908, USA  [3] Medical Scientist Training Program, School of Medicine, University of Virginia, Charlottesville, Virginia 22908, USA.&lt;/_author_adr&gt;&lt;_collection_scope&gt;SCI;SCIE&lt;/_collection_scope&gt;&lt;_created&gt;63169643&lt;/_created&gt;&lt;_date&gt;2015-07-16&lt;/_date&gt;&lt;_date_display&gt;2015 Jul 16&lt;/_date_display&gt;&lt;_db_updated&gt;PubMed&lt;/_db_updated&gt;&lt;_doi&gt;10.1038/nature14432&lt;/_doi&gt;&lt;_impact_factor&gt;  43.070&lt;/_impact_factor&gt;&lt;_isbn&gt;1476-4687 (Electronic); 0028-0836 (Linking)&lt;/_isbn&gt;&lt;_issue&gt;7560&lt;/_issue&gt;&lt;_journal&gt;Nature&lt;/_journal&gt;&lt;_keywords&gt;Animals; Central Nervous System/*anatomy &amp;amp;amp; histology/cytology/*immunology; Cranial Sinuses/anatomy &amp;amp;amp; histology; Female; Humans; Immune Tolerance/immunology; Immunologic Surveillance/immunology; Lymphatic Vessels/*anatomy &amp;amp;amp; histology/cytology/*immunology; Male; Meninges/anatomy &amp;amp;amp; histology/cytology/immunology; Mice, Inbred C57BL; T-Lymphocytes/cytology/immunology&lt;/_keywords&gt;&lt;_language&gt;eng&lt;/_language&gt;&lt;_modified&gt;63169643&lt;/_modified&gt;&lt;_pages&gt;337-41&lt;/_pages&gt;&lt;_tertiary_title&gt;Nature&lt;/_tertiary_title&gt;&lt;_type_work&gt;Journal Article; Research Support, N.I.H., Extramural; Research Support, Non-U.S. Gov&amp;apos;t&lt;/_type_work&gt;&lt;_url&gt;http://www.ncbi.nlm.nih.gov/entrez/query.fcgi?cmd=Retrieve&amp;amp;db=pubmed&amp;amp;dopt=Abstract&amp;amp;list_uids=26030524&amp;amp;query_hl=1&lt;/_url&gt;&lt;_volume&gt;523&lt;/_volume&gt;&lt;/Details&gt;&lt;Extra&gt;&lt;DBUID&gt;{F96A950B-833F-4880-A151-76DA2D6A2879}&lt;/DBUID&gt;&lt;/Extra&gt;&lt;/Item&gt;&lt;/References&gt;&lt;/Group&gt;&lt;Group&gt;&lt;References&gt;&lt;Item&gt;&lt;ID&gt;464&lt;/ID&gt;&lt;UID&gt;{51C711F7-1311-4FAD-B710-DE205DFB8844}&lt;/UID&gt;&lt;Title&gt;A dural lymphatic vascular system that drains brain interstitial fluid and macromolecules&lt;/Title&gt;&lt;Template&gt;Journal Article&lt;/Template&gt;&lt;Star&gt;0&lt;/Star&gt;&lt;Tag&gt;0&lt;/Tag&gt;&lt;Author&gt;Aspelund, A; Antila, S; Proulx, S T; Karlsen, T V; Karaman, S; Detmar, M; Wiig, H; Alitalo, K&lt;/Author&gt;&lt;Year&gt;2015&lt;/Year&gt;&lt;Details&gt;&lt;_accession_num&gt;26077718&lt;/_accession_num&gt;&lt;_author_adr&gt;Wihuri Research Institute and Translational Cancer Biology Program, Biomedicum Helsinki, University of Helsinki, 00014 Helsinki, Finland Wihuri Research Institute and Translational Cancer Biology Program, Biomedicum Helsinki, University of Helsinki, 00014 Helsinki, Finland.; Wihuri Research Institute and Translational Cancer Biology Program, Biomedicum Helsinki, University of Helsinki, 00014 Helsinki, Finland Wihuri Research Institute and Translational Cancer Biology Program, Biomedicum Helsinki, University of Helsinki, 00014 Helsinki, Finland.; Institute of Pharmaceutical Sciences, Swiss Federal Institute of Technology (ETH  Zurich), CH-8093 Zurich, Switzerland.; Department of Biomedicine, University of Bergen, 5009 Bergen, Norway.; Institute of Pharmaceutical Sciences, Swiss Federal Institute of Technology (ETH  Zurich), CH-8093 Zurich, Switzerland.; Institute of Pharmaceutical Sciences, Swiss Federal Institute of Technology (ETH  Zurich), CH-8093 Zurich, Switzerland.; Department of Biomedicine, University of Bergen, 5009 Bergen, Norway.; Wihuri Research Institute and Translational Cancer Biology Program, Biomedicum Helsinki, University of Helsinki, 00014 Helsinki, Finland Wihuri Research Institute and Translational Cancer Biology Program, Biomedicum Helsinki, University of Helsinki, 00014 Helsinki, Finland kari.alitalo@helsinki.fi.&lt;/_author_adr&gt;&lt;_collection_scope&gt;SCI;SCIE&lt;/_collection_scope&gt;&lt;_created&gt;63169481&lt;/_created&gt;&lt;_date&gt;2015-06-29&lt;/_date&gt;&lt;_date_display&gt;2015 Jun 29&lt;/_date_display&gt;&lt;_db_updated&gt;PubMed&lt;/_db_updated&gt;&lt;_doi&gt;10.1084/jem.20142290&lt;/_doi&gt;&lt;_impact_factor&gt;  10.892&lt;/_impact_factor&gt;&lt;_isbn&gt;1540-9538 (Electronic); 0022-1007 (Linking)&lt;/_isbn&gt;&lt;_issue&gt;7&lt;/_issue&gt;&lt;_journal&gt;J Exp Med&lt;/_journal&gt;&lt;_keywords&gt;Analysis of Variance; Animals; Brain/anatomy &amp;amp;amp; histology/*metabolism; Cerebrospinal Fluid/*metabolism; Extracellular Fluid/*metabolism; Fluorescent Antibody Technique; Galactosides; Green Fluorescent Proteins; Image Processing, Computer-Assisted; Indoles; Lymph Nodes/*metabolism; Lymphatic System/anatomy &amp;amp;amp; histology/*metabolism; Macromolecular Substances/*metabolism; Mice; Mice, Transgenic; Microscopy, Confocal&lt;/_keywords&gt;&lt;_language&gt;eng&lt;/_language&gt;&lt;_modified&gt;63169481&lt;/_modified&gt;&lt;_ori_publication&gt;(c) 2015 Aspelund et al.&lt;/_ori_publication&gt;&lt;_pages&gt;991-9&lt;/_pages&gt;&lt;_tertiary_title&gt;The Journal of experimental medicine&lt;/_tertiary_title&gt;&lt;_type_work&gt;Journal Article; Research Support, Non-U.S. Gov&amp;apos;t&lt;/_type_work&gt;&lt;_url&gt;http://www.ncbi.nlm.nih.gov/entrez/query.fcgi?cmd=Retrieve&amp;amp;db=pubmed&amp;amp;dopt=Abstract&amp;amp;list_uids=26077718&amp;amp;query_hl=1&lt;/_url&gt;&lt;_volume&gt;212&lt;/_volume&gt;&lt;/Details&gt;&lt;Extra&gt;&lt;DBUID&gt;{F96A950B-833F-4880-A151-76DA2D6A2879}&lt;/DBUID&gt;&lt;/Extra&gt;&lt;/Item&gt;&lt;/References&gt;&lt;/Group&gt;&lt;/Citation&gt;_x000a_"/>
    <w:docVar w:name="NE.Ref{31C4C706-B29C-40CC-B0E5-53AA788DC52B}" w:val=" ADDIN NE.Ref.{31C4C706-B29C-40CC-B0E5-53AA788DC52B}&lt;Citation&gt;&lt;Group&gt;&lt;References&gt;&lt;Item&gt;&lt;ID&gt;696&lt;/ID&gt;&lt;UID&gt;{E2765E6B-108D-43C1-A66C-382CE321D1C4}&lt;/UID&gt;&lt;Title&gt;CNS lymphatic drainage and neuroinflammation are regulated by meningeal lymphatic vasculature&lt;/Title&gt;&lt;Template&gt;Journal Article&lt;/Template&gt;&lt;Star&gt;0&lt;/Star&gt;&lt;Tag&gt;0&lt;/Tag&gt;&lt;Author&gt;Louveau, A; Herz, J; Alme, M N; Salvador, A F; Dong, M Q; Viar, K E; Herod, S G; Knopp, J; Setliff, J C; Lupi, A L; Da, Mesquita S; Frost, E L; Gaultier, A; Harris, T H; Cao, R; Hu, S; Lukens, J R; Smirnov, I; Overall, C C; Oliver, G; Kipnis, J&lt;/Author&gt;&lt;Year&gt;2018&lt;/Year&gt;&lt;Details&gt;&lt;_accession_num&gt;30224810&lt;/_accession_num&gt;&lt;_author_adr&gt;Center for Brain Immunology and Glia (BIG), University of Virginia, Charlottesville, VA, USA. al2hk@virginia.edu.; Department of Neuroscience, University of Virginia, Charlottesville, VA, USA. al2hk@virginia.edu.; Center for Brain Immunology and Glia (BIG), University of Virginia, Charlottesville, VA, USA.; Department of Neuroscience, University of Virginia, Charlottesville, VA, USA.; Center for Brain Immunology and Glia (BIG), University of Virginia, Charlottesville, VA, USA.; Department of Neuroscience, University of Virginia, Charlottesville, VA, USA.; Department of Clinical Medicine, University of Bergen, Bergen, Norway.; Department of Neurology, Haukeland University Hospital, Bergen, Norway.; Center for Brain Immunology and Glia (BIG), University of Virginia, Charlottesville, VA, USA.; Department of Neuroscience, University of Virginia, Charlottesville, VA, USA.; Neuroscience Graduate Program, University of Virginia, Charlottesville, VA, USA.; Center for Brain Immunology and Glia (BIG), University of Virginia, Charlottesville, VA, USA.; Department of Neuroscience, University of Virginia, Charlottesville, VA, USA.; Center for Brain Immunology and Glia (BIG), University of Virginia, Charlottesville, VA, USA.; Department of Neuroscience, University of Virginia, Charlottesville, VA, USA.; Center for Brain Immunology and Glia (BIG), University of Virginia, Charlottesville, VA, USA.; Department of Neuroscience, University of Virginia, Charlottesville, VA, USA.; Center for Brain Immunology and Glia (BIG), University of Virginia, Charlottesville, VA, USA.; Department of Neuroscience, University of Virginia, Charlottesville, VA, USA.; Center for Brain Immunology and Glia (BIG), University of Virginia, Charlottesville, VA, USA.; Department of Neuroscience, University of Virginia, Charlottesville, VA, USA.; Center for Brain Immunology and Glia (BIG), University of Virginia, Charlottesville, VA, USA.; Department of Neuroscience, University of Virginia, Charlottesville, VA, USA.; Center for Brain Immunology and Glia (BIG), University of Virginia, Charlottesville, VA, USA.; Department of Neuroscience, University of Virginia, Charlottesville, VA, USA.; Center for Brain Immunology and Glia (BIG), University of Virginia, Charlottesville, VA, USA.; Department of Neuroscience, University of Virginia, Charlottesville, VA, USA.; Center for Brain Immunology and Glia (BIG), University of Virginia, Charlottesville, VA, USA.; Department of Neuroscience, University of Virginia, Charlottesville, VA, USA.; Center for Brain Immunology and Glia (BIG), University of Virginia, Charlottesville, VA, USA.; Department of Neuroscience, University of Virginia, Charlottesville, VA, USA.; Department of Biomedical Engineering, University of Virginia, Charlottesville, VA, USA.; Department of Biomedical Engineering, University of Virginia, Charlottesville, VA, USA.; Center for Brain Immunology and Glia (BIG), University of Virginia, Charlottesville, VA, USA.; Department of Neuroscience, University of Virginia, Charlottesville, VA, USA.; Center for Brain Immunology and Glia (BIG), University of Virginia, Charlottesville, VA, USA.; Department of Neuroscience, University of Virginia, Charlottesville, VA, USA.; Center for Brain Immunology and Glia (BIG), University of Virginia, Charlottesville, VA, USA.; Department of Neuroscience, University of Virginia, Charlottesville, VA, USA.; Northwestern University, Feinberg School of Medicine, Chicago, IL, USA.; Center for Brain Immunology and Glia (BIG), University of Virginia, Charlottesville, VA, USA. kipnis@virginia.edu.; Department of Neuroscience, University of Virginia, Charlottesville, VA, USA. kipnis@virginia.edu.; Neuroscience Graduate Program, University of Virginia, Charlottesville, VA, USA.  kipnis@virginia.edu.; Gutenberg Research Fellowship Group of Neuroimmunology, Focus Program Translational Neuroscience (FTN) and Immunotherapy (FZI), Rhine Main Neuroscience Network (rmn(2)), University Medical Center of the Johannes Gutenberg University  Mainz, Mainz, Germany. kipnis@virginia.edu.&lt;/_author_adr&gt;&lt;_collection_scope&gt;SCI;SCIE&lt;/_collection_scope&gt;&lt;_created&gt;63229842&lt;/_created&gt;&lt;_date&gt;2018-10-01&lt;/_date&gt;&lt;_date_display&gt;2018 Oct&lt;/_date_display&gt;&lt;_db_updated&gt;PubMed&lt;/_db_updated&gt;&lt;_doi&gt;10.1038/s41593-018-0227-9&lt;/_doi&gt;&lt;_impact_factor&gt;  21.126&lt;/_impact_factor&gt;&lt;_isbn&gt;1546-1726 (Electronic); 1097-6256 (Linking)&lt;/_isbn&gt;&lt;_issue&gt;10&lt;/_issue&gt;&lt;_journal&gt;Nat Neurosci&lt;/_journal&gt;&lt;_keywords&gt;Animals; Antigens, CD/genetics/metabolism; Central Nervous System/immunology/pathology; Dendritic Cells/pathology; Disease Models, Animal; Encephalitis/chemically induced/*pathology/*physiopathology; Green Fluorescent Proteins/genetics/metabolism; Homeodomain Proteins/genetics/metabolism; Lymph Nodes/pathology; Lymphatic Vessels/*physiology; Male; Meninges/*pathology; Mice; Mice, Inbred C57BL; Mice, Transgenic; MicroRNAs/genetics/metabolism; Myelin-Oligodendrocyte Glycoprotein/toxicity; Peptide Fragments/toxicity; Photosensitizing Agents/pharmacology; Receptors, CCR7/deficiency/genetics; Spleen/pathology; T-Lymphocytes/physiology; Tumor Suppressor Proteins/genetics/metabolism&lt;/_keywords&gt;&lt;_language&gt;eng&lt;/_language&gt;&lt;_modified&gt;63229842&lt;/_modified&gt;&lt;_pages&gt;1380-1391&lt;/_pages&gt;&lt;_tertiary_title&gt;Nature neuroscience&lt;/_tertiary_title&gt;&lt;_type_work&gt;Journal Article; Research Support, N.I.H., Extramural; Research Support, Non-U.S. Gov&amp;apos;t&lt;/_type_work&gt;&lt;_url&gt;http://www.ncbi.nlm.nih.gov/entrez/query.fcgi?cmd=Retrieve&amp;amp;db=pubmed&amp;amp;dopt=Abstract&amp;amp;list_uids=30224810&amp;amp;query_hl=1&lt;/_url&gt;&lt;_volume&gt;21&lt;/_volume&gt;&lt;/Details&gt;&lt;Extra&gt;&lt;DBUID&gt;{F96A950B-833F-4880-A151-76DA2D6A2879}&lt;/DBUID&gt;&lt;/Extra&gt;&lt;/Item&gt;&lt;/References&gt;&lt;/Group&gt;&lt;Group&gt;&lt;References&gt;&lt;Item&gt;&lt;ID&gt;781&lt;/ID&gt;&lt;UID&gt;{50DE1194-39B7-474F-8F35-7BBF5D477CBA}&lt;/UID&gt;&lt;Title&gt;Gut-educated IgA plasma cells defend the meningeal venous sinuses&lt;/Title&gt;&lt;Template&gt;Journal Article&lt;/Template&gt;&lt;Star&gt;0&lt;/Star&gt;&lt;Tag&gt;0&lt;/Tag&gt;&lt;Author&gt;Fitzpatrick, Z; Frazer, G; Ferro, A; Clare, S; Bouladoux, N; Ferdinand, J; Tuong, Z K; Negro-Demontel, M L; Kumar, N; Suchanek, O; Tajsic, T; Harcourt, K; Scott, K; Bashford-Rogers, R; Helmy, A; Reich, D S; Belkaid, Y; Lawley, T D; McGavern, D B; Clatworthy, M R&lt;/Author&gt;&lt;Year&gt;2020&lt;/Year&gt;&lt;Details&gt;&lt;_accession_num&gt;33149302&lt;/_accession_num&gt;&lt;_author_adr&gt;Molecular Immunity Unit, Department of Medicine, University of Cambridge, Cambridge, UK.; Viral Immunology and Intravital Imaging Section, National Institute of Neurological Disorders and Stroke, National Institutes of Health, Bethesda, MA, USA.; Molecular Immunity Unit, Department of Medicine, University of Cambridge, Cambridge, UK.; Molecular Immunity Unit, Department of Medicine, University of Cambridge, Cambridge, UK.; Host-Microbiota Interactions Laboratory, Wellcome Sanger Institute, Hinxton, UK.; National Institute of Allergy and Infectious Diseases, National Institutes of Health, Bethesda, MA, USA.; Molecular Immunity Unit, Department of Medicine, University of Cambridge, Cambridge, UK.; Molecular Immunity Unit, Department of Medicine, University of Cambridge, Cambridge, UK.; Cellular Genetics, Wellcome Sanger Institute, Hinxton, UK.; Viral Immunology and Intravital Imaging Section, National Institute of Neurological Disorders and Stroke, National Institutes of Health, Bethesda, MA, USA.; Host-Microbiota Interactions Laboratory, Wellcome Sanger Institute, Hinxton, UK.; Molecular Immunity Unit, Department of Medicine, University of Cambridge, Cambridge, UK.; Division of Neurosurgery, Department of Clinical Neurosciences, University of Cambridge, Cambridge, UK.; Host-Microbiota Interactions Laboratory, Wellcome Sanger Institute, Hinxton, UK.; Molecular Immunity Unit, Department of Medicine, University of Cambridge, Cambridge, UK.; John van Geest Centre for Brain Repair, Department of Clinical Neurosciences, University of Cambridge, Cambridge, UK.; Wellcome Trust Centre for Human Genetics, University of Oxford, Oxford, UK.; Division of Neurosurgery, Department of Clinical Neurosciences, University of Cambridge, Cambridge, UK.; Translational Neuroradiology Section, National Institute of Neurological Disorders and Stroke, National Institutes of Health, Bethesda, MA, USA.; National Institute of Allergy and Infectious Diseases, National Institutes of Health, Bethesda, MA, USA.; Host-Microbiota Interactions Laboratory, Wellcome Sanger Institute, Hinxton, UK.; Viral Immunology and Intravital Imaging Section, National Institute of Neurological Disorders and Stroke, National Institutes of Health, Bethesda, MA, USA. mcgavernd@mail.nih.gov.; Molecular Immunity Unit, Department of Medicine, University of Cambridge, Cambridge, UK. mrc38@cam.ac.uk.; Cellular Genetics, Wellcome Sanger Institute, Hinxton, UK. mrc38@cam.ac.uk.; Cambridge Institute of Therapeutic Immunology and Infectious Diseases, University of Cambridge, Cambridge, UK. mrc38@cam.ac.uk.&lt;/_author_adr&gt;&lt;_date_display&gt;2020 Nov 4&lt;/_date_display&gt;&lt;_date&gt;2020-11-04&lt;/_date&gt;&lt;_doi&gt;10.1038/s41586-020-2886-4&lt;/_doi&gt;&lt;_isbn&gt;1476-4687 (Electronic); 0028-0836 (Linking)&lt;/_isbn&gt;&lt;_journal&gt;Nature&lt;/_journal&gt;&lt;_language&gt;eng&lt;/_language&gt;&lt;_tertiary_title&gt;Nature&lt;/_tertiary_title&gt;&lt;_type_work&gt;Journal Article&lt;/_type_work&gt;&lt;_url&gt;http://www.ncbi.nlm.nih.gov/entrez/query.fcgi?cmd=Retrieve&amp;amp;db=pubmed&amp;amp;dopt=Abstract&amp;amp;list_uids=33149302&amp;amp;query_hl=1&lt;/_url&gt;&lt;_created&gt;63564087&lt;/_created&gt;&lt;_modified&gt;63564087&lt;/_modified&gt;&lt;_db_updated&gt;PubMed&lt;/_db_updated&gt;&lt;_impact_factor&gt;  42.778&lt;/_impact_factor&gt;&lt;_collection_scope&gt;SCI;SCIE&lt;/_collection_scope&gt;&lt;/Details&gt;&lt;Extra&gt;&lt;DBUID&gt;{F96A950B-833F-4880-A151-76DA2D6A2879}&lt;/DBUID&gt;&lt;/Extra&gt;&lt;/Item&gt;&lt;/References&gt;&lt;/Group&gt;&lt;/Citation&gt;_x000a_"/>
    <w:docVar w:name="NE.Ref{324592C4-8E3F-48AD-9A45-B56BB1EAE519}" w:val=" ADDIN NE.Ref.{324592C4-8E3F-48AD-9A45-B56BB1EAE519}&lt;Citation&gt;&lt;Group&gt;&lt;References&gt;&lt;Item&gt;&lt;ID&gt;683&lt;/ID&gt;&lt;UID&gt;{D085AF21-BF4D-4F4C-A933-D3CA9EE7199B}&lt;/UID&gt;&lt;Title&gt;A systemic view of Alzheimer disease - insights from amyloid-beta metabolism beyond the brain&lt;/Title&gt;&lt;Template&gt;Journal Article&lt;/Template&gt;&lt;Star&gt;0&lt;/Star&gt;&lt;Tag&gt;0&lt;/Tag&gt;&lt;Author&gt;Wang, J; Gu, B J; Masters, C L; Wang, Y J&lt;/Author&gt;&lt;Year&gt;2017&lt;/Year&gt;&lt;Details&gt;&lt;_accession_num&gt;29027541&lt;/_accession_num&gt;&lt;_collection_scope&gt;SCI;SCIE&lt;/_collection_scope&gt;&lt;_created&gt;63229788&lt;/_created&gt;&lt;_date&gt;2017-11-01&lt;/_date&gt;&lt;_date_display&gt;2017 Nov&lt;/_date_display&gt;&lt;_db_updated&gt;PubMed&lt;/_db_updated&gt;&lt;_doi&gt;10.1038/nrneurol.2017.147&lt;/_doi&gt;&lt;_impact_factor&gt;  27.000&lt;/_impact_factor&gt;&lt;_isbn&gt;1759-4766 (Electronic); 1759-4758 (Linking)&lt;/_isbn&gt;&lt;_issue&gt;11&lt;/_issue&gt;&lt;_journal&gt;Nat Rev Neurol&lt;/_journal&gt;&lt;_language&gt;eng&lt;/_language&gt;&lt;_modified&gt;63229788&lt;/_modified&gt;&lt;_pages&gt;703&lt;/_pages&gt;&lt;_tertiary_title&gt;Nature reviews. Neurology&lt;/_tertiary_title&gt;&lt;_type_work&gt;Journal Article; Published Erratum&lt;/_type_work&gt;&lt;_url&gt;http://www.ncbi.nlm.nih.gov/entrez/query.fcgi?cmd=Retrieve&amp;amp;db=pubmed&amp;amp;dopt=Abstract&amp;amp;list_uids=29027541&amp;amp;query_hl=1&lt;/_url&gt;&lt;_volume&gt;13&lt;/_volume&gt;&lt;/Details&gt;&lt;Extra&gt;&lt;DBUID&gt;{F96A950B-833F-4880-A151-76DA2D6A2879}&lt;/DBUID&gt;&lt;/Extra&gt;&lt;/Item&gt;&lt;/References&gt;&lt;/Group&gt;&lt;Group&gt;&lt;References&gt;&lt;Item&gt;&lt;ID&gt;428&lt;/ID&gt;&lt;UID&gt;{B7229D08-D052-4B7B-8458-CA13A983CA0B}&lt;/UID&gt;&lt;Title&gt;Alterations in the Peripheral Immune System in Dementia&lt;/Title&gt;&lt;Template&gt;Journal Article&lt;/Template&gt;&lt;Star&gt;0&lt;/Star&gt;&lt;Tag&gt;0&lt;/Tag&gt;&lt;Author&gt;Busse, M; Michler, E; von Hoff, F; Dobrowolny, H; Hartig, R; Frodl, T; Busse, S&lt;/Author&gt;&lt;Year&gt;2017&lt;/Year&gt;&lt;Details&gt;&lt;_accession_num&gt;28582858&lt;/_accession_num&gt;&lt;_author_adr&gt;Department of Psychiatry, University of Magdeburg, Magdeburg, Germany.; Department of Psychiatry, University of Magdeburg, Magdeburg, Germany.; Department of Psychiatry, University of Magdeburg, Magdeburg, Germany.; Department of Psychiatry, University of Magdeburg, Magdeburg, Germany.; Institute of Immunology, University of Magdeburg, Magdeburg, Germany.; Department of Psychiatry, University of Magdeburg, Magdeburg, Germany.; Department of Psychiatry, University of Magdeburg, Magdeburg, Germany.&lt;/_author_adr&gt;&lt;_collection_scope&gt;SCIE&lt;/_collection_scope&gt;&lt;_created&gt;63158186&lt;/_created&gt;&lt;_date&gt;2017-01-20&lt;/_date&gt;&lt;_date_display&gt;2017&lt;/_date_display&gt;&lt;_db_updated&gt;PubMed&lt;/_db_updated&gt;&lt;_doi&gt;10.3233/JAD-161304&lt;/_doi&gt;&lt;_impact_factor&gt;   3.909&lt;/_impact_factor&gt;&lt;_isbn&gt;1875-8908 (Electronic); 1387-2877 (Linking)&lt;/_isbn&gt;&lt;_issue&gt;4&lt;/_issue&gt;&lt;_journal&gt;J Alzheimers Dis&lt;/_journal&gt;&lt;_keywords&gt;Aged; Aged, 80 and over; Alzheimer Disease/blood/cerebrospinal fluid/*immunology; Antigens, CD/metabolism; Cohort Studies; Dementia, Vascular/blood/cerebrospinal fluid/*immunology; Female; Frontotemporal Dementia/blood/cerebrospinal fluid/*immunology; HLA-DR Antigens/blood/cerebrospinal fluid; Humans; Immune System/metabolism/*physiopathology; Leukocytes/*metabolism; Logistic Models; Male; Mental Status and Dementia Tests; Statistics, Nonparametric*Alzheimer&amp;apos;s disease; *B cells; *NK cells; *T cells; *frontotemporal dementia; *monocytes; *vascular dementia&lt;/_keywords&gt;&lt;_language&gt;eng&lt;/_language&gt;&lt;_modified&gt;63158187&lt;/_modified&gt;&lt;_pages&gt;1303-1313&lt;/_pages&gt;&lt;_tertiary_title&gt;Journal of Alzheimer&amp;apos;s disease : JAD&lt;/_tertiary_title&gt;&lt;_type_work&gt;Journal Article&lt;/_type_work&gt;&lt;_url&gt;http://www.ncbi.nlm.nih.gov/entrez/query.fcgi?cmd=Retrieve&amp;amp;db=pubmed&amp;amp;dopt=Abstract&amp;amp;list_uids=28582858&amp;amp;query_hl=1&lt;/_url&gt;&lt;_volume&gt;58&lt;/_volume&gt;&lt;/Details&gt;&lt;Extra&gt;&lt;DBUID&gt;{F96A950B-833F-4880-A151-76DA2D6A2879}&lt;/DBUID&gt;&lt;/Extra&gt;&lt;/Item&gt;&lt;/References&gt;&lt;/Group&gt;&lt;Group&gt;&lt;References&gt;&lt;Item&gt;&lt;ID&gt;391&lt;/ID&gt;&lt;UID&gt;{1CF1213C-1134-4ED4-8B34-5DF31C5E54B2}&lt;/UID&gt;&lt;Title&gt;Systemic immune aberrations in Alzheimer&amp;apos;s disease patients&lt;/Title&gt;&lt;Template&gt;Journal Article&lt;/Template&gt;&lt;Star&gt;0&lt;/Star&gt;&lt;Tag&gt;0&lt;/Tag&gt;&lt;Author&gt;Bonotis, K; Krikki, E; Holeva, V; Aggouridaki, C; Costa, V; Baloyannis, S&lt;/Author&gt;&lt;Year&gt;2008&lt;/Year&gt;&lt;Details&gt;&lt;_accession_num&gt;18037502&lt;/_accession_num&gt;&lt;_author_adr&gt;1st Department of Neurology, Aristotle University of Thessaloniki, Greece. kbonotis@yahoo.gr&lt;/_author_adr&gt;&lt;_collection_scope&gt;SCI;SCIE&lt;/_collection_scope&gt;&lt;_created&gt;63158165&lt;/_created&gt;&lt;_date&gt;2008-01-01&lt;/_date&gt;&lt;_date_display&gt;2008 Jan&lt;/_date_display&gt;&lt;_db_updated&gt;PubMed&lt;/_db_updated&gt;&lt;_doi&gt;10.1016/j.jneuroim.2007.10.020&lt;/_doi&gt;&lt;_impact_factor&gt;   3.125&lt;/_impact_factor&gt;&lt;_isbn&gt;0165-5728 (Print); 0165-5728 (Linking)&lt;/_isbn&gt;&lt;_issue&gt;1-2&lt;/_issue&gt;&lt;_journal&gt;J Neuroimmunol&lt;/_journal&gt;&lt;_keywords&gt;Aged; Aged, 80 and over; Alzheimer Disease/*immunology; Cytokines/blood; Female; Humans; Linear Models; Male; T-Lymphocyte Subsets/immunology&lt;/_keywords&gt;&lt;_language&gt;eng&lt;/_language&gt;&lt;_modified&gt;63158165&lt;/_modified&gt;&lt;_pages&gt;183-7&lt;/_pages&gt;&lt;_tertiary_title&gt;Journal of neuroimmunology&lt;/_tertiary_title&gt;&lt;_type_work&gt;Journal Article&lt;/_type_work&gt;&lt;_url&gt;http://www.ncbi.nlm.nih.gov/entrez/query.fcgi?cmd=Retrieve&amp;amp;db=pubmed&amp;amp;dopt=Abstract&amp;amp;list_uids=18037502&amp;amp;query_hl=1&lt;/_url&gt;&lt;_volume&gt;193&lt;/_volume&gt;&lt;/Details&gt;&lt;Extra&gt;&lt;DBUID&gt;{F96A950B-833F-4880-A151-76DA2D6A2879}&lt;/DBUID&gt;&lt;/Extra&gt;&lt;/Item&gt;&lt;/References&gt;&lt;/Group&gt;&lt;/Citation&gt;_x000a_"/>
    <w:docVar w:name="NE.Ref{35563553-EB8B-42D3-A1E0-765BCB1BA9D3}" w:val=" ADDIN NE.Ref.{35563553-EB8B-42D3-A1E0-765BCB1BA9D3}&lt;Citation&gt;&lt;Group&gt;&lt;References&gt;&lt;Item&gt;&lt;ID&gt;730&lt;/ID&gt;&lt;UID&gt;{399F6836-CB55-4579-94C6-5E4018FCB616}&lt;/UID&gt;&lt;Title&gt;BAFF: a fundamental survival factor for B cells&lt;/Title&gt;&lt;Template&gt;Journal Article&lt;/Template&gt;&lt;Star&gt;0&lt;/Star&gt;&lt;Tag&gt;0&lt;/Tag&gt;&lt;Author&gt;Mackay, F; Browning, J L&lt;/Author&gt;&lt;Year&gt;2002&lt;/Year&gt;&lt;Details&gt;&lt;_accession_num&gt;12094221&lt;/_accession_num&gt;&lt;_author_adr&gt;Garvan Institute of Medical Research, Department of Arthritis and Inflammation, 384 Victoria Street, Darlinghurst, New South Wales 2010, Australia. f.mackay@garvan.unsw.edu.au&lt;/_author_adr&gt;&lt;_collection_scope&gt;SCI;SCIE&lt;/_collection_scope&gt;&lt;_created&gt;63229945&lt;/_created&gt;&lt;_date&gt;2002-07-01&lt;/_date&gt;&lt;_date_display&gt;2002 Jul&lt;/_date_display&gt;&lt;_db_updated&gt;PubMed&lt;/_db_updated&gt;&lt;_doi&gt;10.1038/nri844&lt;/_doi&gt;&lt;_impact_factor&gt;  44.019&lt;/_impact_factor&gt;&lt;_isbn&gt;1474-1733 (Print); 1474-1733 (Linking)&lt;/_isbn&gt;&lt;_issue&gt;7&lt;/_issue&gt;&lt;_journal&gt;Nat Rev Immunol&lt;/_journal&gt;&lt;_keywords&gt;Animals; Autoimmunity/physiology; B-Cell Activating Factor; B-Cell Activation Factor Receptor; B-Lymphocytes/*physiology; Humans; Membrane Proteins/*physiology; Models, Molecular; Receptors, Tumor Necrosis Factor/physiology; Tumor Necrosis Factor-alpha/*physiology&lt;/_keywords&gt;&lt;_language&gt;eng&lt;/_language&gt;&lt;_modified&gt;63229945&lt;/_modified&gt;&lt;_pages&gt;465-75&lt;/_pages&gt;&lt;_tertiary_title&gt;Nature reviews. Immunology&lt;/_tertiary_title&gt;&lt;_type_work&gt;Journal Article; Review&lt;/_type_work&gt;&lt;_url&gt;http://www.ncbi.nlm.nih.gov/entrez/query.fcgi?cmd=Retrieve&amp;amp;db=pubmed&amp;amp;dopt=Abstract&amp;amp;list_uids=12094221&amp;amp;query_hl=1&lt;/_url&gt;&lt;_volume&gt;2&lt;/_volume&gt;&lt;/Details&gt;&lt;Extra&gt;&lt;DBUID&gt;{F96A950B-833F-4880-A151-76DA2D6A2879}&lt;/DBUID&gt;&lt;/Extra&gt;&lt;/Item&gt;&lt;/References&gt;&lt;/Group&gt;&lt;Group&gt;&lt;References&gt;&lt;Item&gt;&lt;ID&gt;731&lt;/ID&gt;&lt;UID&gt;{4FA2E18B-E291-4AC1-865A-30517DAB5172}&lt;/UID&gt;&lt;Title&gt;The Unknown Aspect of BAFF: Inducing IL-35 Production by a CD5(+)CD1d(hi)FcgammaRIIb(hi) Regulatory B-Cell Subset in Lupus&lt;/Title&gt;&lt;Template&gt;Journal Article&lt;/Template&gt;&lt;Star&gt;0&lt;/Star&gt;&lt;Tag&gt;0&lt;/Tag&gt;&lt;Author&gt;Zhang, Y; Li, J; Zhou, N; Zhang, Y; Wu, M; Xu, J; Shen, C; An, X; Shen, G; Yang, M; Zhang, C; Tao, J&lt;/Author&gt;&lt;Year&gt;2017&lt;/Year&gt;&lt;Details&gt;&lt;_accession_num&gt;28844943&lt;/_accession_num&gt;&lt;_author_adr&gt;Department of Dermatology, Union Hospital, Tongji Medical College, Huangzhong University of Science and Technology, Wuhan, Hubei, China.; Department of Dermatology, Union Hospital, Tongji Medical College, Huangzhong University of Science and Technology, Wuhan, Hubei, China; Department of Dermatology, The Central Hospital of Wuhan, Tongji Medical College, Huangzhong University of Science and Technology, Wuhan, Hubei, China.; Department of Dermatology, Union Hospital, Tongji Medical College, Huangzhong University of Science and Technology, Wuhan, Hubei, China.; Department of Dermatology, Union Hospital, Tongji Medical College, Huangzhong University of Science and Technology, Wuhan, Hubei, China.; Department of Immunology, Tongji Medical College, Huangzhong University of Science and Technology, Wuhan, Hubei, China.; Department of Hematology, Union Hospital, Tongji Medical College, Huangzhong University of Science and Technology, Wuhan, Hubei, China.; Department of Dermatology, Union Hospital, Tongji Medical College, Huangzhong University of Science and Technology, Wuhan, Hubei, China.; Department of Dermatology, Union Hospital, Tongji Medical College, Huangzhong University of Science and Technology, Wuhan, Hubei, China.; Department of Immunology, Tongji Medical College, Huangzhong University of Science and Technology, Wuhan, Hubei, China.; Department of Dermatology, The Central Hospital of Wuhan, Tongji Medical College, Huangzhong University of Science and Technology, Wuhan, Hubei, China.; Department of Nephrology, Union Hospital, Tongji Medical College, HUST, Wuhan, Hubei, China.; Department of Dermatology, Union Hospital, Tongji Medical College, Huangzhong University of Science and Technology, Wuhan, Hubei, China. Electronic address: tjhappy@126.com.&lt;/_author_adr&gt;&lt;_collection_scope&gt;SCI;SCIE&lt;/_collection_scope&gt;&lt;_created&gt;63229946&lt;/_created&gt;&lt;_date&gt;2017-12-01&lt;/_date&gt;&lt;_date_display&gt;2017 Dec&lt;/_date_display&gt;&lt;_db_updated&gt;PubMed&lt;/_db_updated&gt;&lt;_doi&gt;10.1016/j.jid.2017.07.843&lt;/_doi&gt;&lt;_impact_factor&gt;   6.290&lt;/_impact_factor&gt;&lt;_isbn&gt;1523-1747 (Electronic); 0022-202X (Linking)&lt;/_isbn&gt;&lt;_issue&gt;12&lt;/_issue&gt;&lt;_journal&gt;J Invest Dermatol&lt;/_journal&gt;&lt;_keywords&gt;Animals; Antigens, CD1d/metabolism; B-Cell Activating Factor/*metabolism; B-Lymphocytes, Regulatory/*metabolism; CD4-Positive T-Lymphocytes/cytology; CD5 Antigens/*metabolism; Humans; Interleukins/*metabolism; Lupus Erythematosus, Systemic/genetics/*metabolism; Lymphocyte Activation; Mice; Mice, Inbred MRL lpr; Mice, Transgenic; Phenotype; Receptors, IgG/*metabolism; Spleen/metabolism&lt;/_keywords&gt;&lt;_language&gt;eng&lt;/_language&gt;&lt;_modified&gt;63229946&lt;/_modified&gt;&lt;_ori_publication&gt;Copyright (c) 2017 The Authors. Published by Elsevier Inc. All rights reserved.&lt;/_ori_publication&gt;&lt;_pages&gt;2532-2543&lt;/_pages&gt;&lt;_tertiary_title&gt;The Journal of investigative dermatology&lt;/_tertiary_title&gt;&lt;_type_work&gt;Journal Article; Research Support, Non-U.S. Gov&amp;apos;t&lt;/_type_work&gt;&lt;_url&gt;http://www.ncbi.nlm.nih.gov/entrez/query.fcgi?cmd=Retrieve&amp;amp;db=pubmed&amp;amp;dopt=Abstract&amp;amp;list_uids=28844943&amp;amp;query_hl=1&lt;/_url&gt;&lt;_volume&gt;137&lt;/_volume&gt;&lt;/Details&gt;&lt;Extra&gt;&lt;DBUID&gt;{F96A950B-833F-4880-A151-76DA2D6A2879}&lt;/DBUID&gt;&lt;/Extra&gt;&lt;/Item&gt;&lt;/References&gt;&lt;/Group&gt;&lt;/Citation&gt;_x000a_"/>
    <w:docVar w:name="NE.Ref{3607E832-0027-4B65-A027-8E3DE4C4E985}" w:val=" ADDIN NE.Ref.{3607E832-0027-4B65-A027-8E3DE4C4E985}&lt;Citation&gt;&lt;Group&gt;&lt;References&gt;&lt;Item&gt;&lt;ID&gt;782&lt;/ID&gt;&lt;UID&gt;{25A369F5-8090-445F-8008-80F16932E73B}&lt;/UID&gt;&lt;Title&gt;CD36 ligands promote sterile inflammation through assembly of a Toll-like receptor 4 and 6 heterodimer&lt;/Title&gt;&lt;Template&gt;Journal Article&lt;/Template&gt;&lt;Star&gt;0&lt;/Star&gt;&lt;Tag&gt;0&lt;/Tag&gt;&lt;Author&gt;Stewart, C R; Stuart, L M; Wilkinson, K; van Gils, J M; Deng, J; Halle, A; Rayner, K J; Boyer, L; Zhong, R; Frazier, W A; Lacy-Hulbert, A; El, Khoury J; Golenbock, D T; Moore, K J&lt;/Author&gt;&lt;Year&gt;2010&lt;/Year&gt;&lt;Details&gt;&lt;_accession_num&gt;20037584&lt;/_accession_num&gt;&lt;_author_adr&gt;Lipid Metabolism Unit, Department of Medicine, Harvard Medical School, Boston, Massachusetts, USA.&lt;/_author_adr&gt;&lt;_date_display&gt;2010 Feb&lt;/_date_display&gt;&lt;_date&gt;2010-02-01&lt;/_date&gt;&lt;_doi&gt;10.1038/ni.1836&lt;/_doi&gt;&lt;_isbn&gt;1529-2916 (Electronic); 1529-2908 (Linking)&lt;/_isbn&gt;&lt;_issue&gt;2&lt;/_issue&gt;&lt;_journal&gt;Nat Immunol&lt;/_journal&gt;&lt;_language&gt;eng&lt;/_language&gt;&lt;_pages&gt;155-61&lt;/_pages&gt;&lt;_subject_headings&gt;Amyloid beta-Peptides/immunology; Animals; Atherosclerosis/immunology/metabolism; Blotting, Western; CD36 Antigens/*immunology/metabolism; Cell Line; Chemokines/biosynthesis/immunology; Gene Expression; Humans; Immunoprecipitation; Inflammation/*immunology/metabolism; Lipoproteins, LDL/immunology; Mice; Mice, Inbred C57BL; Mice, Knockout; Microglia/immunology/metabolism; Reverse Transcriptase Polymerase Chain Reaction; Signal Transduction/*immunology; Toll-Like Receptor 4/*immunology/metabolism; Toll-Like Receptor 6/*immunology/metabolism&lt;/_subject_headings&gt;&lt;_tertiary_title&gt;Nature immunology&lt;/_tertiary_title&gt;&lt;_type_work&gt;Journal Article; Research Support, N.I.H., Extramural; Research Support, Non-U.S. Gov&amp;apos;t&lt;/_type_work&gt;&lt;_url&gt;http://www.ncbi.nlm.nih.gov/entrez/query.fcgi?cmd=Retrieve&amp;amp;db=pubmed&amp;amp;dopt=Abstract&amp;amp;list_uids=20037584&amp;amp;query_hl=1&lt;/_url&gt;&lt;_volume&gt;11&lt;/_volume&gt;&lt;_created&gt;63564098&lt;/_created&gt;&lt;_modified&gt;63564098&lt;/_modified&gt;&lt;_db_updated&gt;PubMed&lt;/_db_updated&gt;&lt;_impact_factor&gt;  20.479&lt;/_impact_factor&gt;&lt;_collection_scope&gt;SCI;SCIE&lt;/_collection_scope&gt;&lt;/Details&gt;&lt;Extra&gt;&lt;DBUID&gt;{F96A950B-833F-4880-A151-76DA2D6A2879}&lt;/DBUID&gt;&lt;/Extra&gt;&lt;/Item&gt;&lt;/References&gt;&lt;/Group&gt;&lt;/Citation&gt;_x000a_"/>
    <w:docVar w:name="NE.Ref{37ACCE28-86BA-4975-B288-F9A2D880A37B}" w:val=" ADDIN NE.Ref.{37ACCE28-86BA-4975-B288-F9A2D880A37B}&lt;Citation&gt;&lt;Group&gt;&lt;References&gt;&lt;Item&gt;&lt;ID&gt;696&lt;/ID&gt;&lt;UID&gt;{E2765E6B-108D-43C1-A66C-382CE321D1C4}&lt;/UID&gt;&lt;Title&gt;CNS lymphatic drainage and neuroinflammation are regulated by meningeal lymphatic vasculature&lt;/Title&gt;&lt;Template&gt;Journal Article&lt;/Template&gt;&lt;Star&gt;0&lt;/Star&gt;&lt;Tag&gt;0&lt;/Tag&gt;&lt;Author&gt;Louveau, A; Herz, J; Alme, M N; Salvador, A F; Dong, M Q; Viar, K E; Herod, S G; Knopp, J; Setliff, J C; Lupi, A L; Da, Mesquita S; Frost, E L; Gaultier, A; Harris, T H; Cao, R; Hu, S; Lukens, J R; Smirnov, I; Overall, C C; Oliver, G; Kipnis, J&lt;/Author&gt;&lt;Year&gt;2018&lt;/Year&gt;&lt;Details&gt;&lt;_accession_num&gt;30224810&lt;/_accession_num&gt;&lt;_author_adr&gt;Center for Brain Immunology and Glia (BIG), University of Virginia, Charlottesville, VA, USA. al2hk@virginia.edu.; Department of Neuroscience, University of Virginia, Charlottesville, VA, USA. al2hk@virginia.edu.; Center for Brain Immunology and Glia (BIG), University of Virginia, Charlottesville, VA, USA.; Department of Neuroscience, University of Virginia, Charlottesville, VA, USA.; Center for Brain Immunology and Glia (BIG), University of Virginia, Charlottesville, VA, USA.; Department of Neuroscience, University of Virginia, Charlottesville, VA, USA.; Department of Clinical Medicine, University of Bergen, Bergen, Norway.; Department of Neurology, Haukeland University Hospital, Bergen, Norway.; Center for Brain Immunology and Glia (BIG), University of Virginia, Charlottesville, VA, USA.; Department of Neuroscience, University of Virginia, Charlottesville, VA, USA.; Neuroscience Graduate Program, University of Virginia, Charlottesville, VA, USA.; Center for Brain Immunology and Glia (BIG), University of Virginia, Charlottesville, VA, USA.; Department of Neuroscience, University of Virginia, Charlottesville, VA, USA.; Center for Brain Immunology and Glia (BIG), University of Virginia, Charlottesville, VA, USA.; Department of Neuroscience, University of Virginia, Charlottesville, VA, USA.; Center for Brain Immunology and Glia (BIG), University of Virginia, Charlottesville, VA, USA.; Department of Neuroscience, University of Virginia, Charlottesville, VA, USA.; Center for Brain Immunology and Glia (BIG), University of Virginia, Charlottesville, VA, USA.; Department of Neuroscience, University of Virginia, Charlottesville, VA, USA.; Center for Brain Immunology and Glia (BIG), University of Virginia, Charlottesville, VA, USA.; Department of Neuroscience, University of Virginia, Charlottesville, VA, USA.; Center for Brain Immunology and Glia (BIG), University of Virginia, Charlottesville, VA, USA.; Department of Neuroscience, University of Virginia, Charlottesville, VA, USA.; Center for Brain Immunology and Glia (BIG), University of Virginia, Charlottesville, VA, USA.; Department of Neuroscience, University of Virginia, Charlottesville, VA, USA.; Center for Brain Immunology and Glia (BIG), University of Virginia, Charlottesville, VA, USA.; Department of Neuroscience, University of Virginia, Charlottesville, VA, USA.; Center for Brain Immunology and Glia (BIG), University of Virginia, Charlottesville, VA, USA.; Department of Neuroscience, University of Virginia, Charlottesville, VA, USA.; Center for Brain Immunology and Glia (BIG), University of Virginia, Charlottesville, VA, USA.; Department of Neuroscience, University of Virginia, Charlottesville, VA, USA.; Department of Biomedical Engineering, University of Virginia, Charlottesville, VA, USA.; Department of Biomedical Engineering, University of Virginia, Charlottesville, VA, USA.; Center for Brain Immunology and Glia (BIG), University of Virginia, Charlottesville, VA, USA.; Department of Neuroscience, University of Virginia, Charlottesville, VA, USA.; Center for Brain Immunology and Glia (BIG), University of Virginia, Charlottesville, VA, USA.; Department of Neuroscience, University of Virginia, Charlottesville, VA, USA.; Center for Brain Immunology and Glia (BIG), University of Virginia, Charlottesville, VA, USA.; Department of Neuroscience, University of Virginia, Charlottesville, VA, USA.; Northwestern University, Feinberg School of Medicine, Chicago, IL, USA.; Center for Brain Immunology and Glia (BIG), University of Virginia, Charlottesville, VA, USA. kipnis@virginia.edu.; Department of Neuroscience, University of Virginia, Charlottesville, VA, USA. kipnis@virginia.edu.; Neuroscience Graduate Program, University of Virginia, Charlottesville, VA, USA.  kipnis@virginia.edu.; Gutenberg Research Fellowship Group of Neuroimmunology, Focus Program Translational Neuroscience (FTN) and Immunotherapy (FZI), Rhine Main Neuroscience Network (rmn(2)), University Medical Center of the Johannes Gutenberg University  Mainz, Mainz, Germany. kipnis@virginia.edu.&lt;/_author_adr&gt;&lt;_collection_scope&gt;SCI;SCIE&lt;/_collection_scope&gt;&lt;_created&gt;63229842&lt;/_created&gt;&lt;_date&gt;2018-10-01&lt;/_date&gt;&lt;_date_display&gt;2018 Oct&lt;/_date_display&gt;&lt;_db_updated&gt;PubMed&lt;/_db_updated&gt;&lt;_doi&gt;10.1038/s41593-018-0227-9&lt;/_doi&gt;&lt;_impact_factor&gt;  21.126&lt;/_impact_factor&gt;&lt;_isbn&gt;1546-1726 (Electronic); 1097-6256 (Linking)&lt;/_isbn&gt;&lt;_issue&gt;10&lt;/_issue&gt;&lt;_journal&gt;Nat Neurosci&lt;/_journal&gt;&lt;_keywords&gt;Animals; Antigens, CD/genetics/metabolism; Central Nervous System/immunology/pathology; Dendritic Cells/pathology; Disease Models, Animal; Encephalitis/chemically induced/*pathology/*physiopathology; Green Fluorescent Proteins/genetics/metabolism; Homeodomain Proteins/genetics/metabolism; Lymph Nodes/pathology; Lymphatic Vessels/*physiology; Male; Meninges/*pathology; Mice; Mice, Inbred C57BL; Mice, Transgenic; MicroRNAs/genetics/metabolism; Myelin-Oligodendrocyte Glycoprotein/toxicity; Peptide Fragments/toxicity; Photosensitizing Agents/pharmacology; Receptors, CCR7/deficiency/genetics; Spleen/pathology; T-Lymphocytes/physiology; Tumor Suppressor Proteins/genetics/metabolism&lt;/_keywords&gt;&lt;_language&gt;eng&lt;/_language&gt;&lt;_modified&gt;63229842&lt;/_modified&gt;&lt;_pages&gt;1380-1391&lt;/_pages&gt;&lt;_tertiary_title&gt;Nature neuroscience&lt;/_tertiary_title&gt;&lt;_type_work&gt;Journal Article; Research Support, N.I.H., Extramural; Research Support, Non-U.S. Gov&amp;apos;t&lt;/_type_work&gt;&lt;_url&gt;http://www.ncbi.nlm.nih.gov/entrez/query.fcgi?cmd=Retrieve&amp;amp;db=pubmed&amp;amp;dopt=Abstract&amp;amp;list_uids=30224810&amp;amp;query_hl=1&lt;/_url&gt;&lt;_volume&gt;21&lt;/_volume&gt;&lt;/Details&gt;&lt;Extra&gt;&lt;DBUID&gt;{F96A950B-833F-4880-A151-76DA2D6A2879}&lt;/DBUID&gt;&lt;/Extra&gt;&lt;/Item&gt;&lt;/References&gt;&lt;/Group&gt;&lt;/Citation&gt;_x000a_"/>
    <w:docVar w:name="NE.Ref{3A17F7C3-B5E8-4AAD-AF5A-DA9985C19CAA}" w:val=" ADDIN NE.Ref.{3A17F7C3-B5E8-4AAD-AF5A-DA9985C19CAA}&lt;Citation&gt;&lt;Group&gt;&lt;References&gt;&lt;Item&gt;&lt;ID&gt;689&lt;/ID&gt;&lt;UID&gt;{E9695315-E6AA-4ACE-A8A5-41B65B9DBFAE}&lt;/UID&gt;&lt;Title&gt;Respiratory infection promotes T cell infiltration and amyloid-beta deposition in APP/PS1 mice&lt;/Title&gt;&lt;Template&gt;Journal Article&lt;/Template&gt;&lt;Star&gt;0&lt;/Star&gt;&lt;Tag&gt;0&lt;/Tag&gt;&lt;Author&gt;McManus, R M; Higgins, S C; Mills, K H; Lynch, M A&lt;/Author&gt;&lt;Year&gt;2014&lt;/Year&gt;&lt;Details&gt;&lt;_accession_num&gt;23993702&lt;/_accession_num&gt;&lt;_author_adr&gt;Trinity College Institute of Neuroscience, Trinity Biomedical Sciences Institute, Trinity College Dublin, Dublin, Ireland; School of Biochemistry and Immunology, Trinity Biomedical Sciences Institute, Trinity College Dublin, Dublin, Ireland. Electronic address: mcmanur@tcd.ie.&lt;/_author_adr&gt;&lt;_collection_scope&gt;SCI;SCIE&lt;/_collection_scope&gt;&lt;_created&gt;63229827&lt;/_created&gt;&lt;_date&gt;2014-01-01&lt;/_date&gt;&lt;_date_display&gt;2014 Jan&lt;/_date_display&gt;&lt;_db_updated&gt;PubMed&lt;/_db_updated&gt;&lt;_doi&gt;10.1016/j.neurobiolaging.2013.07.025&lt;/_doi&gt;&lt;_impact_factor&gt;   4.347&lt;/_impact_factor&gt;&lt;_isbn&gt;1558-1497 (Electronic); 0197-4580 (Linking)&lt;/_isbn&gt;&lt;_issue&gt;1&lt;/_issue&gt;&lt;_journal&gt;Neurobiol Aging&lt;/_journal&gt;&lt;_keywords&gt;Alzheimer Disease/*etiology/immunology/metabolism/pathology; Amyloid beta-Peptides/*metabolism; Amyloid beta-Protein Precursor; Animals; Brain/cytology/*immunology/metabolism; Cells, Cultured; Disease Progression; Female; Interferon-gamma/biosynthesis; Interleukin-17/biosynthesis; Killer Cells, Natural/immunology; Male; Mice; Mice, Inbred Strains; Neuroglia/metabolism/pathology; Presenilin-1; T-Lymphocytes/*immunology/metabolism; Whooping Cough/*complications/*immunologyAlzheimer&amp;apos;s disease; Amyloid beta; Infection; Microglia; Neuroinflammation; T cell&lt;/_keywords&gt;&lt;_language&gt;eng&lt;/_language&gt;&lt;_modified&gt;63430414&lt;/_modified&gt;&lt;_ori_publication&gt;Copyright (c) 2014 Elsevier Inc. All rights reserved.&lt;/_ori_publication&gt;&lt;_pages&gt;109-21&lt;/_pages&gt;&lt;_tertiary_title&gt;Neurobiology of aging&lt;/_tertiary_title&gt;&lt;_type_work&gt;Journal Article; Research Support, Non-U.S. Gov&amp;apos;t&lt;/_type_work&gt;&lt;_url&gt;http://www.ncbi.nlm.nih.gov/entrez/query.fcgi?cmd=Retrieve&amp;amp;db=pubmed&amp;amp;dopt=Abstract&amp;amp;list_uids=23993702&amp;amp;query_hl=1&lt;/_url&gt;&lt;_volume&gt;35&lt;/_volume&gt;&lt;/Details&gt;&lt;Extra&gt;&lt;DBUID&gt;{F96A950B-833F-4880-A151-76DA2D6A2879}&lt;/DBUID&gt;&lt;/Extra&gt;&lt;/Item&gt;&lt;/References&gt;&lt;/Group&gt;&lt;/Citation&gt;_x000a_"/>
    <w:docVar w:name="NE.Ref{4A3967E7-5A5D-4FEB-AB94-C0DD3127FE7E}" w:val=" ADDIN NE.Ref.{4A3967E7-5A5D-4FEB-AB94-C0DD3127FE7E}&lt;Citation&gt;&lt;Group&gt;&lt;References&gt;&lt;Item&gt;&lt;ID&gt;728&lt;/ID&gt;&lt;UID&gt;{43F52CDE-E980-431B-89EA-B23126A6DEB5}&lt;/UID&gt;&lt;Title&gt;IL-35 is a Protective Immunomodulator in Brain Ischemic Injury in Mice&lt;/Title&gt;&lt;Template&gt;Journal Article&lt;/Template&gt;&lt;Star&gt;0&lt;/Star&gt;&lt;Tag&gt;0&lt;/Tag&gt;&lt;Author&gt;Xu, C; Zhu, H; Shen, R; Feng, Q; Zhou, H; Zhao, Z&lt;/Author&gt;&lt;Year&gt;2018&lt;/Year&gt;&lt;Details&gt;&lt;_accession_num&gt;29916094&lt;/_accession_num&gt;&lt;_author_adr&gt;Department of Neurology, The Affiliated Suzhou Hospital, Nanjing Medical University, Suzhou, China.; Department of Neurology, The Affiliated Suzhou Hospital, Nanjing Medical University, Suzhou, China.; Department of Neurology, The Affiliated Suzhou Hospital, Nanjing Medical University, Suzhou, China.; Department of Neurology, The Affiliated Suzhou Hospital, Nanjing Medical University, Suzhou, China.; Department of Neurology, The Affiliated Suzhou Hospital, Nanjing Medical University, Suzhou, China. zhhua1978@sohu.com.; Department of Neurology, The Affiliated Suzhou Hospital, Nanjing Medical University, Suzhou, China. zhaozhong1963@sina.com.&lt;/_author_adr&gt;&lt;_collection_scope&gt;SCI;SCIE&lt;/_collection_scope&gt;&lt;_created&gt;63229941&lt;/_created&gt;&lt;_date&gt;2018-07-01&lt;/_date&gt;&lt;_date_display&gt;2018 Jul&lt;/_date_display&gt;&lt;_db_updated&gt;PubMed&lt;/_db_updated&gt;&lt;_doi&gt;10.1007/s11064-018-2560-5&lt;/_doi&gt;&lt;_impact_factor&gt;   3.038&lt;/_impact_factor&gt;&lt;_isbn&gt;1573-6903 (Electronic); 0364-3190 (Linking)&lt;/_isbn&gt;&lt;_issue&gt;7&lt;/_issue&gt;&lt;_journal&gt;Neurochem Res&lt;/_journal&gt;&lt;_keywords&gt;Animals; Brain Ischemia/metabolism/pathology/*prevention &amp;amp;amp; control; Immunologic Factors/*administration &amp;amp;amp; dosage/biosynthesis; Interleukins/*administration &amp;amp;amp; dosage/biosynthesis; Male; Mice; Mice, Inbred ICR; Neuroprotective Agents/*administration &amp;amp;amp; dosage; Reperfusion Injury/metabolism/pathology/*prevention &amp;amp;amp; controlCerebral ischemia; Cytokine; IL-35; Middle cerebral artery occlusion; Neuroprotection&lt;/_keywords&gt;&lt;_language&gt;eng&lt;/_language&gt;&lt;_modified&gt;63430499&lt;/_modified&gt;&lt;_pages&gt;1454-1463&lt;/_pages&gt;&lt;_tertiary_title&gt;Neurochemical research&lt;/_tertiary_title&gt;&lt;_type_work&gt;Journal Article&lt;/_type_work&gt;&lt;_url&gt;http://www.ncbi.nlm.nih.gov/entrez/query.fcgi?cmd=Retrieve&amp;amp;db=pubmed&amp;amp;dopt=Abstract&amp;amp;list_uids=29916094&amp;amp;query_hl=1&lt;/_url&gt;&lt;_volume&gt;43&lt;/_volume&gt;&lt;/Details&gt;&lt;Extra&gt;&lt;DBUID&gt;{F96A950B-833F-4880-A151-76DA2D6A2879}&lt;/DBUID&gt;&lt;/Extra&gt;&lt;/Item&gt;&lt;/References&gt;&lt;/Group&gt;&lt;/Citation&gt;_x000a_"/>
    <w:docVar w:name="NE.Ref{4F0D8486-280A-43C7-B405-400AE03165AC}" w:val=" ADDIN NE.Ref.{4F0D8486-280A-43C7-B405-400AE03165AC}&lt;Citation&gt;&lt;Group&gt;&lt;References&gt;&lt;Item&gt;&lt;ID&gt;789&lt;/ID&gt;&lt;UID&gt;{F02CC96C-569D-4216-9F38-FE77F1CA89BA}&lt;/UID&gt;&lt;Title&gt;B-cell depletion abrogates T cell-mediated demyelination in an antibody-nondependent common marmoset experimental autoimmune encephalomyelitis model&lt;/Title&gt;&lt;Template&gt;Journal Article&lt;/Template&gt;&lt;Star&gt;0&lt;/Star&gt;&lt;Tag&gt;0&lt;/Tag&gt;&lt;Author&gt;Jagessar, S A; Heijmans, N; Bauer, J; Blezer, E L; Laman, J D; Hellings, N; T, Hart BA&lt;/Author&gt;&lt;Year&gt;2012&lt;/Year&gt;&lt;Details&gt;&lt;_accession_num&gt;22805775&lt;/_accession_num&gt;&lt;_author_adr&gt;Department Immunobiology, Biomedical Primate Research Centre, Rijswijk, the Netherlands.&lt;/_author_adr&gt;&lt;_date_display&gt;2012 Aug&lt;/_date_display&gt;&lt;_date&gt;2012-08-01&lt;/_date&gt;&lt;_doi&gt;10.1097/NEN.0b013e3182622691&lt;/_doi&gt;&lt;_isbn&gt;1554-6578 (Electronic); 0022-3069 (Linking)&lt;/_isbn&gt;&lt;_issue&gt;8&lt;/_issue&gt;&lt;_journal&gt;J Neuropathol Exp Neurol&lt;/_journal&gt;&lt;_language&gt;eng&lt;/_language&gt;&lt;_pages&gt;716-28&lt;/_pages&gt;&lt;_subject_headings&gt;Animals; Antibodies/analysis; Antibodies, Monoclonal/pharmacology/therapeutic use; Antigens, CD20/immunology; B-Lymphocytes/*physiology; Brain/pathology; CD4-Positive T-Lymphocytes/physiology; CD56 Antigen/immunology; CD8-Positive T-Lymphocytes/physiology; Callithrix/*physiology; Cell Proliferation; Cytokines/biosynthesis; Demyelinating Diseases/*pathology; Encephalomyelitis, Autoimmune, Experimental/drug therapy/*pathology; Female; Immunization; Lymphocyte Depletion/*adverse effects; Myelin Proteins/immunology; Myelin-Oligodendrocyte Glycoprotein; Phenotype; Receptor-CD3 Complex, Antigen, T-Cell/immunology; Recombinant Proteins/immunology; T-Lymphocytes/*physiology&lt;/_subject_headings&gt;&lt;_tertiary_title&gt;Journal of neuropathology and experimental neurology&lt;/_tertiary_title&gt;&lt;_type_work&gt;Journal Article; Research Support, Non-U.S. Gov&amp;apos;t&lt;/_type_work&gt;&lt;_url&gt;http://www.ncbi.nlm.nih.gov/entrez/query.fcgi?cmd=Retrieve&amp;amp;db=pubmed&amp;amp;dopt=Abstract&amp;amp;list_uids=22805775&amp;amp;query_hl=1&lt;/_url&gt;&lt;_volume&gt;71&lt;/_volume&gt;&lt;_created&gt;63845258&lt;/_created&gt;&lt;_modified&gt;63845258&lt;/_modified&gt;&lt;_db_updated&gt;PubMed&lt;/_db_updated&gt;&lt;_impact_factor&gt;   2.923&lt;/_impact_factor&gt;&lt;/Details&gt;&lt;Extra&gt;&lt;DBUID&gt;{F96A950B-833F-4880-A151-76DA2D6A2879}&lt;/DBUID&gt;&lt;/Extra&gt;&lt;/Item&gt;&lt;/References&gt;&lt;/Group&gt;&lt;/Citation&gt;_x000a_"/>
    <w:docVar w:name="NE.Ref{51ADB933-01C1-42EE-BF0E-43FBF8FFF137}" w:val=" ADDIN NE.Ref.{51ADB933-01C1-42EE-BF0E-43FBF8FFF137}&lt;Citation&gt;&lt;Group&gt;&lt;References&gt;&lt;Item&gt;&lt;ID&gt;783&lt;/ID&gt;&lt;UID&gt;{1633F3E6-0F10-4D6C-B391-61F72A4B3114}&lt;/UID&gt;&lt;Title&gt;Assessment of spatial memory in mice&lt;/Title&gt;&lt;Template&gt;Journal Article&lt;/Template&gt;&lt;Star&gt;0&lt;/Star&gt;&lt;Tag&gt;0&lt;/Tag&gt;&lt;Author&gt;Sharma, S; Rakoczy, S; Brown-Borg, H&lt;/Author&gt;&lt;Year&gt;2010&lt;/Year&gt;&lt;Details&gt;&lt;_accession_num&gt;20837032&lt;/_accession_num&gt;&lt;_author_adr&gt;University of North Dakota School of Medicine and Health Sciences, Grand Forks, ND 58203, USA.&lt;/_author_adr&gt;&lt;_date_display&gt;2010 Oct 23&lt;/_date_display&gt;&lt;_date&gt;2010-10-23&lt;/_date&gt;&lt;_doi&gt;10.1016/j.lfs.2010.09.004&lt;/_doi&gt;&lt;_isbn&gt;1879-0631 (Electronic); 0024-3205 (Linking)&lt;/_isbn&gt;&lt;_issue&gt;17-18&lt;/_issue&gt;&lt;_journal&gt;Life Sci&lt;/_journal&gt;&lt;_language&gt;eng&lt;/_language&gt;&lt;_ori_publication&gt;Copyright (c) 2010 Elsevier Inc. All rights reserved.&lt;/_ori_publication&gt;&lt;_pages&gt;521-36&lt;/_pages&gt;&lt;_subject_headings&gt;Aging/*physiology; Animals; Hippocampus/physiology; Humans; Long-Term Potentiation/physiology; Maze Learning/*physiology; Memory/*physiology; Memory Disorders/diagnosis/physiopathology/prevention &amp;amp; control; Mice; Spatial Behavior/*physiology&lt;/_subject_headings&gt;&lt;_tertiary_title&gt;Life sciences&lt;/_tertiary_title&gt;&lt;_type_work&gt;Journal Article; Review&lt;/_type_work&gt;&lt;_url&gt;http://www.ncbi.nlm.nih.gov/entrez/query.fcgi?cmd=Retrieve&amp;amp;db=pubmed&amp;amp;dopt=Abstract&amp;amp;list_uids=20837032&amp;amp;query_hl=1&lt;/_url&gt;&lt;_volume&gt;87&lt;/_volume&gt;&lt;_created&gt;63573750&lt;/_created&gt;&lt;_modified&gt;63573750&lt;/_modified&gt;&lt;_db_updated&gt;PubMed&lt;/_db_updated&gt;&lt;_impact_factor&gt;   3.647&lt;/_impact_factor&gt;&lt;_collection_scope&gt;SCI;SCIE&lt;/_collection_scope&gt;&lt;/Details&gt;&lt;Extra&gt;&lt;DBUID&gt;{F96A950B-833F-4880-A151-76DA2D6A2879}&lt;/DBUID&gt;&lt;/Extra&gt;&lt;/Item&gt;&lt;/References&gt;&lt;/Group&gt;&lt;/Citation&gt;_x000a_"/>
    <w:docVar w:name="NE.Ref{51D16961-525E-473D-9806-A662E02B5137}" w:val=" ADDIN NE.Ref.{51D16961-525E-473D-9806-A662E02B5137}&lt;Citation&gt;&lt;Group&gt;&lt;References&gt;&lt;Item&gt;&lt;ID&gt;719&lt;/ID&gt;&lt;UID&gt;{755328FD-5174-4C86-9CC4-CA8B63DDB029}&lt;/UID&gt;&lt;Title&gt;IL-35, as a newly proposed homeostasis-associated molecular pattern, plays three  major functions including anti-inflammatory initiator, effector, and blocker in cardiovascular diseases&lt;/Title&gt;&lt;Template&gt;Journal Article&lt;/Template&gt;&lt;Star&gt;0&lt;/Star&gt;&lt;Tag&gt;0&lt;/Tag&gt;&lt;Author&gt;Li, X; Fang, P; Yang, W Y; Wang, H; Yang, X&lt;/Author&gt;&lt;Year&gt;2019&lt;/Year&gt;&lt;Details&gt;&lt;_accession_num&gt;28648331&lt;/_accession_num&gt;&lt;_author_adr&gt;Centers for Metabolic Disease Research, Cardiovascular Research, and Thrombosis Research, Departments of Pharmacology and Immunology, Lewis Katz School of Medicine at Temple University, Philadelphia, PA 19140, USA.; Centers for Metabolic Disease Research, Cardiovascular Research, and Thrombosis Research, Departments of Pharmacology and Immunology, Lewis Katz School of Medicine at Temple University, Philadelphia, PA 19140, USA.; Centers for Metabolic Disease Research, Cardiovascular Research, and Thrombosis Research, Departments of Pharmacology and Immunology, Lewis Katz School of Medicine at Temple University, Philadelphia, PA 19140, USA.; Centers for Metabolic Disease Research, Cardiovascular Research, and Thrombosis Research, Departments of Pharmacology and Immunology, Lewis Katz School of Medicine at Temple University, Philadelphia, PA 19140, USA.; Centers for Metabolic Disease Research, Cardiovascular Research, and Thrombosis Research, Departments of Pharmacology and Immunology, Lewis Katz School of Medicine at Temple University, Philadelphia, PA 19140, USA. Electronic address: xfyang@temple.edu.&lt;/_author_adr&gt;&lt;_collection_scope&gt;SCI;SCIE&lt;/_collection_scope&gt;&lt;_created&gt;63229919&lt;/_created&gt;&lt;_date&gt;2019-10-01&lt;/_date&gt;&lt;_date_display&gt;2019 Oct&lt;/_date_display&gt;&lt;_db_updated&gt;PubMed&lt;/_db_updated&gt;&lt;_doi&gt;10.1016/j.cyto.2017.06.003&lt;/_doi&gt;&lt;_impact_factor&gt;   3.078&lt;/_impact_factor&gt;&lt;_isbn&gt;1096-0023 (Electronic); 1043-4666 (Linking)&lt;/_isbn&gt;&lt;_journal&gt;Cytokine&lt;/_journal&gt;&lt;_keywords&gt;Atherosclerosis; Cardiovascular disease; HAMP; IL-35; Vascular inflammation&lt;/_keywords&gt;&lt;_language&gt;eng&lt;/_language&gt;&lt;_modified&gt;63229919&lt;/_modified&gt;&lt;_ori_publication&gt;Copyright (c) 2017 Elsevier Ltd. All rights reserved.&lt;/_ori_publication&gt;&lt;_pages&gt;154076&lt;/_pages&gt;&lt;_tertiary_title&gt;Cytokine&lt;/_tertiary_title&gt;&lt;_type_work&gt;Journal Article&lt;/_type_work&gt;&lt;_url&gt;http://www.ncbi.nlm.nih.gov/entrez/query.fcgi?cmd=Retrieve&amp;amp;db=pubmed&amp;amp;dopt=Abstract&amp;amp;list_uids=28648331&amp;amp;query_hl=1&lt;/_url&gt;&lt;_volume&gt;122&lt;/_volume&gt;&lt;/Details&gt;&lt;Extra&gt;&lt;DBUID&gt;{F96A950B-833F-4880-A151-76DA2D6A2879}&lt;/DBUID&gt;&lt;/Extra&gt;&lt;/Item&gt;&lt;/References&gt;&lt;/Group&gt;&lt;/Citation&gt;_x000a_"/>
    <w:docVar w:name="NE.Ref{591C5CFC-5039-4555-BD7C-A41802B71BF7}" w:val=" ADDIN NE.Ref.{591C5CFC-5039-4555-BD7C-A41802B71BF7}&lt;Citation&gt;&lt;Group&gt;&lt;References&gt;&lt;Item&gt;&lt;ID&gt;690&lt;/ID&gt;&lt;UID&gt;{491934A1-234F-4E9D-B0A5-6D4F301E9E0C}&lt;/UID&gt;&lt;Title&gt;The HMGB1-RAGE axis mediates traumatic brain injury-induced pulmonary dysfunction in lung transplantation&lt;/Title&gt;&lt;Template&gt;Journal Article&lt;/Template&gt;&lt;Star&gt;0&lt;/Star&gt;&lt;Tag&gt;0&lt;/Tag&gt;&lt;Author&gt;Weber, D J; Gracon, A S; Ripsch, M S; Fisher, A J; Cheon, B M; Pandya, P H; Vittal, R; Capitano, M L; Kim, Y; Allette, Y M; Riley, A A; McCarthy, B P; Territo, P R; Hutchins, G D; Broxmeyer, H E; Sandusky, G E; White, F A; Wilkes, D S&lt;/Author&gt;&lt;Year&gt;2014&lt;/Year&gt;&lt;Details&gt;&lt;_accession_num&gt;25186179&lt;/_accession_num&gt;&lt;_author_adr&gt;Center for Immunobiology, Indiana University School of Medicine, Indianapolis, IN 46202, USA. Department of Surgery, Indiana University School of Medicine, Indianapolis, IN 46202, USA.; Center for Immunobiology, Indiana University School of Medicine, Indianapolis, IN 46202, USA. Department of Surgery, Indiana University School of Medicine, Indianapolis, IN 46202, USA.; Department of Anesthesia, Paul and Carole Stark Neurosciences Research Institute, Indianapolis, IN 46202, USA.; Center for Immunobiology, Indiana University School of Medicine, Indianapolis, IN 46202, USA. Department of Anesthesia, Paul and Carole Stark Neurosciences Research Institute, Indianapolis, IN 46202, USA.; Department of Anesthesia, Paul and Carole Stark Neurosciences Research Institute, Indianapolis, IN 46202, USA.; Center for Immunobiology, Indiana University School of Medicine, Indianapolis, IN 46202, USA. Department of Microbiology and Immunology, Indiana University School  of Medicine, Indianapolis, IN 46202, USA.; Center for Immunobiology, Indiana University School of Medicine, Indianapolis, IN 46202, USA. Department of Microbiology and Immunology, Indiana University School  of Medicine, Indianapolis, IN 46202, USA.; Department of Microbiology and Immunology, Indiana University School of Medicine, Indianapolis, IN 46202, USA.; Department of Anesthesia, Paul and Carole Stark Neurosciences Research Institute, Indianapolis, IN 46202, USA.; Department of Anesthesia, Paul and Carole Stark Neurosciences Research Institute, Indianapolis, IN 46202, USA.; Department of Radiology and Imaging Sciences, Indiana University School of Medicine, Indianapolis, IN 46202, USA.; Department of Radiology and Imaging Sciences, Indiana University School of Medicine, Indianapolis, IN 46202, USA.; Department of Radiology and Imaging Sciences, Indiana University School of Medicine, Indianapolis, IN 46202, USA.; Department of Radiology and Imaging Sciences, Indiana University School of Medicine, Indianapolis, IN 46202, USA.; Department of Microbiology and Immunology, Indiana University School of Medicine, Indianapolis, IN 46202, USA.; Department of Pathology, Indiana University School of Medicine, Indianapolis, IN  46202, USA.; Center for Immunobiology, Indiana University School of Medicine, Indianapolis, IN 46202, USA. Department of Anesthesia, Paul and Carole Stark Neurosciences Research Institute, Indianapolis, IN 46202, USA.; Center for Immunobiology, Indiana University School of Medicine, Indianapolis, IN 46202, USA. Department of Microbiology and Immunology, Indiana University School  of Medicine, Indianapolis, IN 46202, USA. dwilkes@iupui.edu.&lt;/_author_adr&gt;&lt;_collection_scope&gt;SCIE&lt;/_collection_scope&gt;&lt;_created&gt;63229829&lt;/_created&gt;&lt;_date&gt;2014-09-03&lt;/_date&gt;&lt;_date_display&gt;2014 Sep 3&lt;/_date_display&gt;&lt;_db_updated&gt;PubMed&lt;/_db_updated&gt;&lt;_doi&gt;10.1126/scitranslmed.3009443&lt;/_doi&gt;&lt;_impact_factor&gt;  17.161&lt;/_impact_factor&gt;&lt;_isbn&gt;1946-6242 (Electronic); 1946-6234 (Linking)&lt;/_isbn&gt;&lt;_issue&gt;252&lt;/_issue&gt;&lt;_journal&gt;Sci Transl Med&lt;/_journal&gt;&lt;_keywords&gt;Acute Lung Injury/etiology/physiopathology; Adult; Animals; Antibodies, Neutralizing/pharmacology; Brain Injuries/complications/*metabolism/*physiopathology; Cardiac Output/drug effects; Epithelial Cells/drug effects/metabolism; Female; HMGB1 Protein/*metabolism; Humans; Interleukin-10/metabolism; Lung/drug effects/pathology/*physiopathology; *Lung Transplantation; Male; Mice, Inbred C57BL; NF-kappa B/metabolism; Peptides/metabolism; Receptor for Advanced Glycation End Products; Receptors, Immunologic/deficiency/*metabolism; Tissue Donors; Toll-Like Receptor 4/deficiency/metabolism&lt;/_keywords&gt;&lt;_language&gt;eng&lt;/_language&gt;&lt;_modified&gt;63229829&lt;/_modified&gt;&lt;_ori_publication&gt;Copyright (c) 2014, American Association for the Advancement of Science.&lt;/_ori_publication&gt;&lt;_pages&gt;252ra124&lt;/_pages&gt;&lt;_tertiary_title&gt;Science translational medicine&lt;/_tertiary_title&gt;&lt;_type_work&gt;Journal Article; Research Support, N.I.H., Extramural; Retracted Publication&lt;/_type_work&gt;&lt;_url&gt;http://www.ncbi.nlm.nih.gov/entrez/query.fcgi?cmd=Retrieve&amp;amp;db=pubmed&amp;amp;dopt=Abstract&amp;amp;list_uids=25186179&amp;amp;query_hl=1&lt;/_url&gt;&lt;_volume&gt;6&lt;/_volume&gt;&lt;/Details&gt;&lt;Extra&gt;&lt;DBUID&gt;{F96A950B-833F-4880-A151-76DA2D6A2879}&lt;/DBUID&gt;&lt;/Extra&gt;&lt;/Item&gt;&lt;/References&gt;&lt;/Group&gt;&lt;Group&gt;&lt;References&gt;&lt;Item&gt;&lt;ID&gt;777&lt;/ID&gt;&lt;UID&gt;{E30FEC48-BC12-4417-8991-406007A863B1}&lt;/UID&gt;&lt;Title&gt;Serum amyloid A: an ozone-induced circulating factor with potentially important functions in the lung-brain axis&lt;/Title&gt;&lt;Template&gt;Journal Article&lt;/Template&gt;&lt;Star&gt;0&lt;/Star&gt;&lt;Tag&gt;0&lt;/Tag&gt;&lt;Author&gt;Erickson, M A; Jude, J; Zhao, H; Rhea, E M; Salameh, T S; Jester, W; Pu, S; Harrowitz, J; Nguyen, N; Banks, W A; Panettieri, RA Jr; Jordan-Sciutto, K L&lt;/Author&gt;&lt;Year&gt;2017&lt;/Year&gt;&lt;Details&gt;&lt;_accession_num&gt;28533327&lt;/_accession_num&gt;&lt;_author_adr&gt;Department of Pathology, School of Dental Medicine, University of Pennsylvania, Philadelphia, Pennsylvania, USA; mericks999@gmail.com.; Geriatrics Research Education and Clinical Center, Veterans Affairs Puget Sound Health Care System, Seattle, Washington, USA.; Division of Gerontology and Geriatric Medicine, Department of Medicine, University of Washington School of Medicine, Seattle, Washington, USA.; Rutgers Institute for Translational Medicine and Science, Child Health Institute, Rutgers University, New Brunswick, New Jersey, USA.; Division of Pulmonary, Allergy, and Critical Care, Department of Medicine, University of Pennsylvania, Philadelphia, Pennsylvania, USA.; Division of Pulmonary, Allergy, and Critical Care, Department of Medicine, University of Pennsylvania, Philadelphia, Pennsylvania, USA.; Geriatrics Research Education and Clinical Center, Veterans Affairs Puget Sound Health Care System, Seattle, Washington, USA.; Division of Gerontology and Geriatric Medicine, Department of Medicine, University of Washington School of Medicine, Seattle, Washington, USA.; Geriatrics Research Education and Clinical Center, Veterans Affairs Puget Sound Health Care System, Seattle, Washington, USA.; Division of Gerontology and Geriatric Medicine, Department of Medicine, University of Washington School of Medicine, Seattle, Washington, USA.; Rutgers Institute for Translational Medicine and Science, Child Health Institute, Rutgers University, New Brunswick, New Jersey, USA.; Division of Pulmonary, Allergy, and Critical Care, Department of Medicine, University of Pennsylvania, Philadelphia, Pennsylvania, USA.; Department of Pathology, School of Dental Medicine, University of Pennsylvania, Philadelphia, Pennsylvania, USA.; Department of Pathology, School of Dental Medicine, University of Pennsylvania, Philadelphia, Pennsylvania, USA.; Division of Pulmonary, Allergy, and Critical Care, Department of Medicine, University of Pennsylvania, Philadelphia, Pennsylvania, USA.; Geriatrics Research Education and Clinical Center, Veterans Affairs Puget Sound Health Care System, Seattle, Washington, USA.; Division of Gerontology and Geriatric Medicine, Department of Medicine, University of Washington School of Medicine, Seattle, Washington, USA.; Geriatrics Research Education and Clinical Center, Veterans Affairs Puget Sound Health Care System, Seattle, Washington, USA.; Division of Pulmonary, Allergy, and Critical Care, Department of Medicine, University of Pennsylvania, Philadelphia, Pennsylvania, USA.; Department of Pathology, School of Dental Medicine, University of Pennsylvania, Philadelphia, Pennsylvania, USA.&lt;/_author_adr&gt;&lt;_date_display&gt;2017 Sep&lt;/_date_display&gt;&lt;_date&gt;2017-09-01&lt;/_date&gt;&lt;_doi&gt;10.1096/fj.201600857RRR&lt;/_doi&gt;&lt;_isbn&gt;1530-6860 (Electronic); 0892-6638 (Linking)&lt;/_isbn&gt;&lt;_issue&gt;9&lt;/_issue&gt;&lt;_journal&gt;FASEB J&lt;/_journal&gt;&lt;_keywords&gt;*acute-phase proteins; *air pollution; *blood-brain barrier; *cytokines; *microglia&lt;/_keywords&gt;&lt;_language&gt;eng&lt;/_language&gt;&lt;_ori_publication&gt;(c) FASEB.&lt;/_ori_publication&gt;&lt;_pages&gt;3950-3965&lt;/_pages&gt;&lt;_subject_headings&gt;Acute-Phase Proteins/genetics/metabolism; Animals; Brain Diseases/*chemically induced/metabolism; Cytokines/blood/genetics/metabolism; Female; Inflammation/blood/*chemically induced/metabolism; Liver/metabolism; Lung Diseases/*chemically induced; Mice; Mice, Inbred BALB C; Ozone/*toxicity; Serum Amyloid A Protein/*metabolism&lt;/_subject_headings&gt;&lt;_tertiary_title&gt;FASEB journal : official publication of the Federation of American Societies for _x000a_      Experimental Biology&lt;/_tertiary_title&gt;&lt;_type_work&gt;Journal Article; Research Support, N.I.H., Extramural&lt;/_type_work&gt;&lt;_url&gt;http://www.ncbi.nlm.nih.gov/entrez/query.fcgi?cmd=Retrieve&amp;amp;db=pubmed&amp;amp;dopt=Abstract&amp;amp;list_uids=28533327&amp;amp;query_hl=1&lt;/_url&gt;&lt;_volume&gt;31&lt;/_volume&gt;&lt;_created&gt;63430453&lt;/_created&gt;&lt;_modified&gt;63430453&lt;/_modified&gt;&lt;_db_updated&gt;PubMed&lt;/_db_updated&gt;&lt;_impact_factor&gt;   4.966&lt;/_impact_factor&gt;&lt;_collection_scope&gt;SCI;SCIE&lt;/_collection_scope&gt;&lt;/Details&gt;&lt;Extra&gt;&lt;DBUID&gt;{F96A950B-833F-4880-A151-76DA2D6A2879}&lt;/DBUID&gt;&lt;/Extra&gt;&lt;/Item&gt;&lt;/References&gt;&lt;/Group&gt;&lt;/Citation&gt;_x000a_"/>
    <w:docVar w:name="NE.Ref{5AC4521B-D0CC-4ECA-AF8F-43F7947AAD23}" w:val=" ADDIN NE.Ref.{5AC4521B-D0CC-4ECA-AF8F-43F7947AAD23}&lt;Citation&gt;&lt;Group&gt;&lt;References&gt;&lt;Item&gt;&lt;ID&gt;715&lt;/ID&gt;&lt;UID&gt;{693E4E55-8AE9-4B4E-B8B9-5CAF6141E189}&lt;/UID&gt;&lt;Title&gt;Transcriptional and post-transcriptional regulation of beta-secretase&lt;/Title&gt;&lt;Template&gt;Journal Article&lt;/Template&gt;&lt;Star&gt;0&lt;/Star&gt;&lt;Tag&gt;0&lt;/Tag&gt;&lt;Author&gt;Tamagno, E; Guglielmotto, M; Monteleone, D; Vercelli, A; Tabaton, M&lt;/Author&gt;&lt;Year&gt;2012&lt;/Year&gt;&lt;Details&gt;&lt;_accession_num&gt;23180460&lt;/_accession_num&gt;&lt;_author_adr&gt;Department of Neuroscience, University of Torino, Torino, Italy. elena.tamagno@unito.it&lt;/_author_adr&gt;&lt;_collection_scope&gt;SCI;SCIE&lt;/_collection_scope&gt;&lt;_created&gt;63229913&lt;/_created&gt;&lt;_date&gt;2012-12-01&lt;/_date&gt;&lt;_date_display&gt;2012 Dec&lt;/_date_display&gt;&lt;_db_updated&gt;PubMed&lt;/_db_updated&gt;&lt;_doi&gt;10.1002/iub.1099&lt;/_doi&gt;&lt;_impact_factor&gt;   3.051&lt;/_impact_factor&gt;&lt;_isbn&gt;1521-6551 (Electronic); 1521-6543 (Linking)&lt;/_isbn&gt;&lt;_issue&gt;12&lt;/_issue&gt;&lt;_journal&gt;IUBMB Life&lt;/_journal&gt;&lt;_keywords&gt;Alzheimer Disease/enzymology/*genetics/pathology; Amyloid Precursor Protein Secretases/*genetics/metabolism; Amyloid beta-Protein Precursor/*genetics/metabolism; Aspartic Acid Endopeptidases/*genetics/metabolism; Brain/*enzymology/pathology; Humans; Peptide Fragments/genetics/metabolism; Plaque, Amyloid/enzymology/genetics/pathology; Protein Structure, Tertiary; Proteolysis; RNA Processing, Post-Transcriptional; RNA, Messenger/*biosynthesis/genetics; Signal Transduction; *Transcription, Genetic&lt;/_keywords&gt;&lt;_language&gt;eng&lt;/_language&gt;&lt;_modified&gt;63229913&lt;/_modified&gt;&lt;_ori_publication&gt;Copyright (c) 2012 International Union of Biochemistry and Molecular Biology,_x000a_      Inc.&lt;/_ori_publication&gt;&lt;_pages&gt;943-50&lt;/_pages&gt;&lt;_tertiary_title&gt;IUBMB life&lt;/_tertiary_title&gt;&lt;_type_work&gt;Journal Article; Review&lt;/_type_work&gt;&lt;_url&gt;http://www.ncbi.nlm.nih.gov/entrez/query.fcgi?cmd=Retrieve&amp;amp;db=pubmed&amp;amp;dopt=Abstract&amp;amp;list_uids=23180460&amp;amp;query_hl=1&lt;/_url&gt;&lt;_volume&gt;64&lt;/_volume&gt;&lt;/Details&gt;&lt;Extra&gt;&lt;DBUID&gt;{F96A950B-833F-4880-A151-76DA2D6A2879}&lt;/DBUID&gt;&lt;/Extra&gt;&lt;/Item&gt;&lt;/References&gt;&lt;/Group&gt;&lt;/Citation&gt;_x000a_"/>
    <w:docVar w:name="NE.Ref{5C1A6BD7-1631-44AB-963F-4B87BBDA7AF2}" w:val=" ADDIN NE.Ref.{5C1A6BD7-1631-44AB-963F-4B87BBDA7AF2}&lt;Citation&gt;&lt;Group&gt;&lt;References&gt;&lt;Item&gt;&lt;ID&gt;434&lt;/ID&gt;&lt;UID&gt;{2BE8E8DD-8272-40A4-9569-832C09628BDD}&lt;/UID&gt;&lt;Title&gt;Clearance systems in the brain-implications for Alzheimer disease&lt;/Title&gt;&lt;Template&gt;Journal Article&lt;/Template&gt;&lt;Star&gt;0&lt;/Star&gt;&lt;Tag&gt;0&lt;/Tag&gt;&lt;Author&gt;Tarasoff-Conway, J M; Carare, R O; Osorio, R S; Glodzik, L; Butler, T; Fieremans, E; Axel, L; Rusinek, H; Nicholson, C; Zlokovic, B V; Frangione, B; Blennow, K; Menard, J; Zetterberg, H; Wisniewski, T; de Leon, M J&lt;/Author&gt;&lt;Year&gt;2015&lt;/Year&gt;&lt;Details&gt;&lt;_accession_num&gt;26195256&lt;/_accession_num&gt;&lt;_author_adr&gt;New York University School of Medicine, 660 First Avenue, New York, NY 10016, USA.; University of Southampton, Faculty of Medicine, Institute for Life Sciences, Southampton General Hospital, Southampton Hampshire, SO16 6YD, UK.; New York University School of Medicine, 145 East 32nd Street, New York, NY 10016, USA.; New York University School of Medicine, 145 East 32nd Street, New York, NY 10016, USA.; New York University School of Medicine, 145 East 32nd Street, New York, NY 10016, USA.; New York University School of Medicine, 660 First Avenue, New York, NY 10016, USA.; New York University School of Medicine, 660 First Avenue, New York, NY 10016, USA.; New York University School of Medicine, 145 East 32nd Street, New York, NY 10016, USA.; New York University School of Medicine, 660 First Avenue, New York, NY 10016, USA.; Zilkha Neurogenetic Institute at Keck School of Medicine of University of Southern California, 1501 San Pablo Street Los Angeles, CA 90089, USA.; New York University School of Medicine, 145 East 32nd Street, New York, NY 10016, USA.; The Sahlgrenska Academy at the University of Gothenburg, S-431 80 Molndal, Sweden.; Universite Paris-Descartes, 12 Rue de l&amp;apos;Ecole de Medecine, 75006 Paris, France.; The Sahlgrenska Academy at the University of Gothenburg, S-431 80 Molndal, Sweden.; New York University School of Medicine, 145 East 32nd Street, New York, NY 10016, USA.; New York University School of Medicine, 145 East 32nd Street, New York, NY 10016, USA.&lt;/_author_adr&gt;&lt;_collection_scope&gt;SCI;SCIE&lt;/_collection_scope&gt;&lt;_created&gt;63169418&lt;/_created&gt;&lt;_date&gt;2015-08-01&lt;/_date&gt;&lt;_date_display&gt;2015 Aug&lt;/_date_display&gt;&lt;_db_updated&gt;PubMed&lt;/_db_updated&gt;&lt;_doi&gt;10.1038/nrneurol.2015.119&lt;/_doi&gt;&lt;_impact_factor&gt;  21.155&lt;/_impact_factor&gt;&lt;_isbn&gt;1759-4766 (Electronic); 1759-4758 (Linking)&lt;/_isbn&gt;&lt;_issue&gt;8&lt;/_issue&gt;&lt;_journal&gt;Nat Rev Neurol&lt;/_journal&gt;&lt;_keywords&gt;Absorption, Physiological/physiology; Alzheimer Disease/*metabolism/pathology; Amyloid beta-Peptides/metabolism; Biomarkers/metabolism; Blood-Brain Barrier/metabolism; Brain/blood supply/*metabolism; Cerebrospinal Fluid Proteins/metabolism; Extracellular Fluid/metabolism; Humans; Lymphatic System/physiology; Proteolysis; Risk Factors; tau Proteins/metabolism&lt;/_keywords&gt;&lt;_language&gt;eng&lt;/_language&gt;&lt;_modified&gt;63169418&lt;/_modified&gt;&lt;_pages&gt;457-70&lt;/_pages&gt;&lt;_tertiary_title&gt;Nature reviews. Neurology&lt;/_tertiary_title&gt;&lt;_type_work&gt;Journal Article; Research Support, N.I.H., Extramural; Research Support, Non-U.S. Gov&amp;apos;t; Review&lt;/_type_work&gt;&lt;_url&gt;http://www.ncbi.nlm.nih.gov/entrez/query.fcgi?cmd=Retrieve&amp;amp;db=pubmed&amp;amp;dopt=Abstract&amp;amp;list_uids=26195256&amp;amp;query_hl=1&lt;/_url&gt;&lt;_volume&gt;11&lt;/_volume&gt;&lt;/Details&gt;&lt;Extra&gt;&lt;DBUID&gt;{F96A950B-833F-4880-A151-76DA2D6A2879}&lt;/DBUID&gt;&lt;/Extra&gt;&lt;/Item&gt;&lt;/References&gt;&lt;/Group&gt;&lt;/Citation&gt;_x000a_"/>
    <w:docVar w:name="NE.Ref{61CF9E9C-1124-43D8-8062-E3E495822097}" w:val=" ADDIN NE.Ref.{61CF9E9C-1124-43D8-8062-E3E495822097}&lt;Citation&gt;&lt;Group&gt;&lt;References&gt;&lt;Item&gt;&lt;ID&gt;792&lt;/ID&gt;&lt;UID&gt;{ADDC2277-0487-4636-B1A8-7EC73608A3BB}&lt;/UID&gt;&lt;Title&gt;Therapeutic B-cell depletion reverses progression of Alzheimer&amp;apos;s disease&lt;/Title&gt;&lt;Template&gt;Journal Article&lt;/Template&gt;&lt;Star&gt;0&lt;/Star&gt;&lt;Tag&gt;0&lt;/Tag&gt;&lt;Author&gt;Kim, K; Wang, X; Ragonnaud, E; Bodogai, M; Illouz, T; DeLuca, M; McDevitt, R A; Gusev, F; Okun, E; Rogaev, E; Biragyn, A&lt;/Author&gt;&lt;Year&gt;2021&lt;/Year&gt;&lt;Details&gt;&lt;_accession_num&gt;33846335&lt;/_accession_num&gt;&lt;_author_adr&gt;Immunoregulation Section, Laboratory of Immunology and Molecular Biology, National Institute on Aging, Baltimore, MD, USA.; Immunoregulation Section, Laboratory of Immunology and Molecular Biology, National Institute on Aging, Baltimore, MD, USA.; Immunoregulation Section, Laboratory of Immunology and Molecular Biology, National Institute on Aging, Baltimore, MD, USA.; Immunoregulation Section, Laboratory of Immunology and Molecular Biology, National Institute on Aging, Baltimore, MD, USA.; The Mina and Everard Goodman faculty of Life Sciences, Ramat Gan, Israel.; The Gonda Brain Research Center, Bar Ilan University, Ramat Gan, Israel.; The Paul Feder Laboratory on Alzheimer&amp;apos;s disease research, Bar Ilan University, Ramat Gan, Israel.; Immunoregulation Section, Laboratory of Immunology and Molecular Biology, National Institute on Aging, Baltimore, MD, USA.; Mouse Phenotyping Unit, Comparative Medicine Section, National Institute on Aging, Baltimore, MD, USA.; Department of Genomics and Human Genetics, Institute of General Genetics, Russian Academy of Sciences, Moscow, Russia.; The Mina and Everard Goodman faculty of Life Sciences, Ramat Gan, Israel.; The Gonda Brain Research Center, Bar Ilan University, Ramat Gan, Israel.; The Paul Feder Laboratory on Alzheimer&amp;apos;s disease research, Bar Ilan University, Ramat Gan, Israel.; Department of Genomics and Human Genetics, Institute of General Genetics, Russian Academy of Sciences, Moscow, Russia.; Center for Genetics and Genetic Technologies, Faculty of Biology, Faculty of Bioengineering and Bioinformatics, Lomonosov Moscow State University, Moscow, Russia.; Department of Psychiatry, University of Massachusetts Medical School, Worcester,  MA, USA.; Sirius University of Science and Technology, Sochi, Russia.; Immunoregulation Section, Laboratory of Immunology and Molecular Biology, National Institute on Aging, Baltimore, MD, USA. biragyna@mail.nih.gov.&lt;/_author_adr&gt;&lt;_date_display&gt;2021 Apr 12&lt;/_date_display&gt;&lt;_date&gt;2021-04-12&lt;/_date&gt;&lt;_doi&gt;10.1038/s41467-021-22479-4&lt;/_doi&gt;&lt;_isbn&gt;2041-1723 (Electronic); 2041-1723 (Linking)&lt;/_isbn&gt;&lt;_issue&gt;1&lt;/_issue&gt;&lt;_journal&gt;Nat Commun&lt;/_journal&gt;&lt;_language&gt;eng&lt;/_language&gt;&lt;_pages&gt;2185&lt;/_pages&gt;&lt;_subject_headings&gt;Alzheimer Disease/*immunology/*pathology; Amyloid beta-Peptides/metabolism; Animals; B-Lymphocytes/*immunology; *Disease Progression; Female; Hippocampus/pathology; Humans; Interleukin-1beta/metabolism; Lymphocyte Activation/immunology; *Lymphocyte Depletion; Mice, Inbred C57BL; Mice, Transgenic; Microglia/metabolism; Phenotype; Plaque, Amyloid/metabolism; Transforming Growth Factor beta/metabolism&lt;/_subject_headings&gt;&lt;_tertiary_title&gt;Nature communications&lt;/_tertiary_title&gt;&lt;_type_work&gt;Journal Article; Research Support, N.I.H., Extramural; Research Support, N.I.H., Intramural&lt;/_type_work&gt;&lt;_url&gt;http://www.ncbi.nlm.nih.gov/entrez/query.fcgi?cmd=Retrieve&amp;amp;db=pubmed&amp;amp;dopt=Abstract&amp;amp;list_uids=33846335&amp;amp;query_hl=1&lt;/_url&gt;&lt;_volume&gt;12&lt;/_volume&gt;&lt;_created&gt;63845266&lt;/_created&gt;&lt;_modified&gt;63845266&lt;/_modified&gt;&lt;_db_updated&gt;PubMed&lt;/_db_updated&gt;&lt;_impact_factor&gt;  12.121&lt;/_impact_factor&gt;&lt;_collection_scope&gt;SCI;SCIE&lt;/_collection_scope&gt;&lt;/Details&gt;&lt;Extra&gt;&lt;DBUID&gt;{F96A950B-833F-4880-A151-76DA2D6A2879}&lt;/DBUID&gt;&lt;/Extra&gt;&lt;/Item&gt;&lt;/References&gt;&lt;/Group&gt;&lt;/Citation&gt;_x000a_"/>
    <w:docVar w:name="NE.Ref{658D01A0-B4DA-4D4F-9672-7569BDEC371B}" w:val=" ADDIN NE.Ref.{658D01A0-B4DA-4D4F-9672-7569BDEC371B}&lt;Citation&gt;&lt;Group&gt;&lt;References&gt;&lt;Item&gt;&lt;ID&gt;707&lt;/ID&gt;&lt;UID&gt;{93631A51-0C11-436E-A481-D03626F629A3}&lt;/UID&gt;&lt;Title&gt;Safety, Tolerability, Pharmacokinetics, and Pharmacodynamic Effects of PF-06751979, a Potent and Selective Oral BACE1 Inhibitor: Results from Phase I Studies in Healthy Adults and Healthy Older Subjects&lt;/Title&gt;&lt;Template&gt;Journal Article&lt;/Template&gt;&lt;Star&gt;0&lt;/Star&gt;&lt;Tag&gt;0&lt;/Tag&gt;&lt;Author&gt;Qiu, R; Ahn, J E; Alexander, R; Brodney, M A; He, P; Leurent, C; Mancuso, J; Margolin, R A; Tankisheva, E; Chen, D&lt;/Author&gt;&lt;Year&gt;2019&lt;/Year&gt;&lt;Details&gt;&lt;_accessed&gt;63229902&lt;/_accessed&gt;&lt;_accession_num&gt;31424395&lt;/_accession_num&gt;&lt;_author_adr&gt;Pfizer Inc, Cambridge, MA, USA.; Pfizer Inc, Cambridge, MA, USA.; Takeda Pharmaceuticals International Co, Cambridge, MA, USA.; Vertex Pharmaceuticals, Boston, MA, USA.; Biogen Inc, Cambridge, MA, USA.; Samsung Ventures, Boston, MA, USA.; Pfizer Inc, Cambridge, MA, USA.; Clinical Research Solutions LLC, Cambridge, MA, USA.; Pfizer Clinical Research Unit Brussels, Belgium.; Pfizer Inc, Cambridge, MA, USA.&lt;/_author_adr&gt;&lt;_collection_scope&gt;SCIE&lt;/_collection_scope&gt;&lt;_created&gt;63229896&lt;/_created&gt;&lt;_date&gt;2019-01-20&lt;/_date&gt;&lt;_date_display&gt;2019&lt;/_date_display&gt;&lt;_db_updated&gt;PubMed&lt;/_db_updated&gt;&lt;_doi&gt;10.3233/JAD-190228&lt;/_doi&gt;&lt;_impact_factor&gt;   3.909&lt;/_impact_factor&gt;&lt;_isbn&gt;1875-8908 (Electronic); 1387-2877 (Linking)&lt;/_isbn&gt;&lt;_issue&gt;2&lt;/_issue&gt;&lt;_journal&gt;J Alzheimers Dis&lt;/_journal&gt;&lt;_keywords&gt;*Alzheimer&amp;apos;s disease; *BACE1 protein-human; *Phase I; *amyloid-beta peptides; *pharmacodynamics; *pharmacokinetics; *safety; *tolerability&lt;/_keywords&gt;&lt;_language&gt;eng&lt;/_language&gt;&lt;_modified&gt;63229903&lt;/_modified&gt;&lt;_pages&gt;581-595&lt;/_pages&gt;&lt;_tertiary_title&gt;Journal of Alzheimer&amp;apos;s disease : JAD&lt;/_tertiary_title&gt;&lt;_type_work&gt;Journal Article&lt;/_type_work&gt;&lt;_url&gt;http://www.ncbi.nlm.nih.gov/entrez/query.fcgi?cmd=Retrieve&amp;amp;db=pubmed&amp;amp;dopt=Abstract&amp;amp;list_uids=31424395&amp;amp;query_hl=1&lt;/_url&gt;&lt;_volume&gt;71&lt;/_volume&gt;&lt;/Details&gt;&lt;Extra&gt;&lt;DBUID&gt;{F96A950B-833F-4880-A151-76DA2D6A2879}&lt;/DBUID&gt;&lt;/Extra&gt;&lt;/Item&gt;&lt;/References&gt;&lt;/Group&gt;&lt;/Citation&gt;_x000a_"/>
    <w:docVar w:name="NE.Ref{6A671812-4B30-4F05-A3AC-9563FBE3F460}" w:val=" ADDIN NE.Ref.{6A671812-4B30-4F05-A3AC-9563FBE3F460}&lt;Citation&gt;&lt;Group&gt;&lt;References&gt;&lt;Item&gt;&lt;ID&gt;430&lt;/ID&gt;&lt;UID&gt;{65A2EEF8-B5FE-4F99-A0B2-45939B6E629C}&lt;/UID&gt;&lt;Title&gt;Double negative (IgG+IgD-CD27-) B cells are increased in a cohort of moderate-severe Alzheimer&amp;apos;s disease patients and show a pro-inflammatory trafficking receptor phenotype&lt;/Title&gt;&lt;Template&gt;Journal Article&lt;/Template&gt;&lt;Star&gt;0&lt;/Star&gt;&lt;Tag&gt;0&lt;/Tag&gt;&lt;Author&gt;Bulati, M; Buffa, S; Martorana, A; Gervasi, F; Camarda, C; Azzarello, D M; Monastero, R; Caruso, C; Colonna-Romano, G&lt;/Author&gt;&lt;Year&gt;2015&lt;/Year&gt;&lt;Details&gt;&lt;_accession_num&gt;25408215&lt;/_accession_num&gt;&lt;_author_adr&gt;Immunosenescence Unit, Department of Pathobiology and Medical and Forensic Biotechnologies (DIBIMEF), University of Palermo, Italy.; Immunosenescence Unit, Department of Pathobiology and Medical and Forensic Biotechnologies (DIBIMEF), University of Palermo, Italy.; Immunosenescence Unit, Department of Pathobiology and Medical and Forensic Biotechnologies (DIBIMEF), University of Palermo, Italy.; Laboratory of experimental Oncohematology and cell cultures for clinical use, ARNAS CIVICO, Palermo, Italy.; Department of Experimental Biomedicine and Clinical Neuroscience, University of Palermo, Italy.; Department of Experimental Biomedicine and Clinical Neuroscience, University of Palermo, Italy.; Department of Experimental Biomedicine and Clinical Neuroscience, University of Palermo, Italy.; Immunosenescence Unit, Department of Pathobiology and Medical and Forensic Biotechnologies (DIBIMEF), University of Palermo, Italy.; Immunosenescence Unit, Department of Pathobiology and Medical and Forensic Biotechnologies (DIBIMEF), University of Palermo, Italy.&lt;/_author_adr&gt;&lt;_collection_scope&gt;SCIE&lt;/_collection_scope&gt;&lt;_created&gt;63158188&lt;/_created&gt;&lt;_date&gt;2015-01-20&lt;/_date&gt;&lt;_date_display&gt;2015&lt;/_date_display&gt;&lt;_db_updated&gt;PubMed&lt;/_db_updated&gt;&lt;_doi&gt;10.3233/JAD-142412&lt;/_doi&gt;&lt;_impact_factor&gt;   3.909&lt;/_impact_factor&gt;&lt;_isbn&gt;1875-8908 (Electronic); 1387-2877 (Linking)&lt;/_isbn&gt;&lt;_issue&gt;4&lt;/_issue&gt;&lt;_journal&gt;J Alzheimers Dis&lt;/_journal&gt;&lt;_keywords&gt;Aged; Aged, 80 and over; Alzheimer Disease/*immunology/*pathology; B-Lymphocyte Subsets/immunology/*pathology; Cohort Studies; Female; Flow Cytometry; Humans; Immunoglobulin D; Immunoglobulin G; Male; Mental Status Schedule; Phenotype; Receptors, CCR6/*metabolism; Receptors, CCR7/*metabolism; Tumor Necrosis Factor Receptor Superfamily, Member 7/immunologyAging; Alzheimer&amp;apos;s disease; B cells; CCR6; CCR7; trafficking profile&lt;/_keywords&gt;&lt;_language&gt;eng&lt;/_language&gt;&lt;_modified&gt;63158188&lt;/_modified&gt;&lt;_pages&gt;1241-51&lt;/_pages&gt;&lt;_tertiary_title&gt;Journal of Alzheimer&amp;apos;s disease : JAD&lt;/_tertiary_title&gt;&lt;_type_work&gt;Journal Article; Research Support, Non-U.S. Gov&amp;apos;t&lt;/_type_work&gt;&lt;_url&gt;http://www.ncbi.nlm.nih.gov/entrez/query.fcgi?cmd=Retrieve&amp;amp;db=pubmed&amp;amp;dopt=Abstract&amp;amp;list_uids=25408215&amp;amp;query_hl=1&lt;/_url&gt;&lt;_volume&gt;44&lt;/_volume&gt;&lt;/Details&gt;&lt;Extra&gt;&lt;DBUID&gt;{F96A950B-833F-4880-A151-76DA2D6A2879}&lt;/DBUID&gt;&lt;/Extra&gt;&lt;/Item&gt;&lt;/References&gt;&lt;/Group&gt;&lt;Group&gt;&lt;References&gt;&lt;Item&gt;&lt;ID&gt;592&lt;/ID&gt;&lt;UID&gt;{CC917346-3E2A-442F-A2EE-16EDE7336975}&lt;/UID&gt;&lt;Title&gt;Common genetic variation in the HLA region is associated with late-onset sporadic Parkinson&amp;apos;s disease&lt;/Title&gt;&lt;Template&gt;Journal Article&lt;/Template&gt;&lt;Star&gt;0&lt;/Star&gt;&lt;Tag&gt;0&lt;/Tag&gt;&lt;Author&gt;Hamza, T H; Zabetian, C P; Tenesa, A; Laederach, A; Montimurro, J; Yearout, D; Kay, D M; Doheny, K F; Paschall, J; Pugh, E; Kusel, V I; Collura, R; Roberts, J; Griffith, A; Samii, A; Scott, W K; Nutt, J; Factor, S A; Payami, H&lt;/Author&gt;&lt;Year&gt;2010&lt;/Year&gt;&lt;Details&gt;&lt;_accession_num&gt;20711177&lt;/_accession_num&gt;&lt;_author_adr&gt;New York State Department of Health Wadsworth Center, Albany, New York, USA.&lt;/_author_adr&gt;&lt;_collection_scope&gt;SCI;SCIE&lt;/_collection_scope&gt;&lt;_created&gt;63170928&lt;/_created&gt;&lt;_date&gt;2010-09-01&lt;/_date&gt;&lt;_date_display&gt;2010 Sep&lt;/_date_display&gt;&lt;_db_updated&gt;PubMed&lt;/_db_updated&gt;&lt;_doi&gt;10.1038/ng.642&lt;/_doi&gt;&lt;_impact_factor&gt;  27.603&lt;/_impact_factor&gt;&lt;_isbn&gt;1546-1718 (Electronic); 1061-4036 (Linking)&lt;/_isbn&gt;&lt;_issue&gt;9&lt;/_issue&gt;&lt;_journal&gt;Nat Genet&lt;/_journal&gt;&lt;_keywords&gt;Adult; Age of Onset; Aged; Aged, 80 and over; Case-Control Studies; Female; Genetic Linkage; Genetic Predisposition to Disease; Genetic Variation/physiology; Genome-Wide Association Study; HLA Antigens/*genetics; Humans; Male; Meta-Analysis as Topic; Middle Aged; Odds Ratio; Parkinson Disease/epidemiology/*genetics; Young Adult&lt;/_keywords&gt;&lt;_language&gt;eng&lt;/_language&gt;&lt;_modified&gt;63170928&lt;/_modified&gt;&lt;_pages&gt;781-5&lt;/_pages&gt;&lt;_tertiary_title&gt;Nature genetics&lt;/_tertiary_title&gt;&lt;_type_work&gt;Journal Article; Research Support, N.I.H., Extramural; Research Support, N.I.H., Intramural; Research Support, Non-U.S. Gov&amp;apos;t; Research Support, U.S. Gov&amp;apos;t, Non-P.H.S.; Validation Study&lt;/_type_work&gt;&lt;_url&gt;http://www.ncbi.nlm.nih.gov/entrez/query.fcgi?cmd=Retrieve&amp;amp;db=pubmed&amp;amp;dopt=Abstract&amp;amp;list_uids=20711177&amp;amp;query_hl=1&lt;/_url&gt;&lt;_volume&gt;42&lt;/_volume&gt;&lt;/Details&gt;&lt;Extra&gt;&lt;DBUID&gt;{F96A950B-833F-4880-A151-76DA2D6A2879}&lt;/DBUID&gt;&lt;/Extra&gt;&lt;/Item&gt;&lt;/References&gt;&lt;/Group&gt;&lt;/Citation&gt;_x000a_"/>
    <w:docVar w:name="NE.Ref{6B148185-6DCF-4A6E-BE43-4DE3F7459993}" w:val=" ADDIN NE.Ref.{6B148185-6DCF-4A6E-BE43-4DE3F7459993}&lt;Citation&gt;&lt;Group&gt;&lt;References&gt;&lt;Item&gt;&lt;ID&gt;722&lt;/ID&gt;&lt;UID&gt;{9454F65D-E2B1-4EC4-A215-D988FCAEB1C4}&lt;/UID&gt;&lt;Title&gt;Interleukin-35 Limits Anti-Tumor Immunity&lt;/Title&gt;&lt;Template&gt;Journal Article&lt;/Template&gt;&lt;Star&gt;0&lt;/Star&gt;&lt;Tag&gt;0&lt;/Tag&gt;&lt;Author&gt;Turnis, M E; Sawant, D V; Szymczak-Workman, A L; Andrews, L P; Delgoffe, G M; Yano, H; Beres, A J; Vogel, P; Workman, C J; Vignali, D A&lt;/Author&gt;&lt;Year&gt;2016&lt;/Year&gt;&lt;Details&gt;&lt;_accession_num&gt;26872697&lt;/_accession_num&gt;&lt;_author_adr&gt;Department of Immunology, St. Jude Children&amp;apos;s Research Hospital, Memphis, TN, 38105, USA.; Department of Immunology, University of Pittsburgh, Pittsburgh, PA 15261, USA; Department of Immunology, St. Jude Children&amp;apos;s Research Hospital, Memphis, TN, 38105, USA.; Department of Immunology, St. Jude Children&amp;apos;s Research Hospital, Memphis, TN, 38105, USA.; Department of Immunology, University of Pittsburgh, Pittsburgh, PA 15261, USA.; Department of Immunology, St. Jude Children&amp;apos;s Research Hospital, Memphis, TN, 38105, USA.; Department of Immunology, University of Pittsburgh, Pittsburgh, PA 15261, USA.; Department of Immunology, St. Jude Children&amp;apos;s Research Hospital, Memphis, TN, 38105, USA.; Department of Pathology, St. Jude Children&amp;apos;s Research Hospital, Memphis, TN, 38105, USA.; Department of Immunology, University of Pittsburgh, Pittsburgh, PA 15261, USA; Department of Immunology, St. Jude Children&amp;apos;s Research Hospital, Memphis, TN, 38105, USA.; Department of Immunology, University of Pittsburgh, Pittsburgh, PA 15261, USA; Department of Immunology, St. Jude Children&amp;apos;s Research Hospital, Memphis, TN, 38105, USA; Tumor Microenvironment Center, University of Pittsburgh Cancer Institute, Pittsburgh, PA 15232, USA. Electronic address: dvignali@pitt.edu.&lt;/_author_adr&gt;&lt;_collection_scope&gt;SCI;SCIE&lt;/_collection_scope&gt;&lt;_created&gt;63229923&lt;/_created&gt;&lt;_date&gt;2016-02-16&lt;/_date&gt;&lt;_date_display&gt;2016 Feb 16&lt;/_date_display&gt;&lt;_db_updated&gt;PubMed&lt;/_db_updated&gt;&lt;_doi&gt;10.1016/j.immuni.2016.01.013&lt;/_doi&gt;&lt;_impact_factor&gt;  21.522&lt;/_impact_factor&gt;&lt;_isbn&gt;1097-4180 (Electronic); 1074-7613 (Linking)&lt;/_isbn&gt;&lt;_issue&gt;2&lt;/_issue&gt;&lt;_journal&gt;Immunity&lt;/_journal&gt;&lt;_keywords&gt;Animals; Antibodies, Blocking/*administration &amp;amp;amp; dosage; Antigens, CD/genetics/metabolism; Cell Growth Processes/drug effects/genetics; Cell Line, Tumor; Cell Proliferation/drug effects/genetics; Hepatitis A Virus Cellular Receptor 2; Humans; Immunologic Memory; Interleukins/genetics/immunology/*metabolism; Melanoma, Experimental/*immunology; Mice; Mice, Inbred C57BL; Mice, Knockout; Programmed Cell Death 1 Receptor/genetics/metabolism; Receptors, Virus/genetics/metabolism; Skin Neoplasms/*immunology; T-Lymphocytes, Regulatory/*immunology; Tumor Burden/drug effects/genetics; Tumor Microenvironment&lt;/_keywords&gt;&lt;_language&gt;eng&lt;/_language&gt;&lt;_modified&gt;63229923&lt;/_modified&gt;&lt;_ori_publication&gt;Copyright (c) 2016 Elsevier Inc. All rights reserved.&lt;/_ori_publication&gt;&lt;_pages&gt;316-29&lt;/_pages&gt;&lt;_tertiary_title&gt;Immunity&lt;/_tertiary_title&gt;&lt;_type_work&gt;Journal Article; Research Support, N.I.H., Extramural&lt;/_type_work&gt;&lt;_url&gt;http://www.ncbi.nlm.nih.gov/entrez/query.fcgi?cmd=Retrieve&amp;amp;db=pubmed&amp;amp;dopt=Abstract&amp;amp;list_uids=26872697&amp;amp;query_hl=1&lt;/_url&gt;&lt;_volume&gt;44&lt;/_volume&gt;&lt;/Details&gt;&lt;Extra&gt;&lt;DBUID&gt;{F96A950B-833F-4880-A151-76DA2D6A2879}&lt;/DBUID&gt;&lt;/Extra&gt;&lt;/Item&gt;&lt;/References&gt;&lt;/Group&gt;&lt;Group&gt;&lt;References&gt;&lt;Item&gt;&lt;ID&gt;721&lt;/ID&gt;&lt;UID&gt;{CE7A5117-D8BD-417E-A986-FA77578BF1D7}&lt;/UID&gt;&lt;Title&gt;Interleukin-35 Promotes Macrophage Survival and Improves Wound Healing After Myocardial Infarction in Mice&lt;/Title&gt;&lt;Template&gt;Journal Article&lt;/Template&gt;&lt;Star&gt;0&lt;/Star&gt;&lt;Tag&gt;0&lt;/Tag&gt;&lt;Author&gt;Jia, D; Jiang, H; Weng, X; Wu, J; Bai, P; Yang, W; Wang, Z; Hu, K; Sun, A; Ge, J&lt;/Author&gt;&lt;Year&gt;2019&lt;/Year&gt;&lt;Details&gt;&lt;_accession_num&gt;30832557&lt;/_accession_num&gt;&lt;_author_adr&gt;From the Department of Cardiology, Zhongshan Hospital, Fudan University, Shanghai, China (D.J., H.J., X.W., J.W., W.Y., Z.W., K.H., A.S., J.G.).; Shanghai Institute of Cardiovascular Diseases, Shanghai, China (D.J., H.J., X.W., J.W., W.Y., Z.W., K.H., A.S., J.G.).; NHC Key Laboratory of Viral Heart Diseases, Shanghai, China (D.J., H.J., X.W., J.W., W.Y., Z.W., K.H., A.S., J.G.).; Key Laboratory of Viral Heart Diseases, Chinese Academy of Medical Sciences, China (D.J., H.J., X.W., J.W., W.Y., Z.W., K.H., A.S., J.G.).; From the Department of Cardiology, Zhongshan Hospital, Fudan University, Shanghai, China (D.J., H.J., X.W., J.W., W.Y., Z.W., K.H., A.S., J.G.).; Shanghai Institute of Cardiovascular Diseases, Shanghai, China (D.J., H.J., X.W., J.W., W.Y., Z.W., K.H., A.S., J.G.).; NHC Key Laboratory of Viral Heart Diseases, Shanghai, China (D.J., H.J., X.W., J.W., W.Y., Z.W., K.H., A.S., J.G.).; Key Laboratory of Viral Heart Diseases, Chinese Academy of Medical Sciences, China (D.J., H.J., X.W., J.W., W.Y., Z.W., K.H., A.S., J.G.).; From the Department of Cardiology, Zhongshan Hospital, Fudan University, Shanghai, China (D.J., H.J., X.W., J.W., W.Y., Z.W., K.H., A.S., J.G.).; Shanghai Institute of Cardiovascular Diseases, Shanghai, China (D.J., H.J., X.W., J.W., W.Y., Z.W., K.H., A.S., J.G.).; NHC Key Laboratory of Viral Heart Diseases, Shanghai, China (D.J., H.J., X.W., J.W., W.Y., Z.W., K.H., A.S., J.G.).; Key Laboratory of Viral Heart Diseases, Chinese Academy of Medical Sciences, China (D.J., H.J., X.W., J.W., W.Y., Z.W., K.H., A.S., J.G.).; Institutes of Biomedical Sciences, Fudan University, Shanghai, China (X.W., J.W., Z.W., A.S., J.G.).; From the Department of Cardiology, Zhongshan Hospital, Fudan University, Shanghai, China (D.J., H.J., X.W., J.W., W.Y., Z.W., K.H., A.S., J.G.).; Shanghai Institute of Cardiovascular Diseases, Shanghai, China (D.J., H.J., X.W., J.W., W.Y., Z.W., K.H., A.S., J.G.).; NHC Key Laboratory of Viral Heart Diseases, Shanghai, China (D.J., H.J., X.W., J.W., W.Y., Z.W., K.H., A.S., J.G.).; Key Laboratory of Viral Heart Diseases, Chinese Academy of Medical Sciences, China (D.J., H.J., X.W., J.W., W.Y., Z.W., K.H., A.S., J.G.).; Institutes of Biomedical Sciences, Fudan University, Shanghai, China (X.W., J.W., Z.W., A.S., J.G.).; Department of Cardiology, Ruijin Hospital, Shanghai Jiaotong University School of Medicine, China (P.B.).; From the Department of Cardiology, Zhongshan Hospital, Fudan University, Shanghai, China (D.J., H.J., X.W., J.W., W.Y., Z.W., K.H., A.S., J.G.).; Shanghai Institute of Cardiovascular Diseases, Shanghai, China (D.J., H.J., X.W., J.W., W.Y., Z.W., K.H., A.S., J.G.).; NHC Key Laboratory of Viral Heart Diseases, Shanghai, China (D.J., H.J., X.W., J.W., W.Y., Z.W., K.H., A.S., J.G.).; Key Laboratory of Viral Heart Diseases, Chinese Academy of Medical Sciences, China (D.J., H.J., X.W., J.W., W.Y., Z.W., K.H., A.S., J.G.).; From the Department of Cardiology, Zhongshan Hospital, Fudan University, Shanghai, China (D.J., H.J., X.W., J.W., W.Y., Z.W., K.H., A.S., J.G.).; Shanghai Institute of Cardiovascular Diseases, Shanghai, China (D.J., H.J., X.W., J.W., W.Y., Z.W., K.H., A.S., J.G.).; NHC Key Laboratory of Viral Heart Diseases, Shanghai, China (D.J., H.J., X.W., J.W., W.Y., Z.W., K.H., A.S., J.G.).; Key Laboratory of Viral Heart Diseases, Chinese Academy of Medical Sciences, China (D.J., H.J., X.W., J.W., W.Y., Z.W., K.H., A.S., J.G.).; Institutes of Biomedical Sciences, Fudan University, Shanghai, China (X.W., J.W., Z.W., A.S., J.G.).; From the Department of Cardiology, Zhongshan Hospital, Fudan University, Shanghai, China (D.J., H.J., X.W., J.W., W.Y., Z.W., K.H., A.S., J.G.).; Shanghai Institute of Cardiovascular Diseases, Shanghai, China (D.J., H.J., X.W., J.W., W.Y., Z.W., K.H., A.S., J.G.).; NHC Key Laboratory of Viral Heart Diseases, Shanghai, China (D.J., H.J., X.W., J.W., W.Y., Z.W., K.H., A.S., J.G.).; Key Laboratory of Viral Heart Diseases, Chinese Academy of Medical Sciences, China (D.J., H.J., X.W., J.W., W.Y., Z.W., K.H., A.S., J.G.).; From the Department of Cardiology, Zhongshan Hospital, Fudan University, Shanghai, China (D.J., H.J., X.W., J.W., W.Y., Z.W., K.H., A.S., J.G.).; Shanghai Institute of Cardiovascular Diseases, Shanghai, China (D.J., H.J., X.W., J.W., W.Y., Z.W., K.H., A.S., J.G.).; NHC Key Laboratory of Viral Heart Diseases, Shanghai, China (D.J., H.J., X.W., J.W., W.Y., Z.W., K.H., A.S., J.G.).; Key Laboratory of Viral Heart Diseases, Chinese Academy of Medical Sciences, China (D.J., H.J., X.W., J.W., W.Y., Z.W., K.H., A.S., J.G.).; Institutes of Biomedical Sciences, Fudan University, Shanghai, China (X.W., J.W., Z.W., A.S., J.G.).; From the Department of Cardiology, Zhongshan Hospital, Fudan University, Shanghai, China (D.J., H.J., X.W., J.W., W.Y., Z.W., K.H., A.S., J.G.).; Shanghai Institute of Cardiovascular Diseases, Shanghai, China (D.J., H.J., X.W., J.W., W.Y., Z.W., K.H., A.S., J.G.).; NHC Key Laboratory of Viral Heart Diseases, Shanghai, China (D.J., H.J., X.W., J.W., W.Y., Z.W., K.H., A.S., J.G.).; Key Laboratory of Viral Heart Diseases, Chinese Academy of Medical Sciences, China (D.J., H.J., X.W., J.W., W.Y., Z.W., K.H., A.S., J.G.).; Institutes of Biomedical Sciences, Fudan University, Shanghai, China (X.W., J.W., Z.W., A.S., J.G.).&lt;/_author_adr&gt;&lt;_collection_scope&gt;SCI;SCIE&lt;/_collection_scope&gt;&lt;_created&gt;63229921&lt;/_created&gt;&lt;_date&gt;2019-04-26&lt;/_date&gt;&lt;_date_display&gt;2019 Apr 26&lt;/_date_display&gt;&lt;_db_updated&gt;PubMed&lt;/_db_updated&gt;&lt;_doi&gt;10.1161/CIRCRESAHA.118.314569&lt;/_doi&gt;&lt;_impact_factor&gt;  15.862&lt;/_impact_factor&gt;&lt;_isbn&gt;1524-4571 (Electronic); 0009-7330 (Linking)&lt;/_isbn&gt;&lt;_issue&gt;9&lt;/_issue&gt;&lt;_journal&gt;Circ Res&lt;/_journal&gt;&lt;_keywords&gt;Adoptive Transfer; Animals; Antibodies, Monoclonal/pharmacology; CX3C Chemokine Receptor 1/biosynthesis/genetics; Cell Survival; Cicatrix/metabolism; Extracellular Matrix Proteins/biosynthesis; Gene Expression Regulation/physiology; Heart Rupture, Post-Infarction/physiopathology/prevention &amp;amp;amp; control; Interleukins/antagonists &amp;amp;amp; inhibitors/biosynthesis/genetics/*physiology; Macrophages/*physiology; Mice; Mice, Inbred C57BL; Minor Histocompatibility Antigens/biosynthesis/genetics/immunology; Myocardial Infarction/*physiopathology; Myocardium/metabolism; Receptors, Cytokine/antagonists &amp;amp;amp; inhibitors/biosynthesis/genetics/immunology; T-Lymphocytes, Regulatory/immunology/transplantation; Transforming Growth Factor beta1/biosynthesis/genetics; Up-Regulation; Ventricular Remodeling/physiology; Wound Healing/*physiology*interleukin; *macrophages; *mice; *myocardial infarction; *wound healing&lt;/_keywords&gt;&lt;_language&gt;eng&lt;/_language&gt;&lt;_modified&gt;63229921&lt;/_modified&gt;&lt;_pages&gt;1323-1336&lt;/_pages&gt;&lt;_tertiary_title&gt;Circulation research&lt;/_tertiary_title&gt;&lt;_type_work&gt;Journal Article; Research Support, Non-U.S. Gov&amp;apos;t&lt;/_type_work&gt;&lt;_url&gt;http://www.ncbi.nlm.nih.gov/entrez/query.fcgi?cmd=Retrieve&amp;amp;db=pubmed&amp;amp;dopt=Abstract&amp;amp;list_uids=30832557&amp;amp;query_hl=1&lt;/_url&gt;&lt;_volume&gt;124&lt;/_volume&gt;&lt;/Details&gt;&lt;Extra&gt;&lt;DBUID&gt;{F96A950B-833F-4880-A151-76DA2D6A2879}&lt;/DBUID&gt;&lt;/Extra&gt;&lt;/Item&gt;&lt;/References&gt;&lt;/Group&gt;&lt;Group&gt;&lt;References&gt;&lt;Item&gt;&lt;ID&gt;726&lt;/ID&gt;&lt;UID&gt;{754AFF27-FF1E-4481-BEB2-3B1BB0611D9C}&lt;/UID&gt;&lt;Title&gt;IL-35-producing B cells are critical regulators of immunity during autoimmune and infectious diseases&lt;/Title&gt;&lt;Template&gt;Journal Article&lt;/Template&gt;&lt;Star&gt;0&lt;/Star&gt;&lt;Tag&gt;0&lt;/Tag&gt;&lt;Author&gt;Shen, P; Roch, T; Lampropoulou, V; O&amp;apos;Connor, R A; Stervbo, U; Hilgenberg, E; Ries, S; Dang, V D; Jaimes, Y; Daridon, C; Li, R; Jouneau, L; Boudinot, P; Wilantri, S; Sakwa, I; Miyazaki, Y; Leech, M D; McPherson, R C; Wirtz, S; Neurath, M; Hoehlig, K; Meinl, E; Grutzkau, A; Grun, J R; Horn, K; Kuhl, A A; Dorner, T; Bar-Or, A; Kaufmann, SHE; Anderton, S M; Fillatreau, S&lt;/Author&gt;&lt;Year&gt;2014&lt;/Year&gt;&lt;Details&gt;&lt;_accession_num&gt;24572363&lt;/_accession_num&gt;&lt;_author_adr&gt;Deutsches Rheuma-Forschungszentrum, a Leibniz Institute, Chariteplatz 1, 10117 Berlin, Germany.; Deutsches Rheuma-Forschungszentrum, a Leibniz Institute, Chariteplatz 1, 10117 Berlin, Germany.; Deutsches Rheuma-Forschungszentrum, a Leibniz Institute, Chariteplatz 1, 10117 Berlin, Germany.; University of Edinburgh, Centre for Inflammation Research and Centre for Multiple Sclerosis Research, Queen&amp;apos;s Medical Research Institute, Edinburgh, EH16 4TJ, United Kingdom.; Deutsches Rheuma-Forschungszentrum, a Leibniz Institute, Chariteplatz 1, 10117 Berlin, Germany.; Deutsches Rheuma-Forschungszentrum, a Leibniz Institute, Chariteplatz 1, 10117 Berlin, Germany.; Deutsches Rheuma-Forschungszentrum, a Leibniz Institute, Chariteplatz 1, 10117 Berlin, Germany.; Deutsches Rheuma-Forschungszentrum, a Leibniz Institute, Chariteplatz 1, 10117 Berlin, Germany.; Deutsches Rheuma-Forschungszentrum, a Leibniz Institute, Chariteplatz 1, 10117 Berlin, Germany.; Deutsches Rheuma-Forschungszentrum, a Leibniz Institute, Chariteplatz 1, 10117 Berlin, Germany.; Charite Universitatsmedizin Berlin, CC12, Dept. Medicine/Rheumatology and Clinical Immunology, 10117 Berlin, Germany.; Neuroimmunology Unit, Montreal Neurological Institute and Hospital, McGill University, Montreal, Quebec, H3A2B4, Canada.; Virologie et Immunologie Moleculaires, INRA, 78352 Jouy-en-Josas, France.; Virologie et Immunologie Moleculaires, INRA, 78352 Jouy-en-Josas, France.; Deutsches Rheuma-Forschungszentrum, a Leibniz Institute, Chariteplatz 1, 10117 Berlin, Germany.; Deutsches Rheuma-Forschungszentrum, a Leibniz Institute, Chariteplatz 1, 10117 Berlin, Germany.; Neuroimmunology Unit, Montreal Neurological Institute and Hospital, McGill University, Montreal, Quebec, H3A2B4, Canada.; University of Edinburgh, Centre for Inflammation Research and Centre for Multiple Sclerosis Research, Queen&amp;apos;s Medical Research Institute, Edinburgh, EH16 4TJ, United Kingdom.; University of Edinburgh, Centre for Inflammation Research and Centre for Multiple Sclerosis Research, Queen&amp;apos;s Medical Research Institute, Edinburgh, EH16 4TJ, United Kingdom.; Medical Clinic 1, Kussmaul Campus for Medical Research, University of Erlangen-Nurnberg, Germany.; Medical Clinic 1, Kussmaul Campus for Medical Research, University of Erlangen-Nurnberg, Germany.; Deutsches Rheuma-Forschungszentrum, a Leibniz Institute, Chariteplatz 1, 10117 Berlin, Germany.; Institut fur Klinische Neuroimmunologie Klinikum der Ludwig-Maximilians-Universitat Munchen, 81377 Munchen, Germany.; Deutsches Rheuma-Forschungszentrum, a Leibniz Institute, Chariteplatz 1, 10117 Berlin, Germany.; Deutsches Rheuma-Forschungszentrum, a Leibniz Institute, Chariteplatz 1, 10117 Berlin, Germany.; Deutsches Rheuma-Forschungszentrum, a Leibniz Institute, Chariteplatz 1, 10117 Berlin, Germany.; Immunpathologie, Research Center ImmunoSciences, 12203 Berlin, Germany.; Deutsches Rheuma-Forschungszentrum, a Leibniz Institute, Chariteplatz 1, 10117 Berlin, Germany.; Charite Universitatsmedizin Berlin, CC12, Dept. Medicine/Rheumatology and Clinical Immunology, 10117 Berlin, Germany.; Neuroimmunology Unit, Montreal Neurological Institute and Hospital, McGill University, Montreal, Quebec, H3A2B4, Canada.; Max Planck Institute of Infection Biology, Department of Immunology, Chariteplatz 1, 10117 Berlin, Germany.; University of Edinburgh, Centre for Inflammation Research and Centre for Multiple Sclerosis Research, Queen&amp;apos;s Medical Research Institute, Edinburgh, EH16 4TJ, United Kingdom.; Deutsches Rheuma-Forschungszentrum, a Leibniz Institute, Chariteplatz 1, 10117 Berlin, Germany.&lt;/_author_adr&gt;&lt;_collection_scope&gt;SCI;SCIE&lt;/_collection_scope&gt;&lt;_created&gt;63229939&lt;/_created&gt;&lt;_date&gt;2014-03-20&lt;/_date&gt;&lt;_date_display&gt;2014 Mar 20&lt;/_date_display&gt;&lt;_db_updated&gt;PubMed&lt;/_db_updated&gt;&lt;_doi&gt;10.1038/nature12979&lt;/_doi&gt;&lt;_impact_factor&gt;  43.070&lt;/_impact_factor&gt;&lt;_isbn&gt;1476-4687 (Electronic); 0028-0836 (Linking)&lt;/_isbn&gt;&lt;_issue&gt;7492&lt;/_issue&gt;&lt;_journal&gt;Nature&lt;/_journal&gt;&lt;_keywords&gt;Animals; Antigen-Presenting Cells/immunology/metabolism; B-Lymphocytes/*immunology/*metabolism; CD40 Antigens/immunology; Encephalomyelitis, Autoimmune, Experimental/*immunology; Female; Humans; Immunity/*immunology; Interleukin-10/metabolism; Interleukins/immunology/*metabolism; Lymphocyte Activation; Macrophages/cytology/immunology; Male; Mice; Plasma Cells/immunology/metabolism; Salmonella Infections/*immunology/microbiology; T-Lymphocytes/immunology; Toll-Like Receptor 4/immunology&lt;/_keywords&gt;&lt;_language&gt;eng&lt;/_language&gt;&lt;_modified&gt;63229939&lt;/_modified&gt;&lt;_pages&gt;366-370&lt;/_pages&gt;&lt;_tertiary_title&gt;Nature&lt;/_tertiary_title&gt;&lt;_type_work&gt;Journal Article; Research Support, Non-U.S. Gov&amp;apos;t&lt;/_type_work&gt;&lt;_url&gt;http://www.ncbi.nlm.nih.gov/entrez/query.fcgi?cmd=Retrieve&amp;amp;db=pubmed&amp;amp;dopt=Abstract&amp;amp;list_uids=24572363&amp;amp;query_hl=1&lt;/_url&gt;&lt;_volume&gt;507&lt;/_volume&gt;&lt;/Details&gt;&lt;Extra&gt;&lt;DBUID&gt;{F96A950B-833F-4880-A151-76DA2D6A2879}&lt;/DBUID&gt;&lt;/Extra&gt;&lt;/Item&gt;&lt;/References&gt;&lt;/Group&gt;&lt;Group&gt;&lt;References&gt;&lt;Item&gt;&lt;ID&gt;724&lt;/ID&gt;&lt;UID&gt;{8FB9A4DE-5631-4ED6-9FFE-98DCAA4B59DA}&lt;/UID&gt;&lt;Title&gt;IL35-Producing B Cells Promote the Development of Pancreatic Neoplasia&lt;/Title&gt;&lt;Template&gt;Journal Article&lt;/Template&gt;&lt;Star&gt;0&lt;/Star&gt;&lt;Tag&gt;0&lt;/Tag&gt;&lt;Author&gt;Pylayeva-Gupta, Y; Das, S; Handler, J S; Hajdu, C H; Coffre, M; Koralov, S B; Bar-Sagi, D&lt;/Author&gt;&lt;Year&gt;2016&lt;/Year&gt;&lt;Details&gt;&lt;_accession_num&gt;26715643&lt;/_accession_num&gt;&lt;_author_adr&gt;Department of Biochemistry and Molecular Pharmacology, New York University School of Medicine, New York, New York.; Department of Biochemistry and Molecular Pharmacology, New York University School of Medicine, New York, New York.; Department of Biochemistry and Molecular Pharmacology, New York University School of Medicine, New York, New York.; Department of Pathology, New York University School of Medicine, New York, New York.; Department of Pathology, New York University School of Medicine, New York, New York.; Department of Pathology, New York University School of Medicine, New York, New York.; Department of Biochemistry and Molecular Pharmacology, New York University School of Medicine, New York, New York. Dafna.Bar-Sagi@med.nyu.edu.&lt;/_author_adr&gt;&lt;_collection_scope&gt;SCIE&lt;/_collection_scope&gt;&lt;_created&gt;63229930&lt;/_created&gt;&lt;_date&gt;2016-03-01&lt;/_date&gt;&lt;_date_display&gt;2016 Mar&lt;/_date_display&gt;&lt;_db_updated&gt;PubMed&lt;/_db_updated&gt;&lt;_doi&gt;10.1158/2159-8290.CD-15-0843&lt;/_doi&gt;&lt;_impact_factor&gt;  26.370&lt;/_impact_factor&gt;&lt;_isbn&gt;2159-8290 (Electronic); 2159-8274 (Linking)&lt;/_isbn&gt;&lt;_issue&gt;3&lt;/_issue&gt;&lt;_journal&gt;Cancer Discov&lt;/_journal&gt;&lt;_keywords&gt;Animals; B-Lymphocytes/*immunology/*metabolism; Biomarkers; Carcinoma, Pancreatic Ductal; Cell Transformation, Neoplastic/*immunology/*metabolism; Disease Models, Animal; Humans; Immunohistochemistry; Interleukins/*biosynthesis; Lymphocytes, Tumor-Infiltrating/immunology/metabolism; Mice; Mice, Knockout; Pancreatic Neoplasms/*immunology/*metabolism/pathology; Phenotype&lt;/_keywords&gt;&lt;_language&gt;eng&lt;/_language&gt;&lt;_modified&gt;63229930&lt;/_modified&gt;&lt;_ori_publication&gt;(c)2015 American Association for Cancer Research.&lt;/_ori_publication&gt;&lt;_pages&gt;247-55&lt;/_pages&gt;&lt;_tertiary_title&gt;Cancer discovery&lt;/_tertiary_title&gt;&lt;_type_work&gt;Journal Article; Research Support, N.I.H., Extramural; Research Support, Non-U.S. Gov&amp;apos;t&lt;/_type_work&gt;&lt;_url&gt;http://www.ncbi.nlm.nih.gov/entrez/query.fcgi?cmd=Retrieve&amp;amp;db=pubmed&amp;amp;dopt=Abstract&amp;amp;list_uids=26715643&amp;amp;query_hl=1&lt;/_url&gt;&lt;_volume&gt;6&lt;/_volume&gt;&lt;/Details&gt;&lt;Extra&gt;&lt;DBUID&gt;{F96A950B-833F-4880-A151-76DA2D6A2879}&lt;/DBUID&gt;&lt;/Extra&gt;&lt;/Item&gt;&lt;/References&gt;&lt;/Group&gt;&lt;/Citation&gt;_x000a_"/>
    <w:docVar w:name="NE.Ref{6BEE2EEA-B0A9-47E4-83C2-B4F91D51CF7E}" w:val=" ADDIN NE.Ref.{6BEE2EEA-B0A9-47E4-83C2-B4F91D51CF7E}&lt;Citation&gt;&lt;Group&gt;&lt;References&gt;&lt;Item&gt;&lt;ID&gt;726&lt;/ID&gt;&lt;UID&gt;{754AFF27-FF1E-4481-BEB2-3B1BB0611D9C}&lt;/UID&gt;&lt;Title&gt;IL-35-producing B cells are critical regulators of immunity during autoimmune and infectious diseases&lt;/Title&gt;&lt;Template&gt;Journal Article&lt;/Template&gt;&lt;Star&gt;0&lt;/Star&gt;&lt;Tag&gt;0&lt;/Tag&gt;&lt;Author&gt;Shen, P; Roch, T; Lampropoulou, V; O&amp;apos;Connor, R A; Stervbo, U; Hilgenberg, E; Ries, S; Dang, V D; Jaimes, Y; Daridon, C; Li, R; Jouneau, L; Boudinot, P; Wilantri, S; Sakwa, I; Miyazaki, Y; Leech, M D; McPherson, R C; Wirtz, S; Neurath, M; Hoehlig, K; Meinl, E; Grutzkau, A; Grun, J R; Horn, K; Kuhl, A A; Dorner, T; Bar-Or, A; Kaufmann, SHE; Anderton, S M; Fillatreau, S&lt;/Author&gt;&lt;Year&gt;2014&lt;/Year&gt;&lt;Details&gt;&lt;_accession_num&gt;24572363&lt;/_accession_num&gt;&lt;_author_adr&gt;Deutsches Rheuma-Forschungszentrum, a Leibniz Institute, Chariteplatz 1, 10117 Berlin, Germany.; Deutsches Rheuma-Forschungszentrum, a Leibniz Institute, Chariteplatz 1, 10117 Berlin, Germany.; Deutsches Rheuma-Forschungszentrum, a Leibniz Institute, Chariteplatz 1, 10117 Berlin, Germany.; University of Edinburgh, Centre for Inflammation Research and Centre for Multiple Sclerosis Research, Queen&amp;apos;s Medical Research Institute, Edinburgh, EH16 4TJ, United Kingdom.; Deutsches Rheuma-Forschungszentrum, a Leibniz Institute, Chariteplatz 1, 10117 Berlin, Germany.; Deutsches Rheuma-Forschungszentrum, a Leibniz Institute, Chariteplatz 1, 10117 Berlin, Germany.; Deutsches Rheuma-Forschungszentrum, a Leibniz Institute, Chariteplatz 1, 10117 Berlin, Germany.; Deutsches Rheuma-Forschungszentrum, a Leibniz Institute, Chariteplatz 1, 10117 Berlin, Germany.; Deutsches Rheuma-Forschungszentrum, a Leibniz Institute, Chariteplatz 1, 10117 Berlin, Germany.; Deutsches Rheuma-Forschungszentrum, a Leibniz Institute, Chariteplatz 1, 10117 Berlin, Germany.; Charite Universitatsmedizin Berlin, CC12, Dept. Medicine/Rheumatology and Clinical Immunology, 10117 Berlin, Germany.; Neuroimmunology Unit, Montreal Neurological Institute and Hospital, McGill University, Montreal, Quebec, H3A2B4, Canada.; Virologie et Immunologie Moleculaires, INRA, 78352 Jouy-en-Josas, France.; Virologie et Immunologie Moleculaires, INRA, 78352 Jouy-en-Josas, France.; Deutsches Rheuma-Forschungszentrum, a Leibniz Institute, Chariteplatz 1, 10117 Berlin, Germany.; Deutsches Rheuma-Forschungszentrum, a Leibniz Institute, Chariteplatz 1, 10117 Berlin, Germany.; Neuroimmunology Unit, Montreal Neurological Institute and Hospital, McGill University, Montreal, Quebec, H3A2B4, Canada.; University of Edinburgh, Centre for Inflammation Research and Centre for Multiple Sclerosis Research, Queen&amp;apos;s Medical Research Institute, Edinburgh, EH16 4TJ, United Kingdom.; University of Edinburgh, Centre for Inflammation Research and Centre for Multiple Sclerosis Research, Queen&amp;apos;s Medical Research Institute, Edinburgh, EH16 4TJ, United Kingdom.; Medical Clinic 1, Kussmaul Campus for Medical Research, University of Erlangen-Nurnberg, Germany.; Medical Clinic 1, Kussmaul Campus for Medical Research, University of Erlangen-Nurnberg, Germany.; Deutsches Rheuma-Forschungszentrum, a Leibniz Institute, Chariteplatz 1, 10117 Berlin, Germany.; Institut fur Klinische Neuroimmunologie Klinikum der Ludwig-Maximilians-Universitat Munchen, 81377 Munchen, Germany.; Deutsches Rheuma-Forschungszentrum, a Leibniz Institute, Chariteplatz 1, 10117 Berlin, Germany.; Deutsches Rheuma-Forschungszentrum, a Leibniz Institute, Chariteplatz 1, 10117 Berlin, Germany.; Deutsches Rheuma-Forschungszentrum, a Leibniz Institute, Chariteplatz 1, 10117 Berlin, Germany.; Immunpathologie, Research Center ImmunoSciences, 12203 Berlin, Germany.; Deutsches Rheuma-Forschungszentrum, a Leibniz Institute, Chariteplatz 1, 10117 Berlin, Germany.; Charite Universitatsmedizin Berlin, CC12, Dept. Medicine/Rheumatology and Clinical Immunology, 10117 Berlin, Germany.; Neuroimmunology Unit, Montreal Neurological Institute and Hospital, McGill University, Montreal, Quebec, H3A2B4, Canada.; Max Planck Institute of Infection Biology, Department of Immunology, Chariteplatz 1, 10117 Berlin, Germany.; University of Edinburgh, Centre for Inflammation Research and Centre for Multiple Sclerosis Research, Queen&amp;apos;s Medical Research Institute, Edinburgh, EH16 4TJ, United Kingdom.; Deutsches Rheuma-Forschungszentrum, a Leibniz Institute, Chariteplatz 1, 10117 Berlin, Germany.&lt;/_author_adr&gt;&lt;_collection_scope&gt;SCI;SCIE&lt;/_collection_scope&gt;&lt;_created&gt;63229939&lt;/_created&gt;&lt;_date&gt;2014-03-20&lt;/_date&gt;&lt;_date_display&gt;2014 Mar 20&lt;/_date_display&gt;&lt;_db_updated&gt;PubMed&lt;/_db_updated&gt;&lt;_doi&gt;10.1038/nature12979&lt;/_doi&gt;&lt;_impact_factor&gt;  43.070&lt;/_impact_factor&gt;&lt;_isbn&gt;1476-4687 (Electronic); 0028-0836 (Linking)&lt;/_isbn&gt;&lt;_issue&gt;7492&lt;/_issue&gt;&lt;_journal&gt;Nature&lt;/_journal&gt;&lt;_keywords&gt;Animals; Antigen-Presenting Cells/immunology/metabolism; B-Lymphocytes/*immunology/*metabolism; CD40 Antigens/immunology; Encephalomyelitis, Autoimmune, Experimental/*immunology; Female; Humans; Immunity/*immunology; Interleukin-10/metabolism; Interleukins/immunology/*metabolism; Lymphocyte Activation; Macrophages/cytology/immunology; Male; Mice; Plasma Cells/immunology/metabolism; Salmonella Infections/*immunology/microbiology; T-Lymphocytes/immunology; Toll-Like Receptor 4/immunology&lt;/_keywords&gt;&lt;_language&gt;eng&lt;/_language&gt;&lt;_modified&gt;63229939&lt;/_modified&gt;&lt;_pages&gt;366-370&lt;/_pages&gt;&lt;_tertiary_title&gt;Nature&lt;/_tertiary_title&gt;&lt;_type_work&gt;Journal Article; Research Support, Non-U.S. Gov&amp;apos;t&lt;/_type_work&gt;&lt;_url&gt;http://www.ncbi.nlm.nih.gov/entrez/query.fcgi?cmd=Retrieve&amp;amp;db=pubmed&amp;amp;dopt=Abstract&amp;amp;list_uids=24572363&amp;amp;query_hl=1&lt;/_url&gt;&lt;_volume&gt;507&lt;/_volume&gt;&lt;/Details&gt;&lt;Extra&gt;&lt;DBUID&gt;{F96A950B-833F-4880-A151-76DA2D6A2879}&lt;/DBUID&gt;&lt;/Extra&gt;&lt;/Item&gt;&lt;/References&gt;&lt;/Group&gt;&lt;/Citation&gt;_x000a_"/>
    <w:docVar w:name="NE.Ref{6D20C18A-78AE-4D3D-8562-F39751B89ED2}" w:val=" ADDIN NE.Ref.{6D20C18A-78AE-4D3D-8562-F39751B89ED2}&lt;Citation&gt;&lt;Group&gt;&lt;References&gt;&lt;Item&gt;&lt;ID&gt;688&lt;/ID&gt;&lt;UID&gt;{C5AA2E4E-DAD8-409A-9348-0969E9122186}&lt;/UID&gt;&lt;Title&gt;Microglial priming through the lung-brain axis: the role of air pollution-induced circulating factors&lt;/Title&gt;&lt;Template&gt;Journal Article&lt;/Template&gt;&lt;Star&gt;0&lt;/Star&gt;&lt;Tag&gt;0&lt;/Tag&gt;&lt;Author&gt;Mumaw, C L; Levesque, S; McGraw, C; Robertson, S; Lucas, S; Stafflinger, J E; Campen, M J; Hall, P; Norenberg, J P; Anderson, T; Lund, A K; McDonald, J D; Ottens, A K; Block, M L&lt;/Author&gt;&lt;Year&gt;2016&lt;/Year&gt;&lt;Details&gt;&lt;_accession_num&gt;26864854&lt;/_accession_num&gt;&lt;_author_adr&gt;Department of Anatomy and Cell Biology, The Stark Neuroscience Research Institute, Indiana University School of Medicine, Indianapolis, Indiana, USA;; Department of Anatomy and Neurobiology, Virginia Commonwealth University Medical  Campus, Richmond, Virginia, USA;; Department of Anatomy and Neurobiology, Virginia Commonwealth University Medical  Campus, Richmond, Virginia, USA;; Department of Pharmaceutical Sciences and.; Department of Pharmaceutical Sciences and.; Department of Anatomy and Neurobiology, Virginia Commonwealth University Medical  Campus, Richmond, Virginia, USA;; Department of Pharmaceutical Sciences and.; Department of Pharmaceutical Sciences and.; Radiopharmaceutical Sciences, Keck-University of New Mexico Small-Animal Imaging  Resource, College of Pharmacy, University of New Mexico, Albuquerque, New Mexico, USA;; Radiopharmaceutical Sciences, Keck-University of New Mexico Small-Animal Imaging  Resource, College of Pharmacy, University of New Mexico, Albuquerque, New Mexico, USA;; Department of Biological Sciences, Advanced Environmental Research Institute, University of North Texas, Denton, Texas, USA; and.; Lovelace Respiratory Research Institute, Albuquerque, New Mexico, USA.; Department of Anatomy and Neurobiology, Virginia Commonwealth University Medical  Campus, Richmond, Virginia, USA;; Department of Anatomy and Cell Biology, The Stark Neuroscience Research Institute, Indiana University School of Medicine, Indianapolis, Indiana, USA; mlblock@iupui.edu.&lt;/_author_adr&gt;&lt;_collection_scope&gt;SCI;SCIE&lt;/_collection_scope&gt;&lt;_created&gt;63229826&lt;/_created&gt;&lt;_date&gt;2016-05-01&lt;/_date&gt;&lt;_date_display&gt;2016 May&lt;/_date_display&gt;&lt;_db_updated&gt;PubMed&lt;/_db_updated&gt;&lt;_doi&gt;10.1096/fj.201500047&lt;/_doi&gt;&lt;_impact_factor&gt;   5.391&lt;/_impact_factor&gt;&lt;_isbn&gt;1530-6860 (Electronic); 0892-6638 (Linking)&lt;/_isbn&gt;&lt;_issue&gt;5&lt;/_issue&gt;&lt;_journal&gt;FASEB J&lt;/_journal&gt;&lt;_keywords&gt;Air Pollution/*adverse effects; Animals; Antibodies; Brain/*drug effects/metabolism; Cell Line; Inflammation/chemically induced/metabolism; Lung/*drug effects/metabolism; Lung Diseases/*chemically induced/metabolism; Macrophage-1 Antigen/immunology; Mice; Microglia/*drug effects; Neurons/drug effects/metabolism; Ozone/*toxicity; Rats*glia; *inhaled pollutants; *neuroinflammation&lt;/_keywords&gt;&lt;_language&gt;eng&lt;/_language&gt;&lt;_modified&gt;63229826&lt;/_modified&gt;&lt;_ori_publication&gt;(c) FASEB.&lt;/_ori_publication&gt;&lt;_pages&gt;1880-91&lt;/_pages&gt;&lt;_tertiary_title&gt;FASEB journal : official publication of the Federation of American Societies for _x000a_      Experimental Biology&lt;/_tertiary_title&gt;&lt;_type_work&gt;Journal Article; Research Support, N.I.H., Extramural&lt;/_type_work&gt;&lt;_url&gt;http://www.ncbi.nlm.nih.gov/entrez/query.fcgi?cmd=Retrieve&amp;amp;db=pubmed&amp;amp;dopt=Abstract&amp;amp;list_uids=26864854&amp;amp;query_hl=1&lt;/_url&gt;&lt;_volume&gt;30&lt;/_volume&gt;&lt;/Details&gt;&lt;Extra&gt;&lt;DBUID&gt;{F96A950B-833F-4880-A151-76DA2D6A2879}&lt;/DBUID&gt;&lt;/Extra&gt;&lt;/Item&gt;&lt;/References&gt;&lt;/Group&gt;&lt;/Citation&gt;_x000a_"/>
    <w:docVar w:name="NE.Ref{7198AA4D-60BE-49F7-A367-8B8D80DFB9C8}" w:val=" ADDIN NE.Ref.{7198AA4D-60BE-49F7-A367-8B8D80DFB9C8}&lt;Citation&gt;&lt;Group&gt;&lt;References&gt;&lt;Item&gt;&lt;ID&gt;694&lt;/ID&gt;&lt;UID&gt;{B7E30644-A4F4-47AF-99E5-D2B8F803F7C8}&lt;/UID&gt;&lt;Title&gt;T cells become licensed in the lung to enter the central nervous system&lt;/Title&gt;&lt;Template&gt;Journal Article&lt;/Template&gt;&lt;Star&gt;0&lt;/Star&gt;&lt;Tag&gt;0&lt;/Tag&gt;&lt;Author&gt;Odoardi, F; Sie, C; Streyl, K; Ulaganathan, V K; Schlager, C; Lodygin, D; Heckelsmiller, K; Nietfeld, W; Ellwart, J; Klinkert, W E; Lottaz, C; Nosov, M; Brinkmann, V; Spang, R; Lehrach, H; Vingron, M; Wekerle, H; Flugel-Koch, C; Flugel, A&lt;/Author&gt;&lt;Year&gt;2012&lt;/Year&gt;&lt;Details&gt;&lt;_accession_num&gt;22914092&lt;/_accession_num&gt;&lt;_author_adr&gt;Institute for Multiple Sclerosis Research, Department of Neuroimmunology, Gemeinnutzige Hertie-Stiftung and University Medical Centre Gottingen, 37073 Gottingen, Germany.&lt;/_author_adr&gt;&lt;_collection_scope&gt;SCI;SCIE&lt;/_collection_scope&gt;&lt;_created&gt;63229834&lt;/_created&gt;&lt;_date&gt;2012-08-30&lt;/_date&gt;&lt;_date_display&gt;2012 Aug 30&lt;/_date_display&gt;&lt;_db_updated&gt;PubMed&lt;/_db_updated&gt;&lt;_doi&gt;10.1038/nature11337&lt;/_doi&gt;&lt;_impact_factor&gt;  43.070&lt;/_impact_factor&gt;&lt;_isbn&gt;1476-4687 (Electronic); 0028-0836 (Linking)&lt;/_isbn&gt;&lt;_issue&gt;7413&lt;/_issue&gt;&lt;_journal&gt;Nature&lt;/_journal&gt;&lt;_keywords&gt;Adoptive Transfer; Animals; Autoimmunity/immunology; Blood-Brain Barrier/immunology; Brain/cytology/immunology/*pathology; Cell Adhesion Molecules, Neuronal/metabolism; *Cell Movement; Cerebrovascular Circulation; Disease Models, Animal; Encephalomyelitis, Autoimmune, Experimental/*immunology/*pathology; Gene Expression Profiling; Immunologic Memory; Lung/cytology/immunology/*pathology; Lymphocyte Activation; Myelin Sheath/immunology; Nerve Growth Factors/metabolism; Rats; Rats, Inbred Lew; T-Lymphocytes/cytology/immunology/metabolism/*pathology&lt;/_keywords&gt;&lt;_language&gt;eng&lt;/_language&gt;&lt;_modified&gt;63229834&lt;/_modified&gt;&lt;_pages&gt;675-9&lt;/_pages&gt;&lt;_tertiary_title&gt;Nature&lt;/_tertiary_title&gt;&lt;_type_work&gt;Journal Article; Research Support, Non-U.S. Gov&amp;apos;t&lt;/_type_work&gt;&lt;_url&gt;http://www.ncbi.nlm.nih.gov/entrez/query.fcgi?cmd=Retrieve&amp;amp;db=pubmed&amp;amp;dopt=Abstract&amp;amp;list_uids=22914092&amp;amp;query_hl=1&lt;/_url&gt;&lt;_volume&gt;488&lt;/_volume&gt;&lt;/Details&gt;&lt;Extra&gt;&lt;DBUID&gt;{F96A950B-833F-4880-A151-76DA2D6A2879}&lt;/DBUID&gt;&lt;/Extra&gt;&lt;/Item&gt;&lt;/References&gt;&lt;/Group&gt;&lt;Group&gt;&lt;References&gt;&lt;Item&gt;&lt;ID&gt;688&lt;/ID&gt;&lt;UID&gt;{C5AA2E4E-DAD8-409A-9348-0969E9122186}&lt;/UID&gt;&lt;Title&gt;Microglial priming through the lung-brain axis: the role of air pollution-induced circulating factors&lt;/Title&gt;&lt;Template&gt;Journal Article&lt;/Template&gt;&lt;Star&gt;0&lt;/Star&gt;&lt;Tag&gt;0&lt;/Tag&gt;&lt;Author&gt;Mumaw, C L; Levesque, S; McGraw, C; Robertson, S; Lucas, S; Stafflinger, J E; Campen, M J; Hall, P; Norenberg, J P; Anderson, T; Lund, A K; McDonald, J D; Ottens, A K; Block, M L&lt;/Author&gt;&lt;Year&gt;2016&lt;/Year&gt;&lt;Details&gt;&lt;_accession_num&gt;26864854&lt;/_accession_num&gt;&lt;_author_adr&gt;Department of Anatomy and Cell Biology, The Stark Neuroscience Research Institute, Indiana University School of Medicine, Indianapolis, Indiana, USA;; Department of Anatomy and Neurobiology, Virginia Commonwealth University Medical  Campus, Richmond, Virginia, USA;; Department of Anatomy and Neurobiology, Virginia Commonwealth University Medical  Campus, Richmond, Virginia, USA;; Department of Pharmaceutical Sciences and.; Department of Pharmaceutical Sciences and.; Department of Anatomy and Neurobiology, Virginia Commonwealth University Medical  Campus, Richmond, Virginia, USA;; Department of Pharmaceutical Sciences and.; Department of Pharmaceutical Sciences and.; Radiopharmaceutical Sciences, Keck-University of New Mexico Small-Animal Imaging  Resource, College of Pharmacy, University of New Mexico, Albuquerque, New Mexico, USA;; Radiopharmaceutical Sciences, Keck-University of New Mexico Small-Animal Imaging  Resource, College of Pharmacy, University of New Mexico, Albuquerque, New Mexico, USA;; Department of Biological Sciences, Advanced Environmental Research Institute, University of North Texas, Denton, Texas, USA; and.; Lovelace Respiratory Research Institute, Albuquerque, New Mexico, USA.; Department of Anatomy and Neurobiology, Virginia Commonwealth University Medical  Campus, Richmond, Virginia, USA;; Department of Anatomy and Cell Biology, The Stark Neuroscience Research Institute, Indiana University School of Medicine, Indianapolis, Indiana, USA; mlblock@iupui.edu.&lt;/_author_adr&gt;&lt;_collection_scope&gt;SCI;SCIE&lt;/_collection_scope&gt;&lt;_created&gt;63229826&lt;/_created&gt;&lt;_date&gt;2016-05-01&lt;/_date&gt;&lt;_date_display&gt;2016 May&lt;/_date_display&gt;&lt;_db_updated&gt;PubMed&lt;/_db_updated&gt;&lt;_doi&gt;10.1096/fj.201500047&lt;/_doi&gt;&lt;_impact_factor&gt;   5.391&lt;/_impact_factor&gt;&lt;_isbn&gt;1530-6860 (Electronic); 0892-6638 (Linking)&lt;/_isbn&gt;&lt;_issue&gt;5&lt;/_issue&gt;&lt;_journal&gt;FASEB J&lt;/_journal&gt;&lt;_keywords&gt;Air Pollution/*adverse effects; Animals; Antibodies; Brain/*drug effects/metabolism; Cell Line; Inflammation/chemically induced/metabolism; Lung/*drug effects/metabolism; Lung Diseases/*chemically induced/metabolism; Macrophage-1 Antigen/immunology; Mice; Microglia/*drug effects; Neurons/drug effects/metabolism; Ozone/*toxicity; Rats*glia; *inhaled pollutants; *neuroinflammation&lt;/_keywords&gt;&lt;_language&gt;eng&lt;/_language&gt;&lt;_modified&gt;63229826&lt;/_modified&gt;&lt;_ori_publication&gt;(c) FASEB.&lt;/_ori_publication&gt;&lt;_pages&gt;1880-91&lt;/_pages&gt;&lt;_tertiary_title&gt;FASEB journal : official publication of the Federation of American Societies for _x000a_      Experimental Biology&lt;/_tertiary_title&gt;&lt;_type_work&gt;Journal Article; Research Support, N.I.H., Extramural&lt;/_type_work&gt;&lt;_url&gt;http://www.ncbi.nlm.nih.gov/entrez/query.fcgi?cmd=Retrieve&amp;amp;db=pubmed&amp;amp;dopt=Abstract&amp;amp;list_uids=26864854&amp;amp;query_hl=1&lt;/_url&gt;&lt;_volume&gt;30&lt;/_volume&gt;&lt;/Details&gt;&lt;Extra&gt;&lt;DBUID&gt;{F96A950B-833F-4880-A151-76DA2D6A2879}&lt;/DBUID&gt;&lt;/Extra&gt;&lt;/Item&gt;&lt;/References&gt;&lt;/Group&gt;&lt;Group&gt;&lt;References&gt;&lt;Item&gt;&lt;ID&gt;690&lt;/ID&gt;&lt;UID&gt;{491934A1-234F-4E9D-B0A5-6D4F301E9E0C}&lt;/UID&gt;&lt;Title&gt;The HMGB1-RAGE axis mediates traumatic brain injury-induced pulmonary dysfunction in lung transplantation&lt;/Title&gt;&lt;Template&gt;Journal Article&lt;/Template&gt;&lt;Star&gt;0&lt;/Star&gt;&lt;Tag&gt;0&lt;/Tag&gt;&lt;Author&gt;Weber, D J; Gracon, A S; Ripsch, M S; Fisher, A J; Cheon, B M; Pandya, P H; Vittal, R; Capitano, M L; Kim, Y; Allette, Y M; Riley, A A; McCarthy, B P; Territo, P R; Hutchins, G D; Broxmeyer, H E; Sandusky, G E; White, F A; Wilkes, D S&lt;/Author&gt;&lt;Year&gt;2014&lt;/Year&gt;&lt;Details&gt;&lt;_accession_num&gt;25186179&lt;/_accession_num&gt;&lt;_author_adr&gt;Center for Immunobiology, Indiana University School of Medicine, Indianapolis, IN 46202, USA. Department of Surgery, Indiana University School of Medicine, Indianapolis, IN 46202, USA.; Center for Immunobiology, Indiana University School of Medicine, Indianapolis, IN 46202, USA. Department of Surgery, Indiana University School of Medicine, Indianapolis, IN 46202, USA.; Department of Anesthesia, Paul and Carole Stark Neurosciences Research Institute, Indianapolis, IN 46202, USA.; Center for Immunobiology, Indiana University School of Medicine, Indianapolis, IN 46202, USA. Department of Anesthesia, Paul and Carole Stark Neurosciences Research Institute, Indianapolis, IN 46202, USA.; Department of Anesthesia, Paul and Carole Stark Neurosciences Research Institute, Indianapolis, IN 46202, USA.; Center for Immunobiology, Indiana University School of Medicine, Indianapolis, IN 46202, USA. Department of Microbiology and Immunology, Indiana University School  of Medicine, Indianapolis, IN 46202, USA.; Center for Immunobiology, Indiana University School of Medicine, Indianapolis, IN 46202, USA. Department of Microbiology and Immunology, Indiana University School  of Medicine, Indianapolis, IN 46202, USA.; Department of Microbiology and Immunology, Indiana University School of Medicine, Indianapolis, IN 46202, USA.; Department of Anesthesia, Paul and Carole Stark Neurosciences Research Institute, Indianapolis, IN 46202, USA.; Department of Anesthesia, Paul and Carole Stark Neurosciences Research Institute, Indianapolis, IN 46202, USA.; Department of Radiology and Imaging Sciences, Indiana University School of Medicine, Indianapolis, IN 46202, USA.; Department of Radiology and Imaging Sciences, Indiana University School of Medicine, Indianapolis, IN 46202, USA.; Department of Radiology and Imaging Sciences, Indiana University School of Medicine, Indianapolis, IN 46202, USA.; Department of Radiology and Imaging Sciences, Indiana University School of Medicine, Indianapolis, IN 46202, USA.; Department of Microbiology and Immunology, Indiana University School of Medicine, Indianapolis, IN 46202, USA.; Department of Pathology, Indiana University School of Medicine, Indianapolis, IN  46202, USA.; Center for Immunobiology, Indiana University School of Medicine, Indianapolis, IN 46202, USA. Department of Anesthesia, Paul and Carole Stark Neurosciences Research Institute, Indianapolis, IN 46202, USA.; Center for Immunobiology, Indiana University School of Medicine, Indianapolis, IN 46202, USA. Department of Microbiology and Immunology, Indiana University School  of Medicine, Indianapolis, IN 46202, USA. dwilkes@iupui.edu.&lt;/_author_adr&gt;&lt;_collection_scope&gt;SCIE&lt;/_collection_scope&gt;&lt;_created&gt;63229829&lt;/_created&gt;&lt;_date&gt;2014-09-03&lt;/_date&gt;&lt;_date_display&gt;2014 Sep 3&lt;/_date_display&gt;&lt;_db_updated&gt;PubMed&lt;/_db_updated&gt;&lt;_doi&gt;10.1126/scitranslmed.3009443&lt;/_doi&gt;&lt;_impact_factor&gt;  17.161&lt;/_impact_factor&gt;&lt;_isbn&gt;1946-6242 (Electronic); 1946-6234 (Linking)&lt;/_isbn&gt;&lt;_issue&gt;252&lt;/_issue&gt;&lt;_journal&gt;Sci Transl Med&lt;/_journal&gt;&lt;_keywords&gt;Acute Lung Injury/etiology/physiopathology; Adult; Animals; Antibodies, Neutralizing/pharmacology; Brain Injuries/complications/*metabolism/*physiopathology; Cardiac Output/drug effects; Epithelial Cells/drug effects/metabolism; Female; HMGB1 Protein/*metabolism; Humans; Interleukin-10/metabolism; Lung/drug effects/pathology/*physiopathology; *Lung Transplantation; Male; Mice, Inbred C57BL; NF-kappa B/metabolism; Peptides/metabolism; Receptor for Advanced Glycation End Products; Receptors, Immunologic/deficiency/*metabolism; Tissue Donors; Toll-Like Receptor 4/deficiency/metabolism&lt;/_keywords&gt;&lt;_language&gt;eng&lt;/_language&gt;&lt;_modified&gt;63229829&lt;/_modified&gt;&lt;_ori_publication&gt;Copyright (c) 2014, American Association for the Advancement of Science.&lt;/_ori_publication&gt;&lt;_pages&gt;252ra124&lt;/_pages&gt;&lt;_tertiary_title&gt;Science translational medicine&lt;/_tertiary_title&gt;&lt;_type_work&gt;Journal Article; Research Support, N.I.H., Extramural; Retracted Publication&lt;/_type_work&gt;&lt;_url&gt;http://www.ncbi.nlm.nih.gov/entrez/query.fcgi?cmd=Retrieve&amp;amp;db=pubmed&amp;amp;dopt=Abstract&amp;amp;list_uids=25186179&amp;amp;query_hl=1&lt;/_url&gt;&lt;_volume&gt;6&lt;/_volume&gt;&lt;/Details&gt;&lt;Extra&gt;&lt;DBUID&gt;{F96A950B-833F-4880-A151-76DA2D6A2879}&lt;/DBUID&gt;&lt;/Extra&gt;&lt;/Item&gt;&lt;/References&gt;&lt;/Group&gt;&lt;/Citation&gt;_x000a_"/>
    <w:docVar w:name="NE.Ref{742D2421-A174-472C-B5BE-B1C458C3BB4B}" w:val=" ADDIN NE.Ref.{742D2421-A174-472C-B5BE-B1C458C3BB4B}&lt;Citation&gt;&lt;Group&gt;&lt;References&gt;&lt;Item&gt;&lt;ID&gt;687&lt;/ID&gt;&lt;UID&gt;{59214706-5DF9-44F2-BA2A-A7C943AD873A}&lt;/UID&gt;&lt;Title&gt;Increased pulmonary arteriolar tone associated with lung oxidative stress and nitric oxide in a mouse model of Alzheimer&amp;apos;s disease&lt;/Title&gt;&lt;Template&gt;Journal Article&lt;/Template&gt;&lt;Star&gt;0&lt;/Star&gt;&lt;Tag&gt;0&lt;/Tag&gt;&lt;Author&gt;Roberts, A M; Jagadapillai, R; Vaishnav, R A; Friedland, R P; Drinovac, R; Lin, X; Gozal, E&lt;/Author&gt;&lt;Year&gt;2016&lt;/Year&gt;&lt;Details&gt;&lt;_accession_num&gt;27604401&lt;/_accession_num&gt;&lt;_author_adr&gt;Department of Physiology, School of Medicine University of Louisville, Louisville, Kentucky, 40202 Department of Pediatrics, School of Medicine University of Louisville, Louisville, Kentucky, 40202 andrew.roberts@louisville.edu.; Department of Pediatrics, School of Medicine University of Louisville, Louisville, Kentucky, 40202.; Department of Physiology, School of Medicine University of Louisville, Louisville, Kentucky, 40202 Department of Neurology, School of Medicine University of Louisville, Louisville, Kentucky, 40202.; Department of Neurology, School of Medicine University of Louisville, Louisville, Kentucky, 40202 Department of Anatomical Sciences and Neurobiology, School of Medicine University of Louisville, Louisville, Kentucky, 40202.; Department of Physiology, School of Medicine University of Louisville, Louisville, Kentucky, 40202.; Department of Pediatrics, School of Medicine University of Louisville, Louisville, Kentucky, 40202 Department of Thoracic Surgery, the First Hospital of Jilin University, Changchun, China.; Department of Physiology, School of Medicine University of Louisville, Louisville, Kentucky, 40202 Department of Pediatrics, School of Medicine University of Louisville, Louisville, Kentucky, 40202.&lt;/_author_adr&gt;&lt;_created&gt;63229825&lt;/_created&gt;&lt;_date&gt;2016-09-01&lt;/_date&gt;&lt;_date_display&gt;2016 Sep&lt;/_date_display&gt;&lt;_db_updated&gt;PubMed&lt;/_db_updated&gt;&lt;_doi&gt;10.14814/phy2.12953&lt;/_doi&gt;&lt;_isbn&gt;2051-817X (Electronic); 2051-817X (Linking)&lt;/_isbn&gt;&lt;_issue&gt;17&lt;/_issue&gt;&lt;_journal&gt;Physiol Rep&lt;/_journal&gt;&lt;_keywords&gt;Alzheimer Disease/complications/metabolism/*pathology; Amyloid beta-Protein Precursor/*metabolism; Animals; Cerebrovascular Circulation/physiology; Disease Models, Animal; Endothelium/physiopathology; Enzyme Inhibitors/*administration &amp;amp;amp; dosage/pharmacology; Lung/*blood supply/drug effects/metabolism/pathology; Male; Mice; Mice, Inbred C57BL; Mice, Transgenic; Microcirculation/*drug effects; NG-Nitroarginine Methyl Ester/*administration &amp;amp;amp; dosage/pharmacology; Nitric Oxide/metabolism; Nitric Oxide Synthase/metabolism; Oxidative Stress/*drug effects; Superoxides/metabolism*Amyloid precursor protein; *endothelial dysfunction; *lung microcirculation; *neuroinflammation; *reactive nitrogen species&lt;/_keywords&gt;&lt;_language&gt;eng&lt;/_language&gt;&lt;_modified&gt;63229825&lt;/_modified&gt;&lt;_ori_publication&gt;(c) 2016 The Authors. Physiological Reports published by Wiley Periodicals, Inc. _x000a_      on behalf of the American Physiological Society and The Physiological Society.&lt;/_ori_publication&gt;&lt;_tertiary_title&gt;Physiological reports&lt;/_tertiary_title&gt;&lt;_type_work&gt;Journal Article; Research Support, Non-U.S. Gov&amp;apos;t&lt;/_type_work&gt;&lt;_url&gt;http://www.ncbi.nlm.nih.gov/entrez/query.fcgi?cmd=Retrieve&amp;amp;db=pubmed&amp;amp;dopt=Abstract&amp;amp;list_uids=27604401&amp;amp;query_hl=1&lt;/_url&gt;&lt;_volume&gt;4&lt;/_volume&gt;&lt;/Details&gt;&lt;Extra&gt;&lt;DBUID&gt;{F96A950B-833F-4880-A151-76DA2D6A2879}&lt;/DBUID&gt;&lt;/Extra&gt;&lt;/Item&gt;&lt;/References&gt;&lt;/Group&gt;&lt;/Citation&gt;_x000a_"/>
    <w:docVar w:name="NE.Ref{7A44354D-8701-4734-9B74-0B0FC7C40DBA}" w:val=" ADDIN NE.Ref.{7A44354D-8701-4734-9B74-0B0FC7C40DBA}&lt;Citation&gt;&lt;Group&gt;&lt;References&gt;&lt;Item&gt;&lt;ID&gt;430&lt;/ID&gt;&lt;UID&gt;{65A2EEF8-B5FE-4F99-A0B2-45939B6E629C}&lt;/UID&gt;&lt;Title&gt;Double negative (IgG+IgD-CD27-) B cells are increased in a cohort of moderate-severe Alzheimer&amp;apos;s disease patients and show a pro-inflammatory trafficking receptor phenotype&lt;/Title&gt;&lt;Template&gt;Journal Article&lt;/Template&gt;&lt;Star&gt;0&lt;/Star&gt;&lt;Tag&gt;0&lt;/Tag&gt;&lt;Author&gt;Bulati, M; Buffa, S; Martorana, A; Gervasi, F; Camarda, C; Azzarello, D M; Monastero, R; Caruso, C; Colonna-Romano, G&lt;/Author&gt;&lt;Year&gt;2015&lt;/Year&gt;&lt;Details&gt;&lt;_accession_num&gt;25408215&lt;/_accession_num&gt;&lt;_author_adr&gt;Immunosenescence Unit, Department of Pathobiology and Medical and Forensic Biotechnologies (DIBIMEF), University of Palermo, Italy.; Immunosenescence Unit, Department of Pathobiology and Medical and Forensic Biotechnologies (DIBIMEF), University of Palermo, Italy.; Immunosenescence Unit, Department of Pathobiology and Medical and Forensic Biotechnologies (DIBIMEF), University of Palermo, Italy.; Laboratory of experimental Oncohematology and cell cultures for clinical use, ARNAS CIVICO, Palermo, Italy.; Department of Experimental Biomedicine and Clinical Neuroscience, University of Palermo, Italy.; Department of Experimental Biomedicine and Clinical Neuroscience, University of Palermo, Italy.; Department of Experimental Biomedicine and Clinical Neuroscience, University of Palermo, Italy.; Immunosenescence Unit, Department of Pathobiology and Medical and Forensic Biotechnologies (DIBIMEF), University of Palermo, Italy.; Immunosenescence Unit, Department of Pathobiology and Medical and Forensic Biotechnologies (DIBIMEF), University of Palermo, Italy.&lt;/_author_adr&gt;&lt;_collection_scope&gt;SCIE&lt;/_collection_scope&gt;&lt;_created&gt;63158188&lt;/_created&gt;&lt;_date&gt;2015-01-20&lt;/_date&gt;&lt;_date_display&gt;2015&lt;/_date_display&gt;&lt;_db_updated&gt;PubMed&lt;/_db_updated&gt;&lt;_doi&gt;10.3233/JAD-142412&lt;/_doi&gt;&lt;_impact_factor&gt;   3.909&lt;/_impact_factor&gt;&lt;_isbn&gt;1875-8908 (Electronic); 1387-2877 (Linking)&lt;/_isbn&gt;&lt;_issue&gt;4&lt;/_issue&gt;&lt;_journal&gt;J Alzheimers Dis&lt;/_journal&gt;&lt;_keywords&gt;Aged; Aged, 80 and over; Alzheimer Disease/*immunology/*pathology; B-Lymphocyte Subsets/immunology/*pathology; Cohort Studies; Female; Flow Cytometry; Humans; Immunoglobulin D; Immunoglobulin G; Male; Mental Status Schedule; Phenotype; Receptors, CCR6/*metabolism; Receptors, CCR7/*metabolism; Tumor Necrosis Factor Receptor Superfamily, Member 7/immunologyAging; Alzheimer&amp;apos;s disease; B cells; CCR6; CCR7; trafficking profile&lt;/_keywords&gt;&lt;_language&gt;eng&lt;/_language&gt;&lt;_modified&gt;63158188&lt;/_modified&gt;&lt;_pages&gt;1241-51&lt;/_pages&gt;&lt;_tertiary_title&gt;Journal of Alzheimer&amp;apos;s disease : JAD&lt;/_tertiary_title&gt;&lt;_type_work&gt;Journal Article; Research Support, Non-U.S. Gov&amp;apos;t&lt;/_type_work&gt;&lt;_url&gt;http://www.ncbi.nlm.nih.gov/entrez/query.fcgi?cmd=Retrieve&amp;amp;db=pubmed&amp;amp;dopt=Abstract&amp;amp;list_uids=25408215&amp;amp;query_hl=1&lt;/_url&gt;&lt;_volume&gt;44&lt;/_volume&gt;&lt;/Details&gt;&lt;Extra&gt;&lt;DBUID&gt;{F96A950B-833F-4880-A151-76DA2D6A2879}&lt;/DBUID&gt;&lt;/Extra&gt;&lt;/Item&gt;&lt;/References&gt;&lt;/Group&gt;&lt;Group&gt;&lt;References&gt;&lt;Item&gt;&lt;ID&gt;592&lt;/ID&gt;&lt;UID&gt;{CC917346-3E2A-442F-A2EE-16EDE7336975}&lt;/UID&gt;&lt;Title&gt;Common genetic variation in the HLA region is associated with late-onset sporadic Parkinson&amp;apos;s disease&lt;/Title&gt;&lt;Template&gt;Journal Article&lt;/Template&gt;&lt;Star&gt;0&lt;/Star&gt;&lt;Tag&gt;0&lt;/Tag&gt;&lt;Author&gt;Hamza, T H; Zabetian, C P; Tenesa, A; Laederach, A; Montimurro, J; Yearout, D; Kay, D M; Doheny, K F; Paschall, J; Pugh, E; Kusel, V I; Collura, R; Roberts, J; Griffith, A; Samii, A; Scott, W K; Nutt, J; Factor, S A; Payami, H&lt;/Author&gt;&lt;Year&gt;2010&lt;/Year&gt;&lt;Details&gt;&lt;_accession_num&gt;20711177&lt;/_accession_num&gt;&lt;_author_adr&gt;New York State Department of Health Wadsworth Center, Albany, New York, USA.&lt;/_author_adr&gt;&lt;_collection_scope&gt;SCI;SCIE&lt;/_collection_scope&gt;&lt;_created&gt;63170928&lt;/_created&gt;&lt;_date&gt;2010-09-01&lt;/_date&gt;&lt;_date_display&gt;2010 Sep&lt;/_date_display&gt;&lt;_db_updated&gt;PubMed&lt;/_db_updated&gt;&lt;_doi&gt;10.1038/ng.642&lt;/_doi&gt;&lt;_impact_factor&gt;  27.603&lt;/_impact_factor&gt;&lt;_isbn&gt;1546-1718 (Electronic); 1061-4036 (Linking)&lt;/_isbn&gt;&lt;_issue&gt;9&lt;/_issue&gt;&lt;_journal&gt;Nat Genet&lt;/_journal&gt;&lt;_keywords&gt;Adult; Age of Onset; Aged; Aged, 80 and over; Case-Control Studies; Female; Genetic Linkage; Genetic Predisposition to Disease; Genetic Variation/physiology; Genome-Wide Association Study; HLA Antigens/*genetics; Humans; Male; Meta-Analysis as Topic; Middle Aged; Odds Ratio; Parkinson Disease/epidemiology/*genetics; Young Adult&lt;/_keywords&gt;&lt;_language&gt;eng&lt;/_language&gt;&lt;_modified&gt;63170928&lt;/_modified&gt;&lt;_pages&gt;781-5&lt;/_pages&gt;&lt;_tertiary_title&gt;Nature genetics&lt;/_tertiary_title&gt;&lt;_type_work&gt;Journal Article; Research Support, N.I.H., Extramural; Research Support, N.I.H., Intramural; Research Support, Non-U.S. Gov&amp;apos;t; Research Support, U.S. Gov&amp;apos;t, Non-P.H.S.; Validation Study&lt;/_type_work&gt;&lt;_url&gt;http://www.ncbi.nlm.nih.gov/entrez/query.fcgi?cmd=Retrieve&amp;amp;db=pubmed&amp;amp;dopt=Abstract&amp;amp;list_uids=20711177&amp;amp;query_hl=1&lt;/_url&gt;&lt;_volume&gt;42&lt;/_volume&gt;&lt;/Details&gt;&lt;Extra&gt;&lt;DBUID&gt;{F96A950B-833F-4880-A151-76DA2D6A2879}&lt;/DBUID&gt;&lt;/Extra&gt;&lt;/Item&gt;&lt;/References&gt;&lt;/Group&gt;&lt;/Citation&gt;_x000a_"/>
    <w:docVar w:name="NE.Ref{7E4F6325-E4DD-4CCF-850D-51361E9C4D23}" w:val=" ADDIN NE.Ref.{7E4F6325-E4DD-4CCF-850D-51361E9C4D23}&lt;Citation&gt;&lt;Group&gt;&lt;References&gt;&lt;Item&gt;&lt;ID&gt;737&lt;/ID&gt;&lt;UID&gt;{FABE204F-E494-4777-9029-72996417CCD9}&lt;/UID&gt;&lt;Title&gt;Recirculating Intestinal IgA-Producing Cells Regulate Neuroinflammation via IL-10&lt;/Title&gt;&lt;Template&gt;Journal Article&lt;/Template&gt;&lt;Star&gt;0&lt;/Star&gt;&lt;Tag&gt;0&lt;/Tag&gt;&lt;Author&gt;Rojas, O L; Probstel, A K; Porfilio, E A; Wang, A A; Charabati, M; Sun, T; Lee, DSW; Galicia, G; Ramaglia, V; Ward, L A; Leung, LYT; Najafi, G; Khaleghi, K; Garcillan, B; Li, A; Besla, R; Naouar, I; Cao, E Y; Chiaranunt, P; Burrows, K; Robinson, H G; Allanach, J R; Yam, J; Luck, H; Campbell, D J; Allman, D; Brooks, D G; Tomura, M; Baumann, R; Zamvil, S S; Bar-Or, A; Horwitz, M S; Winer, D A; Mortha, A; Mackay, F; Prat, A; Osborne, L C; Robbins, C; Baranzini, S E; Gommerman, J L&lt;/Author&gt;&lt;Year&gt;2019&lt;/Year&gt;&lt;Details&gt;&lt;_accession_num&gt;30951673&lt;/_accession_num&gt;&lt;_collection_scope&gt;SCI;SCIE&lt;/_collection_scope&gt;&lt;_created&gt;63229965&lt;/_created&gt;&lt;_date&gt;2019-04-04&lt;/_date&gt;&lt;_date_display&gt;2019 Apr 4&lt;/_date_display&gt;&lt;_db_updated&gt;PubMed&lt;/_db_updated&gt;&lt;_doi&gt;10.1016/j.cell.2019.03.037&lt;/_doi&gt;&lt;_impact_factor&gt;  38.637&lt;/_impact_factor&gt;&lt;_isbn&gt;1097-4172 (Electronic); 0092-8674 (Linking)&lt;/_isbn&gt;&lt;_issue&gt;2&lt;/_issue&gt;&lt;_journal&gt;Cell&lt;/_journal&gt;&lt;_language&gt;eng&lt;/_language&gt;&lt;_modified&gt;63229965&lt;/_modified&gt;&lt;_pages&gt;492-493&lt;/_pages&gt;&lt;_tertiary_title&gt;Cell&lt;/_tertiary_title&gt;&lt;_type_work&gt;Published Erratum&lt;/_type_work&gt;&lt;_url&gt;http://www.ncbi.nlm.nih.gov/entrez/query.fcgi?cmd=Retrieve&amp;amp;db=pubmed&amp;amp;dopt=Abstract&amp;amp;list_uids=30951673&amp;amp;query_hl=1&lt;/_url&gt;&lt;_volume&gt;177&lt;/_volume&gt;&lt;/Details&gt;&lt;Extra&gt;&lt;DBUID&gt;{F96A950B-833F-4880-A151-76DA2D6A2879}&lt;/DBUID&gt;&lt;/Extra&gt;&lt;/Item&gt;&lt;/References&gt;&lt;/Group&gt;&lt;/Citation&gt;_x000a_"/>
    <w:docVar w:name="NE.Ref{805B95E9-407D-4FC9-8A16-CD6F28C58106}" w:val=" ADDIN NE.Ref.{805B95E9-407D-4FC9-8A16-CD6F28C58106}&lt;Citation&gt;&lt;Group&gt;&lt;References&gt;&lt;Item&gt;&lt;ID&gt;686&lt;/ID&gt;&lt;UID&gt;{91F5EAE5-F927-4FDC-A097-99199D0A719F}&lt;/UID&gt;&lt;Title&gt;A systematic review and meta-analysis examining pneumonia-associated mortality in dementia&lt;/Title&gt;&lt;Template&gt;Journal Article&lt;/Template&gt;&lt;Star&gt;0&lt;/Star&gt;&lt;Tag&gt;0&lt;/Tag&gt;&lt;Author&gt;Foley, N C; Affoo, R H; Martin, R E&lt;/Author&gt;&lt;Year&gt;2015&lt;/Year&gt;&lt;Details&gt;&lt;_accession_num&gt;25342272&lt;/_accession_num&gt;&lt;_author_adr&gt;School of Communication Sciences and Disorders, Elborn College, Western University, London, Ont., Canada.&lt;/_author_adr&gt;&lt;_created&gt;63229820&lt;/_created&gt;&lt;_date&gt;2015-01-20&lt;/_date&gt;&lt;_date_display&gt;2015&lt;/_date_display&gt;&lt;_db_updated&gt;PubMed&lt;/_db_updated&gt;&lt;_doi&gt;10.1159/000367783&lt;/_doi&gt;&lt;_impact_factor&gt;   2.310&lt;/_impact_factor&gt;&lt;_isbn&gt;1421-9824 (Electronic); 1420-8008 (Linking)&lt;/_isbn&gt;&lt;_issue&gt;1-2&lt;/_issue&gt;&lt;_journal&gt;Dement Geriatr Cogn Disord&lt;/_journal&gt;&lt;_keywords&gt;Alzheimer Disease/*complications; Cause of Death; Humans; Pneumonia/complications/*mortality; Risk Factors&lt;/_keywords&gt;&lt;_language&gt;eng&lt;/_language&gt;&lt;_modified&gt;63430397&lt;/_modified&gt;&lt;_ori_publication&gt;(c) 2014 S. Karger AG, Basel.&lt;/_ori_publication&gt;&lt;_pages&gt;52-67&lt;/_pages&gt;&lt;_tertiary_title&gt;Dementia and geriatric cognitive disorders&lt;/_tertiary_title&gt;&lt;_type_work&gt;Comparative Study; Journal Article; Meta-Analysis; Research Support, Non-U.S. Gov&amp;apos;t; Review; Systematic Review&lt;/_type_work&gt;&lt;_url&gt;http://www.ncbi.nlm.nih.gov/entrez/query.fcgi?cmd=Retrieve&amp;amp;db=pubmed&amp;amp;dopt=Abstract&amp;amp;list_uids=25342272&amp;amp;query_hl=1&lt;/_url&gt;&lt;_volume&gt;39&lt;/_volume&gt;&lt;/Details&gt;&lt;Extra&gt;&lt;DBUID&gt;{F96A950B-833F-4880-A151-76DA2D6A2879}&lt;/DBUID&gt;&lt;/Extra&gt;&lt;/Item&gt;&lt;/References&gt;&lt;/Group&gt;&lt;/Citation&gt;_x000a_"/>
    <w:docVar w:name="NE.Ref{81F1430E-E246-4670-91AF-C5323AE8832B}" w:val=" ADDIN NE.Ref.{81F1430E-E246-4670-91AF-C5323AE8832B}&lt;Citation&gt;&lt;Group&gt;&lt;References&gt;&lt;Item&gt;&lt;ID&gt;728&lt;/ID&gt;&lt;UID&gt;{43F52CDE-E980-431B-89EA-B23126A6DEB5}&lt;/UID&gt;&lt;Title&gt;IL-35 is a Protective Immunomodulator in Brain Ischemic Injury in Mice&lt;/Title&gt;&lt;Template&gt;Journal Article&lt;/Template&gt;&lt;Star&gt;0&lt;/Star&gt;&lt;Tag&gt;0&lt;/Tag&gt;&lt;Author&gt;Xu, C; Zhu, H; Shen, R; Feng, Q; Zhou, H; Zhao, Z&lt;/Author&gt;&lt;Year&gt;2018&lt;/Year&gt;&lt;Details&gt;&lt;_accession_num&gt;29916094&lt;/_accession_num&gt;&lt;_author_adr&gt;Department of Neurology, The Affiliated Suzhou Hospital, Nanjing Medical University, Suzhou, China.; Department of Neurology, The Affiliated Suzhou Hospital, Nanjing Medical University, Suzhou, China.; Department of Neurology, The Affiliated Suzhou Hospital, Nanjing Medical University, Suzhou, China.; Department of Neurology, The Affiliated Suzhou Hospital, Nanjing Medical University, Suzhou, China.; Department of Neurology, The Affiliated Suzhou Hospital, Nanjing Medical University, Suzhou, China. zhhua1978@sohu.com.; Department of Neurology, The Affiliated Suzhou Hospital, Nanjing Medical University, Suzhou, China. zhaozhong1963@sina.com.&lt;/_author_adr&gt;&lt;_collection_scope&gt;SCI;SCIE&lt;/_collection_scope&gt;&lt;_created&gt;63229941&lt;/_created&gt;&lt;_date&gt;2018-07-01&lt;/_date&gt;&lt;_date_display&gt;2018 Jul&lt;/_date_display&gt;&lt;_db_updated&gt;PubMed&lt;/_db_updated&gt;&lt;_doi&gt;10.1007/s11064-018-2560-5&lt;/_doi&gt;&lt;_impact_factor&gt;   2.782&lt;/_impact_factor&gt;&lt;_isbn&gt;1573-6903 (Electronic); 0364-3190 (Linking)&lt;/_isbn&gt;&lt;_issue&gt;7&lt;/_issue&gt;&lt;_journal&gt;Neurochem Res&lt;/_journal&gt;&lt;_keywords&gt;Animals; Brain Ischemia/metabolism/pathology/*prevention &amp;amp;amp; control; Immunologic Factors/*administration &amp;amp;amp; dosage/biosynthesis; Interleukins/*administration &amp;amp;amp; dosage/biosynthesis; Male; Mice; Mice, Inbred ICR; Neuroprotective Agents/*administration &amp;amp;amp; dosage; Reperfusion Injury/metabolism/pathology/*prevention &amp;amp;amp; controlCerebral ischemia; Cytokine; IL-35; Middle cerebral artery occlusion; Neuroprotection&lt;/_keywords&gt;&lt;_language&gt;eng&lt;/_language&gt;&lt;_modified&gt;63229942&lt;/_modified&gt;&lt;_pages&gt;1454-1463&lt;/_pages&gt;&lt;_tertiary_title&gt;Neurochemical research&lt;/_tertiary_title&gt;&lt;_type_work&gt;Journal Article&lt;/_type_work&gt;&lt;_url&gt;http://www.ncbi.nlm.nih.gov/entrez/query.fcgi?cmd=Retrieve&amp;amp;db=pubmed&amp;amp;dopt=Abstract&amp;amp;list_uids=29916094&amp;amp;query_hl=1&lt;/_url&gt;&lt;_volume&gt;43&lt;/_volume&gt;&lt;/Details&gt;&lt;Extra&gt;&lt;DBUID&gt;{F96A950B-833F-4880-A151-76DA2D6A2879}&lt;/DBUID&gt;&lt;/Extra&gt;&lt;/Item&gt;&lt;/References&gt;&lt;/Group&gt;&lt;/Citation&gt;_x000a_"/>
    <w:docVar w:name="NE.Ref{8299F4FC-F475-4CFD-A239-B09AA5637E11}" w:val=" ADDIN NE.Ref.{8299F4FC-F475-4CFD-A239-B09AA5637E11}&lt;Citation&gt;&lt;Group&gt;&lt;References&gt;&lt;Item&gt;&lt;ID&gt;469&lt;/ID&gt;&lt;UID&gt;{215B4C10-1C3A-4D46-9579-B2C46F9F03E3}&lt;/UID&gt;&lt;Title&gt;Deep cervical lymph node ligation aggravates AD-like pathology of APP/PS1 mice&lt;/Title&gt;&lt;Template&gt;Journal Article&lt;/Template&gt;&lt;Star&gt;0&lt;/Star&gt;&lt;Tag&gt;0&lt;/Tag&gt;&lt;Author&gt;Wang, L; Zhang, Y; Zhao, Y; Marshall, C; Wu, T; Xiao, M&lt;/Author&gt;&lt;Year&gt;2019&lt;/Year&gt;&lt;Details&gt;&lt;_accession_num&gt;30192999&lt;/_accession_num&gt;&lt;_author_adr&gt;Jiangsu Province, Key Laboratory of Neurodegeneration, Nanjing Medical University, Nanjing, Jiangsu, China.; Jiangsu Province, Key Laboratory of Neurodegeneration, Nanjing Medical University, Nanjing, Jiangsu, China.; Jiangsu Province, Key Laboratory of Neurodegeneration, Nanjing Medical University, Nanjing, Jiangsu, China.; Department of Rehabilitation Sciences, University of Kentucky Center of Excellence in Rural Health, Hazard, KY.; Department of Neurology, the First Affiliated Hospital of Nanjing Medical University, Nanjing, Jiangsu, 210029, China.; Jiangsu Province, Key Laboratory of Neurodegeneration, Nanjing Medical University, Nanjing, Jiangsu, China.&lt;/_author_adr&gt;&lt;_collection_scope&gt;SCI;SCIE&lt;/_collection_scope&gt;&lt;_created&gt;63169484&lt;/_created&gt;&lt;_date&gt;2019-03-01&lt;/_date&gt;&lt;_date_display&gt;2019 Mar&lt;/_date_display&gt;&lt;_db_updated&gt;PubMed&lt;/_db_updated&gt;&lt;_doi&gt;10.1111/bpa.12656&lt;/_doi&gt;&lt;_impact_factor&gt;   6.155&lt;/_impact_factor&gt;&lt;_isbn&gt;1750-3639 (Electronic); 1015-6305 (Linking)&lt;/_isbn&gt;&lt;_issue&gt;2&lt;/_issue&gt;&lt;_journal&gt;Brain Pathol&lt;/_journal&gt;&lt;_keywords&gt;Alzheimer Disease/immunology/pathology; Amyloid beta-Peptides/genetics/*metabolism; Amyloid beta-Protein Precursor/genetics/metabolism; Animals; Aquaporin 4/metabolism; Brain/metabolism/pathology; Disease Models, Animal; Disease Progression; Hippocampus/metabolism; Humans; Lymph Nodes/metabolism/*physiology/surgery; Lymphatic System/metabolism/*physiology; Male; Mice; Mice, Inbred C57BL; Mice, Transgenic; Plaque, Amyloid/pathology; Prefrontal Cortex/metabolism*Alzheimer&amp;apos;s disease; *amyloid beta; *dural lymphatic vessels; *glymphatic system; aquaporin 4&lt;/_keywords&gt;&lt;_language&gt;eng&lt;/_language&gt;&lt;_modified&gt;63169485&lt;/_modified&gt;&lt;_ori_publication&gt;(c) 2018 International Society of Neuropathology.&lt;/_ori_publication&gt;&lt;_pages&gt;176-192&lt;/_pages&gt;&lt;_tertiary_title&gt;Brain pathology (Zurich, Switzerland)&lt;/_tertiary_title&gt;&lt;_type_work&gt;Journal Article; Research Support, Non-U.S. Gov&amp;apos;t&lt;/_type_work&gt;&lt;_url&gt;http://www.ncbi.nlm.nih.gov/entrez/query.fcgi?cmd=Retrieve&amp;amp;db=pubmed&amp;amp;dopt=Abstract&amp;amp;list_uids=30192999&amp;amp;query_hl=1&lt;/_url&gt;&lt;_volume&gt;29&lt;/_volume&gt;&lt;/Details&gt;&lt;Extra&gt;&lt;DBUID&gt;{F96A950B-833F-4880-A151-76DA2D6A2879}&lt;/DBUID&gt;&lt;/Extra&gt;&lt;/Item&gt;&lt;/References&gt;&lt;/Group&gt;&lt;Group&gt;&lt;References&gt;&lt;Item&gt;&lt;ID&gt;470&lt;/ID&gt;&lt;UID&gt;{F72E9833-C8A7-44D7-A573-4518629441FD}&lt;/UID&gt;&lt;Title&gt;Functional aspects of meningeal lymphatics in ageing and Alzheimer&amp;apos;s disease&lt;/Title&gt;&lt;Template&gt;Journal Article&lt;/Template&gt;&lt;Star&gt;0&lt;/Star&gt;&lt;Tag&gt;0&lt;/Tag&gt;&lt;Author&gt;Da, Mesquita S; Louveau, A; Vaccari, A; Smirnov, I; Cornelison, R C; Kingsmore, K M; Contarino, C; Onengut-Gumuscu, S; Farber, E; Raper, D; Viar, K E; Powell, R D; Baker, W; Dabhi, N; Bai, R; Cao, R; Hu, S; Rich, S S; Munson, J M; Lopes, M B; Overall, C C; Acton, S T; Kipnis, J&lt;/Author&gt;&lt;Year&gt;2018&lt;/Year&gt;&lt;Details&gt;&lt;_accession_num&gt;30046111&lt;/_accession_num&gt;&lt;_author_adr&gt;Center for Brain Immunology and Glia (BIG), University of Virginia, Charlottesville, VA, USA. sd8tf@virginia.edu.; Department of Neuroscience, University of Virginia, Charlottesville, VA, USA. sd8tf@virginia.edu.; Center for Brain Immunology and Glia (BIG), University of Virginia, Charlottesville, VA, USA.; Department of Neuroscience, University of Virginia, Charlottesville, VA, USA.; Virginia Image and Video Analysis Laboratory, Department of Electrical and Computer Engineering, University of Virginia, Charlottesville, VA, USA.; Department of Biomedical Engineering, University of Virginia, Charlottesville, VA, USA.; Center for Brain Immunology and Glia (BIG), University of Virginia, Charlottesville, VA, USA.; Department of Neuroscience, University of Virginia, Charlottesville, VA, USA.; Department of Biomedical Engineering, University of Virginia, Charlottesville, VA, USA.; Department of Biomedical Engineering, University of Virginia, Charlottesville, VA, USA.; Center for Brain Immunology and Glia (BIG), University of Virginia, Charlottesville, VA, USA.; Department of Neuroscience, University of Virginia, Charlottesville, VA, USA.; Department of Mathematics, University of Trento, Povo, Italy.; Center for Public Health Genomics, University of Virginia, Charlottesville, VA, USA.; Center for Public Health Genomics, University of Virginia, Charlottesville, VA, USA.; Center for Brain Immunology and Glia (BIG), University of Virginia, Charlottesville, VA, USA.; Department of Neuroscience, University of Virginia, Charlottesville, VA, USA.; Department of Neurosurgery, University of Virginia Health System, Charlottesville, VA, USA.; Center for Brain Immunology and Glia (BIG), University of Virginia, Charlottesville, VA, USA.; Department of Neuroscience, University of Virginia, Charlottesville, VA, USA.; Center for Brain Immunology and Glia (BIG), University of Virginia, Charlottesville, VA, USA.; Department of Neuroscience, University of Virginia, Charlottesville, VA, USA.; Center for Brain Immunology and Glia (BIG), University of Virginia, Charlottesville, VA, USA.; Department of Neuroscience, University of Virginia, Charlottesville, VA, USA.; Center for Brain Immunology and Glia (BIG), University of Virginia, Charlottesville, VA, USA.; Department of Neuroscience, University of Virginia, Charlottesville, VA, USA.; Center for Brain Immunology and Glia (BIG), University of Virginia, Charlottesville, VA, USA.; Department of Neuroscience, University of Virginia, Charlottesville, VA, USA.; Department of Biomedical Engineering, University of Virginia, Charlottesville, VA, USA.; Department of Biomedical Engineering, University of Virginia, Charlottesville, VA, USA.; Center for Public Health Genomics, University of Virginia, Charlottesville, VA, USA.; Department of Biomedical Engineering, University of Virginia, Charlottesville, VA, USA.; Department of Biomedical Engineering and Mechanics, College of Engineering, Virginia Tech, Blacksburg, VA, USA.; Department of Pathology, University of Virginia, Charlottesville, VA, USA.; Center for Brain Immunology and Glia (BIG), University of Virginia, Charlottesville, VA, USA.; Department of Neuroscience, University of Virginia, Charlottesville, VA, USA.; Virginia Image and Video Analysis Laboratory, Department of Electrical and Computer Engineering, University of Virginia, Charlottesville, VA, USA.; Department of Biomedical Engineering, University of Virginia, Charlottesville, VA, USA.; Center for Brain Immunology and Glia (BIG), University of Virginia, Charlottesville, VA, USA. kipnis@virginia.edu.; Department of Neuroscience, University of Virginia, Charlottesville, VA, USA. kipnis@virginia.edu.&lt;/_author_adr&gt;&lt;_collection_scope&gt;SCI;SCIE&lt;/_collection_scope&gt;&lt;_created&gt;63169486&lt;/_created&gt;&lt;_date&gt;2018-08-01&lt;/_date&gt;&lt;_date_display&gt;2018 Aug&lt;/_date_display&gt;&lt;_db_updated&gt;PubMed&lt;/_db_updated&gt;&lt;_doi&gt;10.1038/s41586-018-0368-8&lt;/_doi&gt;&lt;_impact_factor&gt;  43.070&lt;/_impact_factor&gt;&lt;_isbn&gt;1476-4687 (Electronic); 0028-0836 (Linking)&lt;/_isbn&gt;&lt;_issue&gt;7717&lt;/_issue&gt;&lt;_journal&gt;Nature&lt;/_journal&gt;&lt;_keywords&gt;Aging/*cerebrospinal fluid/pathology; Alzheimer Disease/*cerebrospinal fluid/pathology/*physiopathology; Amyloid/metabolism; Amyloid beta-Peptides/metabolism; Animals; Brain/metabolism; Cognition; Cognition Disorders/physiopathology/therapy; Disease Models, Animal; Extracellular Fluid/metabolism; Female; Homeostasis; Humans; Lymph Nodes/metabolism; Lymphatic Vessels/pathology/*physiopathology; Male; Meninges/pathology/*physiopathology; Mice; Mice, Transgenic; Perfusion&lt;/_keywords&gt;&lt;_language&gt;eng&lt;/_language&gt;&lt;_modified&gt;63169486&lt;/_modified&gt;&lt;_pages&gt;185-191&lt;/_pages&gt;&lt;_tertiary_title&gt;Nature&lt;/_tertiary_title&gt;&lt;_type_work&gt;Journal Article; Research Support, N.I.H., Extramural&lt;/_type_work&gt;&lt;_url&gt;http://www.ncbi.nlm.nih.gov/entrez/query.fcgi?cmd=Retrieve&amp;amp;db=pubmed&amp;amp;dopt=Abstract&amp;amp;list_uids=30046111&amp;amp;query_hl=1&lt;/_url&gt;&lt;_volume&gt;560&lt;/_volume&gt;&lt;/Details&gt;&lt;Extra&gt;&lt;DBUID&gt;{F96A950B-833F-4880-A151-76DA2D6A2879}&lt;/DBUID&gt;&lt;/Extra&gt;&lt;/Item&gt;&lt;/References&gt;&lt;/Group&gt;&lt;/Citation&gt;_x000a_"/>
    <w:docVar w:name="NE.Ref{844F5005-22B3-4D56-B207-210DE3F8D4E3}" w:val=" ADDIN NE.Ref.{844F5005-22B3-4D56-B207-210DE3F8D4E3}&lt;Citation&gt;&lt;Group&gt;&lt;References&gt;&lt;Item&gt;&lt;ID&gt;439&lt;/ID&gt;&lt;UID&gt;{A42044DB-F90A-4622-B211-CD57CB9463B8}&lt;/UID&gt;&lt;Title&gt;Innate immune activation in neurodegenerative disease&lt;/Title&gt;&lt;Template&gt;Journal Article&lt;/Template&gt;&lt;Star&gt;0&lt;/Star&gt;&lt;Tag&gt;0&lt;/Tag&gt;&lt;Author&gt;Heneka, M T; Kummer, M P; Latz, E&lt;/Author&gt;&lt;Year&gt;2014&lt;/Year&gt;&lt;Details&gt;&lt;_accession_num&gt;24962261&lt;/_accession_num&gt;&lt;_author_adr&gt;1] Clinical Neuroscience, Department of Neurology, University of Bonn, Sigmund-Freud-Strasse 25, 53127 Bonn, Germany. [2] Department of Internal Medicine, University of Massachusetts, Worcester, Massachusetts 01605, USA. [3] German Center for Neurodegenerative Diseases (DZNE), Ludwig-Erhard-Allee 2, 53175 Bonn, Germany.; Clinical Neuroscience, Department of Neurology, University of Bonn, Sigmund-Freud-Strasse 25, 53127 Bonn, Germany.; 1] Department of Internal Medicine, University of Massachusetts, Worcester, Massachusetts 01605, USA. [2] German Center for Neurodegenerative Diseases (DZNE), Ludwig-Erhard-Allee 2, 53175 Bonn, Germany. [3] Institute of Innate Immunity, University of Bonn, Sigmund-Freud-Strasse 25, 53127 Bonn, Germany.&lt;/_author_adr&gt;&lt;_collection_scope&gt;SCI;SCIE&lt;/_collection_scope&gt;&lt;_created&gt;63169429&lt;/_created&gt;&lt;_date&gt;2014-07-01&lt;/_date&gt;&lt;_date_display&gt;2014 Jul&lt;/_date_display&gt;&lt;_db_updated&gt;PubMed&lt;/_db_updated&gt;&lt;_doi&gt;10.1038/nri3705&lt;/_doi&gt;&lt;_impact_factor&gt;  44.019&lt;/_impact_factor&gt;&lt;_isbn&gt;1474-1741 (Electronic); 1474-1733 (Linking)&lt;/_isbn&gt;&lt;_issue&gt;7&lt;/_issue&gt;&lt;_journal&gt;Nat Rev Immunol&lt;/_journal&gt;&lt;_keywords&gt;Amyloid beta-Peptides/immunology; Brain/*immunology/pathology; Carrier Proteins/*immunology; Cytokines/biosynthesis; Humans; Immunity, Innate/*immunology; Inflammasomes/immunology; Inflammation/immunology; Microglia/immunology/pathology; NLR Family, Pyrin Domain-Containing 3 Protein; Neurodegenerative Diseases/*immunology; Oxidative Stress/immunology; Protein Folding; Reactive Nitrogen Species/immunology; Reactive Oxygen Species/immunology; Receptors, Pattern Recognition/*immunology; Signal Transduction/immunology&lt;/_keywords&gt;&lt;_language&gt;eng&lt;/_language&gt;&lt;_modified&gt;63169429&lt;/_modified&gt;&lt;_pages&gt;463-77&lt;/_pages&gt;&lt;_tertiary_title&gt;Nature reviews. Immunology&lt;/_tertiary_title&gt;&lt;_type_work&gt;Journal Article; Research Support, Non-U.S. Gov&amp;apos;t; Review&lt;/_type_work&gt;&lt;_url&gt;http://www.ncbi.nlm.nih.gov/entrez/query.fcgi?cmd=Retrieve&amp;amp;db=pubmed&amp;amp;dopt=Abstract&amp;amp;list_uids=24962261&amp;amp;query_hl=1&lt;/_url&gt;&lt;_volume&gt;14&lt;/_volume&gt;&lt;/Details&gt;&lt;Extra&gt;&lt;DBUID&gt;{F96A950B-833F-4880-A151-76DA2D6A2879}&lt;/DBUID&gt;&lt;/Extra&gt;&lt;/Item&gt;&lt;/References&gt;&lt;/Group&gt;&lt;/Citation&gt;_x000a_"/>
    <w:docVar w:name="NE.Ref{851CF208-CCE5-4964-8D29-4F500D9B444A}" w:val=" ADDIN NE.Ref.{851CF208-CCE5-4964-8D29-4F500D9B444A}&lt;Citation&gt;&lt;Group&gt;&lt;References&gt;&lt;Item&gt;&lt;ID&gt;780&lt;/ID&gt;&lt;UID&gt;{1ED67A92-7813-4D2B-87A8-2DA6E2D7B92E}&lt;/UID&gt;&lt;Title&gt;Lymphatics in Neurological Disorders: A Neuro-Lympho-Vascular Component of Multiple Sclerosis and Alzheimer&amp;apos;s Disease?&lt;/Title&gt;&lt;Template&gt;Journal Article&lt;/Template&gt;&lt;Star&gt;0&lt;/Star&gt;&lt;Tag&gt;0&lt;/Tag&gt;&lt;Author&gt;Louveau, A; Da, Mesquita S; Kipnis, J&lt;/Author&gt;&lt;Year&gt;2016&lt;/Year&gt;&lt;Details&gt;&lt;_accession_num&gt;27608759&lt;/_accession_num&gt;&lt;_author_adr&gt;Center for Brain Immunology and Glia, Department of Neuroscience, School of Medicine, University of Virginia, Charlottesville, VA 22908, USA.; Center for Brain Immunology and Glia, Department of Neuroscience, School of Medicine, University of Virginia, Charlottesville, VA 22908, USA.; Center for Brain Immunology and Glia, Department of Neuroscience, School of Medicine, University of Virginia, Charlottesville, VA 22908, USA. Electronic address: kipnis@virginia.edu.&lt;/_author_adr&gt;&lt;_date_display&gt;2016 Sep 7&lt;/_date_display&gt;&lt;_date&gt;2016-09-07&lt;/_date&gt;&lt;_doi&gt;10.1016/j.neuron.2016.08.027&lt;/_doi&gt;&lt;_isbn&gt;1097-4199 (Electronic); 0896-6273 (Linking)&lt;/_isbn&gt;&lt;_issue&gt;5&lt;/_issue&gt;&lt;_journal&gt;Neuron&lt;/_journal&gt;&lt;_language&gt;eng&lt;/_language&gt;&lt;_ori_publication&gt;Copyright (c) 2016 Elsevier Inc. All rights reserved.&lt;/_ori_publication&gt;&lt;_pages&gt;957-973&lt;/_pages&gt;&lt;_subject_headings&gt;Alzheimer Disease/immunology/*physiopathology; Animals; Central Nervous System/*blood supply/immunology/*physiopathology; Humans; Lymphatic System/immunology/*physiopathology; Models, Immunological; Models, Neurological; Multiple Sclerosis/immunology/*physiopathology; Neurons/*pathology&lt;/_subject_headings&gt;&lt;_tertiary_title&gt;Neuron&lt;/_tertiary_title&gt;&lt;_type_work&gt;Journal Article; Review&lt;/_type_work&gt;&lt;_url&gt;http://www.ncbi.nlm.nih.gov/entrez/query.fcgi?cmd=Retrieve&amp;amp;db=pubmed&amp;amp;dopt=Abstract&amp;amp;list_uids=27608759&amp;amp;query_hl=1&lt;/_url&gt;&lt;_volume&gt;91&lt;/_volume&gt;&lt;_created&gt;63487336&lt;/_created&gt;&lt;_modified&gt;63487339&lt;/_modified&gt;&lt;_db_updated&gt;PubMed&lt;/_db_updated&gt;&lt;_impact_factor&gt;  14.415&lt;/_impact_factor&gt;&lt;_collection_scope&gt;SCI;SCIE&lt;/_collection_scope&gt;&lt;/Details&gt;&lt;Extra&gt;&lt;DBUID&gt;{F96A950B-833F-4880-A151-76DA2D6A2879}&lt;/DBUID&gt;&lt;/Extra&gt;&lt;/Item&gt;&lt;/References&gt;&lt;/Group&gt;&lt;/Citation&gt;_x000a_"/>
    <w:docVar w:name="NE.Ref{88E1F459-A3AF-4F3C-BEA7-ED2E1D913D84}" w:val=" ADDIN NE.Ref.{88E1F459-A3AF-4F3C-BEA7-ED2E1D913D84}&lt;Citation&gt;&lt;Group&gt;&lt;References&gt;&lt;Item&gt;&lt;ID&gt;726&lt;/ID&gt;&lt;UID&gt;{754AFF27-FF1E-4481-BEB2-3B1BB0611D9C}&lt;/UID&gt;&lt;Title&gt;IL-35-producing B cells are critical regulators of immunity during autoimmune and infectious diseases&lt;/Title&gt;&lt;Template&gt;Journal Article&lt;/Template&gt;&lt;Star&gt;0&lt;/Star&gt;&lt;Tag&gt;0&lt;/Tag&gt;&lt;Author&gt;Shen, P; Roch, T; Lampropoulou, V; O&amp;apos;Connor, R A; Stervbo, U; Hilgenberg, E; Ries, S; Dang, V D; Jaimes, Y; Daridon, C; Li, R; Jouneau, L; Boudinot, P; Wilantri, S; Sakwa, I; Miyazaki, Y; Leech, M D; McPherson, R C; Wirtz, S; Neurath, M; Hoehlig, K; Meinl, E; Grutzkau, A; Grun, J R; Horn, K; Kuhl, A A; Dorner, T; Bar-Or, A; Kaufmann, SHE; Anderton, S M; Fillatreau, S&lt;/Author&gt;&lt;Year&gt;2014&lt;/Year&gt;&lt;Details&gt;&lt;_accession_num&gt;24572363&lt;/_accession_num&gt;&lt;_author_adr&gt;Deutsches Rheuma-Forschungszentrum, a Leibniz Institute, Chariteplatz 1, 10117 Berlin, Germany.; Deutsches Rheuma-Forschungszentrum, a Leibniz Institute, Chariteplatz 1, 10117 Berlin, Germany.; Deutsches Rheuma-Forschungszentrum, a Leibniz Institute, Chariteplatz 1, 10117 Berlin, Germany.; University of Edinburgh, Centre for Inflammation Research and Centre for Multiple Sclerosis Research, Queen&amp;apos;s Medical Research Institute, Edinburgh, EH16 4TJ, United Kingdom.; Deutsches Rheuma-Forschungszentrum, a Leibniz Institute, Chariteplatz 1, 10117 Berlin, Germany.; Deutsches Rheuma-Forschungszentrum, a Leibniz Institute, Chariteplatz 1, 10117 Berlin, Germany.; Deutsches Rheuma-Forschungszentrum, a Leibniz Institute, Chariteplatz 1, 10117 Berlin, Germany.; Deutsches Rheuma-Forschungszentrum, a Leibniz Institute, Chariteplatz 1, 10117 Berlin, Germany.; Deutsches Rheuma-Forschungszentrum, a Leibniz Institute, Chariteplatz 1, 10117 Berlin, Germany.; Deutsches Rheuma-Forschungszentrum, a Leibniz Institute, Chariteplatz 1, 10117 Berlin, Germany.; Charite Universitatsmedizin Berlin, CC12, Dept. Medicine/Rheumatology and Clinical Immunology, 10117 Berlin, Germany.; Neuroimmunology Unit, Montreal Neurological Institute and Hospital, McGill University, Montreal, Quebec, H3A2B4, Canada.; Virologie et Immunologie Moleculaires, INRA, 78352 Jouy-en-Josas, France.; Virologie et Immunologie Moleculaires, INRA, 78352 Jouy-en-Josas, France.; Deutsches Rheuma-Forschungszentrum, a Leibniz Institute, Chariteplatz 1, 10117 Berlin, Germany.; Deutsches Rheuma-Forschungszentrum, a Leibniz Institute, Chariteplatz 1, 10117 Berlin, Germany.; Neuroimmunology Unit, Montreal Neurological Institute and Hospital, McGill University, Montreal, Quebec, H3A2B4, Canada.; University of Edinburgh, Centre for Inflammation Research and Centre for Multiple Sclerosis Research, Queen&amp;apos;s Medical Research Institute, Edinburgh, EH16 4TJ, United Kingdom.; University of Edinburgh, Centre for Inflammation Research and Centre for Multiple Sclerosis Research, Queen&amp;apos;s Medical Research Institute, Edinburgh, EH16 4TJ, United Kingdom.; Medical Clinic 1, Kussmaul Campus for Medical Research, University of Erlangen-Nurnberg, Germany.; Medical Clinic 1, Kussmaul Campus for Medical Research, University of Erlangen-Nurnberg, Germany.; Deutsches Rheuma-Forschungszentrum, a Leibniz Institute, Chariteplatz 1, 10117 Berlin, Germany.; Institut fur Klinische Neuroimmunologie Klinikum der Ludwig-Maximilians-Universitat Munchen, 81377 Munchen, Germany.; Deutsches Rheuma-Forschungszentrum, a Leibniz Institute, Chariteplatz 1, 10117 Berlin, Germany.; Deutsches Rheuma-Forschungszentrum, a Leibniz Institute, Chariteplatz 1, 10117 Berlin, Germany.; Deutsches Rheuma-Forschungszentrum, a Leibniz Institute, Chariteplatz 1, 10117 Berlin, Germany.; Immunpathologie, Research Center ImmunoSciences, 12203 Berlin, Germany.; Deutsches Rheuma-Forschungszentrum, a Leibniz Institute, Chariteplatz 1, 10117 Berlin, Germany.; Charite Universitatsmedizin Berlin, CC12, Dept. Medicine/Rheumatology and Clinical Immunology, 10117 Berlin, Germany.; Neuroimmunology Unit, Montreal Neurological Institute and Hospital, McGill University, Montreal, Quebec, H3A2B4, Canada.; Max Planck Institute of Infection Biology, Department of Immunology, Chariteplatz 1, 10117 Berlin, Germany.; University of Edinburgh, Centre for Inflammation Research and Centre for Multiple Sclerosis Research, Queen&amp;apos;s Medical Research Institute, Edinburgh, EH16 4TJ, United Kingdom.; Deutsches Rheuma-Forschungszentrum, a Leibniz Institute, Chariteplatz 1, 10117 Berlin, Germany.&lt;/_author_adr&gt;&lt;_collection_scope&gt;SCI;SCIE&lt;/_collection_scope&gt;&lt;_created&gt;63229939&lt;/_created&gt;&lt;_date&gt;2014-03-20&lt;/_date&gt;&lt;_date_display&gt;2014 Mar 20&lt;/_date_display&gt;&lt;_db_updated&gt;PubMed&lt;/_db_updated&gt;&lt;_doi&gt;10.1038/nature12979&lt;/_doi&gt;&lt;_impact_factor&gt;  43.070&lt;/_impact_factor&gt;&lt;_isbn&gt;1476-4687 (Electronic); 0028-0836 (Linking)&lt;/_isbn&gt;&lt;_issue&gt;7492&lt;/_issue&gt;&lt;_journal&gt;Nature&lt;/_journal&gt;&lt;_keywords&gt;Animals; Antigen-Presenting Cells/immunology/metabolism; B-Lymphocytes/*immunology/*metabolism; CD40 Antigens/immunology; Encephalomyelitis, Autoimmune, Experimental/*immunology; Female; Humans; Immunity/*immunology; Interleukin-10/metabolism; Interleukins/immunology/*metabolism; Lymphocyte Activation; Macrophages/cytology/immunology; Male; Mice; Plasma Cells/immunology/metabolism; Salmonella Infections/*immunology/microbiology; T-Lymphocytes/immunology; Toll-Like Receptor 4/immunology&lt;/_keywords&gt;&lt;_language&gt;eng&lt;/_language&gt;&lt;_modified&gt;63229939&lt;/_modified&gt;&lt;_pages&gt;366-370&lt;/_pages&gt;&lt;_tertiary_title&gt;Nature&lt;/_tertiary_title&gt;&lt;_type_work&gt;Journal Article; Research Support, Non-U.S. Gov&amp;apos;t&lt;/_type_work&gt;&lt;_url&gt;http://www.ncbi.nlm.nih.gov/entrez/query.fcgi?cmd=Retrieve&amp;amp;db=pubmed&amp;amp;dopt=Abstract&amp;amp;list_uids=24572363&amp;amp;query_hl=1&lt;/_url&gt;&lt;_volume&gt;507&lt;/_volume&gt;&lt;/Details&gt;&lt;Extra&gt;&lt;DBUID&gt;{F96A950B-833F-4880-A151-76DA2D6A2879}&lt;/DBUID&gt;&lt;/Extra&gt;&lt;/Item&gt;&lt;/References&gt;&lt;/Group&gt;&lt;/Citation&gt;_x000a_"/>
    <w:docVar w:name="NE.Ref{8A3204C8-7876-460E-8BEC-948956769F3A}" w:val=" ADDIN NE.Ref.{8A3204C8-7876-460E-8BEC-948956769F3A}&lt;Citation&gt;&lt;Group&gt;&lt;References&gt;&lt;Item&gt;&lt;ID&gt;793&lt;/ID&gt;&lt;UID&gt;{621F14D6-D77F-4BFD-AE68-0673B2D0DF10}&lt;/UID&gt;&lt;Title&gt;Interleukin-35 in immune-related diseases: protection or destruction&lt;/Title&gt;&lt;Template&gt;Journal Article&lt;/Template&gt;&lt;Star&gt;0&lt;/Star&gt;&lt;Tag&gt;0&lt;/Tag&gt;&lt;Author&gt;Zhang, J; Zhang, Y; Wang, Q; Li, C; Deng, H; Si, C; Xiong, H&lt;/Author&gt;&lt;Year&gt;2019&lt;/Year&gt;&lt;Details&gt;&lt;_accession_num&gt;30681737&lt;/_accession_num&gt;&lt;_author_adr&gt;Institute of Immunology and Molecular Medicine, Jining Medical University, Jining, Shandong, China.; Institute of Immunology and Molecular Medicine, Jining Medical University, Jining, Shandong, China.; Institute of Biopharmaceutical Research, Liaocheng University, Liaocheng, China.; School of Pharmacy, Linyi University, Linyi, Shandong, China.; Cancer Center, West China Hospital, Sichuan University, Chengdu, Sichuan, China.; Institute of Immunology and Molecular Medicine, Jining Medical University, Jining, Shandong, China.; Department of Medicine, Immunology Institute, Icahn School of Medicine at Mount Sinai, New York, NY, USA.&lt;/_author_adr&gt;&lt;_date_display&gt;2019 May&lt;/_date_display&gt;&lt;_date&gt;2019-05-01&lt;/_date&gt;&lt;_doi&gt;10.1111/imm.13044&lt;/_doi&gt;&lt;_isbn&gt;1365-2567 (Electronic); 0019-2805 (Linking)&lt;/_isbn&gt;&lt;_issue&gt;1&lt;/_issue&gt;&lt;_journal&gt;Immunology&lt;/_journal&gt;&lt;_keywords&gt;*immune-related diseases; *immunosuppression; *interleukin-35; *regulatory T cells&lt;/_keywords&gt;&lt;_language&gt;eng&lt;/_language&gt;&lt;_ori_publication&gt;(c) 2019 John Wiley &amp;amp; Sons Ltd.&lt;/_ori_publication&gt;&lt;_pages&gt;13-20&lt;/_pages&gt;&lt;_subject_headings&gt;Animals; Autoimmunity; Humans; Immune System Diseases/*metabolism; Immunotherapy/*methods; Interleukin-12 Subunit p35/genetics/*metabolism; Interleukins/genetics/*metabolism; Lymphocyte Activation; Minor Histocompatibility Antigens/genetics/*metabolism; Signal Transduction; T-Lymphocytes, Regulatory/*immunology; Th17 Cells/*immunology&lt;/_subject_headings&gt;&lt;_tertiary_title&gt;Immunology&lt;/_tertiary_title&gt;&lt;_type_work&gt;Journal Article; Research Support, Non-U.S. Gov&amp;apos;t; Review&lt;/_type_work&gt;&lt;_url&gt;http://www.ncbi.nlm.nih.gov/entrez/query.fcgi?cmd=Retrieve&amp;amp;db=pubmed&amp;amp;dopt=Abstract&amp;amp;list_uids=30681737&amp;amp;query_hl=1&lt;/_url&gt;&lt;_volume&gt;157&lt;/_volume&gt;&lt;_created&gt;63845270&lt;/_created&gt;&lt;_modified&gt;63845271&lt;/_modified&gt;&lt;_db_updated&gt;PubMed&lt;/_db_updated&gt;&lt;_impact_factor&gt;   5.016&lt;/_impact_factor&gt;&lt;_collection_scope&gt;SCI;SCIE&lt;/_collection_scope&gt;&lt;/Details&gt;&lt;Extra&gt;&lt;DBUID&gt;{F96A950B-833F-4880-A151-76DA2D6A2879}&lt;/DBUID&gt;&lt;/Extra&gt;&lt;/Item&gt;&lt;/References&gt;&lt;/Group&gt;&lt;/Citation&gt;_x000a_"/>
    <w:docVar w:name="NE.Ref{8AE13B12-852C-4C9E-82D2-C83556C38BEA}" w:val=" ADDIN NE.Ref.{8AE13B12-852C-4C9E-82D2-C83556C38BEA}&lt;Citation&gt;&lt;Group&gt;&lt;References&gt;&lt;Item&gt;&lt;ID&gt;694&lt;/ID&gt;&lt;UID&gt;{B7E30644-A4F4-47AF-99E5-D2B8F803F7C8}&lt;/UID&gt;&lt;Title&gt;T cells become licensed in the lung to enter the central nervous system&lt;/Title&gt;&lt;Template&gt;Journal Article&lt;/Template&gt;&lt;Star&gt;0&lt;/Star&gt;&lt;Tag&gt;0&lt;/Tag&gt;&lt;Author&gt;Odoardi, F; Sie, C; Streyl, K; Ulaganathan, V K; Schlager, C; Lodygin, D; Heckelsmiller, K; Nietfeld, W; Ellwart, J; Klinkert, W E; Lottaz, C; Nosov, M; Brinkmann, V; Spang, R; Lehrach, H; Vingron, M; Wekerle, H; Flugel-Koch, C; Flugel, A&lt;/Author&gt;&lt;Year&gt;2012&lt;/Year&gt;&lt;Details&gt;&lt;_accession_num&gt;22914092&lt;/_accession_num&gt;&lt;_author_adr&gt;Institute for Multiple Sclerosis Research, Department of Neuroimmunology, Gemeinnutzige Hertie-Stiftung and University Medical Centre Gottingen, 37073 Gottingen, Germany.&lt;/_author_adr&gt;&lt;_collection_scope&gt;SCI;SCIE&lt;/_collection_scope&gt;&lt;_created&gt;63229834&lt;/_created&gt;&lt;_date&gt;2012-08-30&lt;/_date&gt;&lt;_date_display&gt;2012 Aug 30&lt;/_date_display&gt;&lt;_db_updated&gt;PubMed&lt;/_db_updated&gt;&lt;_doi&gt;10.1038/nature11337&lt;/_doi&gt;&lt;_impact_factor&gt;  43.070&lt;/_impact_factor&gt;&lt;_isbn&gt;1476-4687 (Electronic); 0028-0836 (Linking)&lt;/_isbn&gt;&lt;_issue&gt;7413&lt;/_issue&gt;&lt;_journal&gt;Nature&lt;/_journal&gt;&lt;_keywords&gt;Adoptive Transfer; Animals; Autoimmunity/immunology; Blood-Brain Barrier/immunology; Brain/cytology/immunology/*pathology; Cell Adhesion Molecules, Neuronal/metabolism; *Cell Movement; Cerebrovascular Circulation; Disease Models, Animal; Encephalomyelitis, Autoimmune, Experimental/*immunology/*pathology; Gene Expression Profiling; Immunologic Memory; Lung/cytology/immunology/*pathology; Lymphocyte Activation; Myelin Sheath/immunology; Nerve Growth Factors/metabolism; Rats; Rats, Inbred Lew; T-Lymphocytes/cytology/immunology/metabolism/*pathology&lt;/_keywords&gt;&lt;_language&gt;eng&lt;/_language&gt;&lt;_modified&gt;63229834&lt;/_modified&gt;&lt;_pages&gt;675-9&lt;/_pages&gt;&lt;_tertiary_title&gt;Nature&lt;/_tertiary_title&gt;&lt;_type_work&gt;Journal Article; Research Support, Non-U.S. Gov&amp;apos;t&lt;/_type_work&gt;&lt;_url&gt;http://www.ncbi.nlm.nih.gov/entrez/query.fcgi?cmd=Retrieve&amp;amp;db=pubmed&amp;amp;dopt=Abstract&amp;amp;list_uids=22914092&amp;amp;query_hl=1&lt;/_url&gt;&lt;_volume&gt;488&lt;/_volume&gt;&lt;/Details&gt;&lt;Extra&gt;&lt;DBUID&gt;{F96A950B-833F-4880-A151-76DA2D6A2879}&lt;/DBUID&gt;&lt;/Extra&gt;&lt;/Item&gt;&lt;/References&gt;&lt;/Group&gt;&lt;Group&gt;&lt;References&gt;&lt;Item&gt;&lt;ID&gt;690&lt;/ID&gt;&lt;UID&gt;{491934A1-234F-4E9D-B0A5-6D4F301E9E0C}&lt;/UID&gt;&lt;Title&gt;The HMGB1-RAGE axis mediates traumatic brain injury-induced pulmonary dysfunction in lung transplantation&lt;/Title&gt;&lt;Template&gt;Journal Article&lt;/Template&gt;&lt;Star&gt;0&lt;/Star&gt;&lt;Tag&gt;0&lt;/Tag&gt;&lt;Author&gt;Weber, D J; Gracon, A S; Ripsch, M S; Fisher, A J; Cheon, B M; Pandya, P H; Vittal, R; Capitano, M L; Kim, Y; Allette, Y M; Riley, A A; McCarthy, B P; Territo, P R; Hutchins, G D; Broxmeyer, H E; Sandusky, G E; White, F A; Wilkes, D S&lt;/Author&gt;&lt;Year&gt;2014&lt;/Year&gt;&lt;Details&gt;&lt;_accession_num&gt;25186179&lt;/_accession_num&gt;&lt;_author_adr&gt;Center for Immunobiology, Indiana University School of Medicine, Indianapolis, IN 46202, USA. Department of Surgery, Indiana University School of Medicine, Indianapolis, IN 46202, USA.; Center for Immunobiology, Indiana University School of Medicine, Indianapolis, IN 46202, USA. Department of Surgery, Indiana University School of Medicine, Indianapolis, IN 46202, USA.; Department of Anesthesia, Paul and Carole Stark Neurosciences Research Institute, Indianapolis, IN 46202, USA.; Center for Immunobiology, Indiana University School of Medicine, Indianapolis, IN 46202, USA. Department of Anesthesia, Paul and Carole Stark Neurosciences Research Institute, Indianapolis, IN 46202, USA.; Department of Anesthesia, Paul and Carole Stark Neurosciences Research Institute, Indianapolis, IN 46202, USA.; Center for Immunobiology, Indiana University School of Medicine, Indianapolis, IN 46202, USA. Department of Microbiology and Immunology, Indiana University School  of Medicine, Indianapolis, IN 46202, USA.; Center for Immunobiology, Indiana University School of Medicine, Indianapolis, IN 46202, USA. Department of Microbiology and Immunology, Indiana University School  of Medicine, Indianapolis, IN 46202, USA.; Department of Microbiology and Immunology, Indiana University School of Medicine, Indianapolis, IN 46202, USA.; Department of Anesthesia, Paul and Carole Stark Neurosciences Research Institute, Indianapolis, IN 46202, USA.; Department of Anesthesia, Paul and Carole Stark Neurosciences Research Institute, Indianapolis, IN 46202, USA.; Department of Radiology and Imaging Sciences, Indiana University School of Medicine, Indianapolis, IN 46202, USA.; Department of Radiology and Imaging Sciences, Indiana University School of Medicine, Indianapolis, IN 46202, USA.; Department of Radiology and Imaging Sciences, Indiana University School of Medicine, Indianapolis, IN 46202, USA.; Department of Radiology and Imaging Sciences, Indiana University School of Medicine, Indianapolis, IN 46202, USA.; Department of Microbiology and Immunology, Indiana University School of Medicine, Indianapolis, IN 46202, USA.; Department of Pathology, Indiana University School of Medicine, Indianapolis, IN  46202, USA.; Center for Immunobiology, Indiana University School of Medicine, Indianapolis, IN 46202, USA. Department of Anesthesia, Paul and Carole Stark Neurosciences Research Institute, Indianapolis, IN 46202, USA.; Center for Immunobiology, Indiana University School of Medicine, Indianapolis, IN 46202, USA. Department of Microbiology and Immunology, Indiana University School  of Medicine, Indianapolis, IN 46202, USA. dwilkes@iupui.edu.&lt;/_author_adr&gt;&lt;_collection_scope&gt;SCIE&lt;/_collection_scope&gt;&lt;_created&gt;63229829&lt;/_created&gt;&lt;_date&gt;2014-09-03&lt;/_date&gt;&lt;_date_display&gt;2014 Sep 3&lt;/_date_display&gt;&lt;_db_updated&gt;PubMed&lt;/_db_updated&gt;&lt;_doi&gt;10.1126/scitranslmed.3009443&lt;/_doi&gt;&lt;_impact_factor&gt;  17.161&lt;/_impact_factor&gt;&lt;_isbn&gt;1946-6242 (Electronic); 1946-6234 (Linking)&lt;/_isbn&gt;&lt;_issue&gt;252&lt;/_issue&gt;&lt;_journal&gt;Sci Transl Med&lt;/_journal&gt;&lt;_keywords&gt;Acute Lung Injury/etiology/physiopathology; Adult; Animals; Antibodies, Neutralizing/pharmacology; Brain Injuries/complications/*metabolism/*physiopathology; Cardiac Output/drug effects; Epithelial Cells/drug effects/metabolism; Female; HMGB1 Protein/*metabolism; Humans; Interleukin-10/metabolism; Lung/drug effects/pathology/*physiopathology; *Lung Transplantation; Male; Mice, Inbred C57BL; NF-kappa B/metabolism; Peptides/metabolism; Receptor for Advanced Glycation End Products; Receptors, Immunologic/deficiency/*metabolism; Tissue Donors; Toll-Like Receptor 4/deficiency/metabolism&lt;/_keywords&gt;&lt;_language&gt;eng&lt;/_language&gt;&lt;_modified&gt;63229829&lt;/_modified&gt;&lt;_ori_publication&gt;Copyright (c) 2014, American Association for the Advancement of Science.&lt;/_ori_publication&gt;&lt;_pages&gt;252ra124&lt;/_pages&gt;&lt;_tertiary_title&gt;Science translational medicine&lt;/_tertiary_title&gt;&lt;_type_work&gt;Journal Article; Research Support, N.I.H., Extramural; Retracted Publication&lt;/_type_work&gt;&lt;_url&gt;http://www.ncbi.nlm.nih.gov/entrez/query.fcgi?cmd=Retrieve&amp;amp;db=pubmed&amp;amp;dopt=Abstract&amp;amp;list_uids=25186179&amp;amp;query_hl=1&lt;/_url&gt;&lt;_volume&gt;6&lt;/_volume&gt;&lt;/Details&gt;&lt;Extra&gt;&lt;DBUID&gt;{F96A950B-833F-4880-A151-76DA2D6A2879}&lt;/DBUID&gt;&lt;/Extra&gt;&lt;/Item&gt;&lt;/References&gt;&lt;/Group&gt;&lt;Group&gt;&lt;References&gt;&lt;Item&gt;&lt;ID&gt;688&lt;/ID&gt;&lt;UID&gt;{C5AA2E4E-DAD8-409A-9348-0969E9122186}&lt;/UID&gt;&lt;Title&gt;Microglial priming through the lung-brain axis: the role of air pollution-induced circulating factors&lt;/Title&gt;&lt;Template&gt;Journal Article&lt;/Template&gt;&lt;Star&gt;0&lt;/Star&gt;&lt;Tag&gt;0&lt;/Tag&gt;&lt;Author&gt;Mumaw, C L; Levesque, S; McGraw, C; Robertson, S; Lucas, S; Stafflinger, J E; Campen, M J; Hall, P; Norenberg, J P; Anderson, T; Lund, A K; McDonald, J D; Ottens, A K; Block, M L&lt;/Author&gt;&lt;Year&gt;2016&lt;/Year&gt;&lt;Details&gt;&lt;_accession_num&gt;26864854&lt;/_accession_num&gt;&lt;_author_adr&gt;Department of Anatomy and Cell Biology, The Stark Neuroscience Research Institute, Indiana University School of Medicine, Indianapolis, Indiana, USA;; Department of Anatomy and Neurobiology, Virginia Commonwealth University Medical  Campus, Richmond, Virginia, USA;; Department of Anatomy and Neurobiology, Virginia Commonwealth University Medical  Campus, Richmond, Virginia, USA;; Department of Pharmaceutical Sciences and.; Department of Pharmaceutical Sciences and.; Department of Anatomy and Neurobiology, Virginia Commonwealth University Medical  Campus, Richmond, Virginia, USA;; Department of Pharmaceutical Sciences and.; Department of Pharmaceutical Sciences and.; Radiopharmaceutical Sciences, Keck-University of New Mexico Small-Animal Imaging  Resource, College of Pharmacy, University of New Mexico, Albuquerque, New Mexico, USA;; Radiopharmaceutical Sciences, Keck-University of New Mexico Small-Animal Imaging  Resource, College of Pharmacy, University of New Mexico, Albuquerque, New Mexico, USA;; Department of Biological Sciences, Advanced Environmental Research Institute, University of North Texas, Denton, Texas, USA; and.; Lovelace Respiratory Research Institute, Albuquerque, New Mexico, USA.; Department of Anatomy and Neurobiology, Virginia Commonwealth University Medical  Campus, Richmond, Virginia, USA;; Department of Anatomy and Cell Biology, The Stark Neuroscience Research Institute, Indiana University School of Medicine, Indianapolis, Indiana, USA; mlblock@iupui.edu.&lt;/_author_adr&gt;&lt;_collection_scope&gt;SCI;SCIE&lt;/_collection_scope&gt;&lt;_created&gt;63229826&lt;/_created&gt;&lt;_date&gt;2016-05-01&lt;/_date&gt;&lt;_date_display&gt;2016 May&lt;/_date_display&gt;&lt;_db_updated&gt;PubMed&lt;/_db_updated&gt;&lt;_doi&gt;10.1096/fj.201500047&lt;/_doi&gt;&lt;_impact_factor&gt;   5.391&lt;/_impact_factor&gt;&lt;_isbn&gt;1530-6860 (Electronic); 0892-6638 (Linking)&lt;/_isbn&gt;&lt;_issue&gt;5&lt;/_issue&gt;&lt;_journal&gt;FASEB J&lt;/_journal&gt;&lt;_keywords&gt;Air Pollution/*adverse effects; Animals; Antibodies; Brain/*drug effects/metabolism; Cell Line; Inflammation/chemically induced/metabolism; Lung/*drug effects/metabolism; Lung Diseases/*chemically induced/metabolism; Macrophage-1 Antigen/immunology; Mice; Microglia/*drug effects; Neurons/drug effects/metabolism; Ozone/*toxicity; Rats*glia; *inhaled pollutants; *neuroinflammation&lt;/_keywords&gt;&lt;_language&gt;eng&lt;/_language&gt;&lt;_modified&gt;63229826&lt;/_modified&gt;&lt;_ori_publication&gt;(c) FASEB.&lt;/_ori_publication&gt;&lt;_pages&gt;1880-91&lt;/_pages&gt;&lt;_tertiary_title&gt;FASEB journal : official publication of the Federation of American Societies for _x000a_      Experimental Biology&lt;/_tertiary_title&gt;&lt;_type_work&gt;Journal Article; Research Support, N.I.H., Extramural&lt;/_type_work&gt;&lt;_url&gt;http://www.ncbi.nlm.nih.gov/entrez/query.fcgi?cmd=Retrieve&amp;amp;db=pubmed&amp;amp;dopt=Abstract&amp;amp;list_uids=26864854&amp;amp;query_hl=1&lt;/_url&gt;&lt;_volume&gt;30&lt;/_volume&gt;&lt;/Details&gt;&lt;Extra&gt;&lt;DBUID&gt;{F96A950B-833F-4880-A151-76DA2D6A2879}&lt;/DBUID&gt;&lt;/Extra&gt;&lt;/Item&gt;&lt;/References&gt;&lt;/Group&gt;&lt;/Citation&gt;_x000a_"/>
    <w:docVar w:name="NE.Ref{8C3A5436-CFF2-45C6-877B-AC460C0B842C}" w:val=" ADDIN NE.Ref.{8C3A5436-CFF2-45C6-877B-AC460C0B842C}&lt;Citation&gt;&lt;Group&gt;&lt;References&gt;&lt;Item&gt;&lt;ID&gt;779&lt;/ID&gt;&lt;UID&gt;{FCF8F7FA-EFE8-4452-8D4E-B306151C59AD}&lt;/UID&gt;&lt;Title&gt;Influenza virus infection exacerbates experimental autoimmune encephalomyelitis disease by promoting type I T cells infiltration into central nervous system&lt;/Title&gt;&lt;Template&gt;Journal Article&lt;/Template&gt;&lt;Star&gt;0&lt;/Star&gt;&lt;Tag&gt;0&lt;/Tag&gt;&lt;Author&gt;Chen, Q; Liu, Y; Lu, A; Ni, K; Xiang, Z; Wen, K; Tu, W&lt;/Author&gt;&lt;Year&gt;2017&lt;/Year&gt;&lt;Details&gt;&lt;_accession_num&gt;28341037&lt;/_accession_num&gt;&lt;_author_adr&gt;Department of Paediatrics &amp;amp; Adolescent Medicine, University of Hong Kong, Hong Kong, China.; Department of Paediatrics &amp;amp; Adolescent Medicine, University of Hong Kong, Hong Kong, China.; Department of Paediatrics &amp;amp; Adolescent Medicine, University of Hong Kong, Hong Kong, China.; Department of Paediatrics &amp;amp; Adolescent Medicine, University of Hong Kong, Hong Kong, China.; Department of Paediatrics &amp;amp; Adolescent Medicine, University of Hong Kong, Hong Kong, China.; Department of Paediatrics &amp;amp; Adolescent Medicine, University of Hong Kong, Hong Kong, China.; Department of Paediatrics &amp;amp; Adolescent Medicine, University of Hong Kong, Hong Kong, China. Electronic address: wwtu@hku.hk.&lt;/_author_adr&gt;&lt;_date_display&gt;2017 Feb&lt;/_date_display&gt;&lt;_date&gt;2017-02-01&lt;/_date&gt;&lt;_doi&gt;10.1016/j.jaut.2016.10.006&lt;/_doi&gt;&lt;_isbn&gt;1095-9157 (Electronic); 0896-8411 (Linking)&lt;/_isbn&gt;&lt;_journal&gt;J Autoimmun&lt;/_journal&gt;&lt;_keywords&gt;*EAE; *Influenza; *Lung; *Spinal cord; *Type I T cells&lt;/_keywords&gt;&lt;_language&gt;eng&lt;/_language&gt;&lt;_ori_publication&gt;Copyright (c) 2016 Elsevier Ltd. All rights reserved.&lt;/_ori_publication&gt;&lt;_pages&gt;1-10&lt;/_pages&gt;&lt;_subject_headings&gt;Animals; CD4-Positive T-Lymphocytes/immunology/metabolism; Central Nervous System/*immunology/metabolism/*virology; Cytokines/metabolism; Disease Progression; Encephalomyelitis, Autoimmune,_x000a_      Experimental/*complications/*immunology/metabolism/pathology; Female; Inflammation Mediators/metabolism; Leukocytes, Mononuclear/immunology/metabolism/pathology; Mice; Myelin-Oligodendrocyte Glycoprotein/immunology; Orthomyxoviridae Infections/*complications; Peptide Fragments/immunology; Receptors, CCR5/agonists; Spinal Cord/immunology/pathology/virology; T-Lymphocyte Subsets/*immunology/metabolism/pathology&lt;/_subject_headings&gt;&lt;_tertiary_title&gt;Journal of autoimmunity&lt;/_tertiary_title&gt;&lt;_type_work&gt;Journal Article; Research Support, Non-U.S. Gov&amp;apos;t&lt;/_type_work&gt;&lt;_url&gt;http://www.ncbi.nlm.nih.gov/entrez/query.fcgi?cmd=Retrieve&amp;amp;db=pubmed&amp;amp;dopt=Abstract&amp;amp;list_uids=28341037&amp;amp;query_hl=1&lt;/_url&gt;&lt;_volume&gt;77&lt;/_volume&gt;&lt;_created&gt;63430470&lt;/_created&gt;&lt;_modified&gt;63430470&lt;/_modified&gt;&lt;_db_updated&gt;PubMed&lt;/_db_updated&gt;&lt;_impact_factor&gt;   6.658&lt;/_impact_factor&gt;&lt;_collection_scope&gt;SCI;SCIE&lt;/_collection_scope&gt;&lt;/Details&gt;&lt;Extra&gt;&lt;DBUID&gt;{F96A950B-833F-4880-A151-76DA2D6A2879}&lt;/DBUID&gt;&lt;/Extra&gt;&lt;/Item&gt;&lt;/References&gt;&lt;/Group&gt;&lt;/Citation&gt;_x000a_"/>
    <w:docVar w:name="NE.Ref{8E5E869F-910E-4AF4-B08B-7B0F2B91B1C3}" w:val=" ADDIN NE.Ref.{8E5E869F-910E-4AF4-B08B-7B0F2B91B1C3}&lt;Citation&gt;&lt;Group&gt;&lt;References&gt;&lt;Item&gt;&lt;ID&gt;520&lt;/ID&gt;&lt;UID&gt;{06B091ED-EA47-40D0-B49C-2A479F762BEB}&lt;/UID&gt;&lt;Title&gt;Immune regulatory function of B cells&lt;/Title&gt;&lt;Template&gt;Journal Article&lt;/Template&gt;&lt;Star&gt;0&lt;/Star&gt;&lt;Tag&gt;0&lt;/Tag&gt;&lt;Author&gt;Mauri, C; Bosma, A&lt;/Author&gt;&lt;Year&gt;2012&lt;/Year&gt;&lt;Details&gt;&lt;_accession_num&gt;22224776&lt;/_accession_num&gt;&lt;_author_adr&gt;Center for Rheumatology Research, Division of Medicine, University College London, London WC1E 6JF, United Kingdom. c.mauri@ucl.ac.uk&lt;/_author_adr&gt;&lt;_collection_scope&gt;SCI;SCIE&lt;/_collection_scope&gt;&lt;_created&gt;63170702&lt;/_created&gt;&lt;_date&gt;2012-01-20&lt;/_date&gt;&lt;_date_display&gt;2012&lt;/_date_display&gt;&lt;_db_updated&gt;PubMed&lt;/_db_updated&gt;&lt;_doi&gt;10.1146/annurev-immunol-020711-074934&lt;/_doi&gt;&lt;_impact_factor&gt;  19.900&lt;/_impact_factor&gt;&lt;_isbn&gt;1545-3278 (Electronic); 0732-0582 (Linking)&lt;/_isbn&gt;&lt;_journal&gt;Annu Rev Immunol&lt;/_journal&gt;&lt;_keywords&gt;Animals; Autoimmune Diseases/immunology/metabolism; B-Lymphocyte Subsets/immunology/metabolism; B-Lymphocytes/*immunology/metabolism; B-Lymphocytes, Regulatory/cytology/immunology/metabolism; Cell Differentiation/immunology; Humans; T-Lymphocytes, Regulatory/cytology/immunology/metabolism&lt;/_keywords&gt;&lt;_language&gt;eng&lt;/_language&gt;&lt;_modified&gt;63564096&lt;/_modified&gt;&lt;_pages&gt;221-41&lt;/_pages&gt;&lt;_tertiary_title&gt;Annual review of immunology&lt;/_tertiary_title&gt;&lt;_type_work&gt;Journal Article; Research Support, Non-U.S. Gov&amp;apos;t; Review&lt;/_type_work&gt;&lt;_url&gt;http://www.ncbi.nlm.nih.gov/entrez/query.fcgi?cmd=Retrieve&amp;amp;db=pubmed&amp;amp;dopt=Abstract&amp;amp;list_uids=22224776&amp;amp;query_hl=1&lt;/_url&gt;&lt;_volume&gt;30&lt;/_volume&gt;&lt;/Details&gt;&lt;Extra&gt;&lt;DBUID&gt;{F96A950B-833F-4880-A151-76DA2D6A2879}&lt;/DBUID&gt;&lt;/Extra&gt;&lt;/Item&gt;&lt;/References&gt;&lt;/Group&gt;&lt;/Citation&gt;_x000a_"/>
    <w:docVar w:name="NE.Ref{945CE0AE-0296-43C4-81B6-16B155CEF21F}" w:val=" ADDIN NE.Ref.{945CE0AE-0296-43C4-81B6-16B155CEF21F}&lt;Citation&gt;&lt;Group&gt;&lt;References&gt;&lt;Item&gt;&lt;ID&gt;601&lt;/ID&gt;&lt;UID&gt;{6CD7245F-608C-42BF-B7A0-D75D58EEE2FE}&lt;/UID&gt;&lt;Title&gt;The adaptive immune system restrains Alzheimer&amp;apos;s disease pathogenesis by modulating microglial function&lt;/Title&gt;&lt;Template&gt;Journal Article&lt;/Template&gt;&lt;Star&gt;0&lt;/Star&gt;&lt;Tag&gt;0&lt;/Tag&gt;&lt;Author&gt;Marsh, S E; Abud, E M; Lakatos, A; Karimzadeh, A; Yeung, S T; Davtyan, H; Fote, G M; Lau, L; Weinger, J G; Lane, T E; Inlay, M A; Poon, W W; Blurton-Jones, M&lt;/Author&gt;&lt;Year&gt;2016&lt;/Year&gt;&lt;Details&gt;&lt;_accession_num&gt;26884167&lt;/_accession_num&gt;&lt;_author_adr&gt;Department of Neurobiology and Behavior, University of California, Irvine, CA 92697; Sue and Bill Gross Stem Cell Research Center, University of California, Irvine, CA 92697;; Department of Neurobiology and Behavior, University of California, Irvine, CA 92697; Sue and Bill Gross Stem Cell Research Center, University of California, Irvine, CA 92697;; Institute for Memory Impairments and Neurological Disorders, University of California, Irvine, CA 92697;; Sue and Bill Gross Stem Cell Research Center, University of California, Irvine, CA 92697; Department of Molecular Biology and Biochemistry, University of California, Irvine, CA 92697;; Institute for Memory Impairments and Neurological Disorders, University of California, Irvine, CA 92697;; Department of Molecular Immunology, Institute for Molecular Medicine, Huntington  Beach, CA 92647.; Department of Neurobiology and Behavior, University of California, Irvine, CA 92697; Sue and Bill Gross Stem Cell Research Center, University of California, Irvine, CA 92697;; Institute for Memory Impairments and Neurological Disorders, University of California, Irvine, CA 92697;; Department of Molecular Biology and Biochemistry, University of California, Irvine, CA 92697;; Sue and Bill Gross Stem Cell Research Center, University of California, Irvine, CA 92697; Institute for Memory Impairments and Neurological Disorders, University of California, Irvine, CA 92697; Department of Molecular Biology and Biochemistry, University of California, Irvine, CA 92697;; Sue and Bill Gross Stem Cell Research Center, University of California, Irvine, CA 92697; Department of Molecular Biology and Biochemistry, University of California, Irvine, CA 92697;; Institute for Memory Impairments and Neurological Disorders, University of California, Irvine, CA 92697;; Department of Neurobiology and Behavior, University of California, Irvine, CA 92697; Sue and Bill Gross Stem Cell Research Center, University of California, Irvine, CA 92697; Institute for Memory Impairments and Neurological Disorders, University of California, Irvine, CA 92697; mblurton@uci.edu.&lt;/_author_adr&gt;&lt;_created&gt;63170950&lt;/_created&gt;&lt;_date&gt;2016-03-01&lt;/_date&gt;&lt;_date_display&gt;2016 Mar 1&lt;/_date_display&gt;&lt;_db_updated&gt;PubMed&lt;/_db_updated&gt;&lt;_doi&gt;10.1073/pnas.1525466113&lt;/_doi&gt;&lt;_impact_factor&gt;   9.412&lt;/_impact_factor&gt;&lt;_isbn&gt;1091-6490 (Electronic); 0027-8424 (Linking)&lt;/_isbn&gt;&lt;_issue&gt;9&lt;/_issue&gt;&lt;_journal&gt;Proc Natl Acad Sci U S A&lt;/_journal&gt;&lt;_keywords&gt;*Adaptation, Physiological; Alzheimer Disease/immunology/*physiopathology; Amyloid beta-Peptides/metabolism; Animals; Humans; Immunoglobulin G/blood; Mice; Microglia/*pathology; PhagocytosisAlzheimer&amp;apos;s; IgG; amyloid; inflammation; microglia&lt;/_keywords&gt;&lt;_language&gt;eng&lt;/_language&gt;&lt;_modified&gt;63430408&lt;/_modified&gt;&lt;_pages&gt;E1316-25&lt;/_pages&gt;&lt;_tertiary_title&gt;Proceedings of the National Academy of Sciences of the United States of America&lt;/_tertiary_title&gt;&lt;_type_work&gt;Journal Article; Research Support, N.I.H., Extramural; Research Support, Non-U.S. Gov&amp;apos;t&lt;/_type_work&gt;&lt;_url&gt;http://www.ncbi.nlm.nih.gov/entrez/query.fcgi?cmd=Retrieve&amp;amp;db=pubmed&amp;amp;dopt=Abstract&amp;amp;list_uids=26884167&amp;amp;query_hl=1&lt;/_url&gt;&lt;_volume&gt;113&lt;/_volume&gt;&lt;/Details&gt;&lt;Extra&gt;&lt;DBUID&gt;{F96A950B-833F-4880-A151-76DA2D6A2879}&lt;/DBUID&gt;&lt;/Extra&gt;&lt;/Item&gt;&lt;/References&gt;&lt;/Group&gt;&lt;/Citation&gt;_x000a_"/>
    <w:docVar w:name="NE.Ref{94A2F826-538B-4CA4-BB3D-67F2624C8261}" w:val=" ADDIN NE.Ref.{94A2F826-538B-4CA4-BB3D-67F2624C8261}&lt;Citation&gt;&lt;Group&gt;&lt;References&gt;&lt;Item&gt;&lt;ID&gt;732&lt;/ID&gt;&lt;UID&gt;{729123EC-B670-4DA7-A2B8-62EBF60DBC92}&lt;/UID&gt;&lt;Title&gt;Reassessing B cell contributions in multiple sclerosis&lt;/Title&gt;&lt;Template&gt;Journal Article&lt;/Template&gt;&lt;Star&gt;0&lt;/Star&gt;&lt;Tag&gt;0&lt;/Tag&gt;&lt;Author&gt;Li, R; Patterson, K R; Bar-Or, A&lt;/Author&gt;&lt;Year&gt;2018&lt;/Year&gt;&lt;Details&gt;&lt;_accession_num&gt;29925992&lt;/_accession_num&gt;&lt;_author_adr&gt;Center for Neuroinflammation and Experimental Therapeutics (CNET) and Department  of Neurology, Perelman School of Medicine, University of Pennsylvania, Philadelphia, PA, USA.; Center for Neuroinflammation and Experimental Therapeutics (CNET) and Department  of Neurology, Perelman School of Medicine, University of Pennsylvania, Philadelphia, PA, USA.; Center for Neuroinflammation and Experimental Therapeutics (CNET) and Department  of Neurology, Perelman School of Medicine, University of Pennsylvania, Philadelphia, PA, USA. amitbar@upenn.edu.&lt;/_author_adr&gt;&lt;_collection_scope&gt;SCI;SCIE&lt;/_collection_scope&gt;&lt;_created&gt;63229948&lt;/_created&gt;&lt;_date&gt;2018-07-01&lt;/_date&gt;&lt;_date_display&gt;2018 Jul&lt;/_date_display&gt;&lt;_db_updated&gt;PubMed&lt;/_db_updated&gt;&lt;_doi&gt;10.1038/s41590-018-0135-x&lt;/_doi&gt;&lt;_impact_factor&gt;  20.479&lt;/_impact_factor&gt;&lt;_isbn&gt;1529-2916 (Electronic); 1529-2908 (Linking)&lt;/_isbn&gt;&lt;_issue&gt;7&lt;/_issue&gt;&lt;_journal&gt;Nat Immunol&lt;/_journal&gt;&lt;_keywords&gt;Antibody Formation; Antigen Presentation; B-Lymphocytes/*immunology; Central Nervous System; Cytokines/biosynthesis; Humans; Immune Tolerance; Multiple Sclerosis/*immunology/therapy; T-Lymphocytes/immunology&lt;/_keywords&gt;&lt;_language&gt;eng&lt;/_language&gt;&lt;_modified&gt;63229948&lt;/_modified&gt;&lt;_pages&gt;696-707&lt;/_pages&gt;&lt;_tertiary_title&gt;Nature immunology&lt;/_tertiary_title&gt;&lt;_type_work&gt;Journal Article; Review&lt;/_type_work&gt;&lt;_url&gt;http://www.ncbi.nlm.nih.gov/entrez/query.fcgi?cmd=Retrieve&amp;amp;db=pubmed&amp;amp;dopt=Abstract&amp;amp;list_uids=29925992&amp;amp;query_hl=1&lt;/_url&gt;&lt;_volume&gt;19&lt;/_volume&gt;&lt;/Details&gt;&lt;Extra&gt;&lt;DBUID&gt;{F96A950B-833F-4880-A151-76DA2D6A2879}&lt;/DBUID&gt;&lt;/Extra&gt;&lt;/Item&gt;&lt;/References&gt;&lt;/Group&gt;&lt;/Citation&gt;_x000a_"/>
    <w:docVar w:name="NE.Ref{956FEA60-70AD-4F88-8682-63053F69CB82}" w:val=" ADDIN NE.Ref.{956FEA60-70AD-4F88-8682-63053F69CB82}&lt;Citation&gt;&lt;Group&gt;&lt;References&gt;&lt;Item&gt;&lt;ID&gt;715&lt;/ID&gt;&lt;UID&gt;{693E4E55-8AE9-4B4E-B8B9-5CAF6141E189}&lt;/UID&gt;&lt;Title&gt;Transcriptional and post-transcriptional regulation of beta-secretase&lt;/Title&gt;&lt;Template&gt;Journal Article&lt;/Template&gt;&lt;Star&gt;0&lt;/Star&gt;&lt;Tag&gt;0&lt;/Tag&gt;&lt;Author&gt;Tamagno, E; Guglielmotto, M; Monteleone, D; Vercelli, A; Tabaton, M&lt;/Author&gt;&lt;Year&gt;2012&lt;/Year&gt;&lt;Details&gt;&lt;_accession_num&gt;23180460&lt;/_accession_num&gt;&lt;_author_adr&gt;Department of Neuroscience, University of Torino, Torino, Italy. elena.tamagno@unito.it&lt;/_author_adr&gt;&lt;_collection_scope&gt;SCI;SCIE&lt;/_collection_scope&gt;&lt;_created&gt;63229913&lt;/_created&gt;&lt;_date&gt;2012-12-01&lt;/_date&gt;&lt;_date_display&gt;2012 Dec&lt;/_date_display&gt;&lt;_db_updated&gt;PubMed&lt;/_db_updated&gt;&lt;_doi&gt;10.1002/iub.1099&lt;/_doi&gt;&lt;_impact_factor&gt;   3.244&lt;/_impact_factor&gt;&lt;_isbn&gt;1521-6551 (Electronic); 1521-6543 (Linking)&lt;/_isbn&gt;&lt;_issue&gt;12&lt;/_issue&gt;&lt;_journal&gt;IUBMB Life&lt;/_journal&gt;&lt;_keywords&gt;Alzheimer Disease/enzymology/*genetics/pathology; Amyloid Precursor Protein Secretases/*genetics/metabolism; Amyloid beta-Protein Precursor/*genetics/metabolism; Aspartic Acid Endopeptidases/*genetics/metabolism; Brain/*enzymology/pathology; Humans; Peptide Fragments/genetics/metabolism; Plaque, Amyloid/enzymology/genetics/pathology; Protein Structure, Tertiary; Proteolysis; RNA Processing, Post-Transcriptional; RNA, Messenger/*biosynthesis/genetics; Signal Transduction; *Transcription, Genetic&lt;/_keywords&gt;&lt;_language&gt;eng&lt;/_language&gt;&lt;_modified&gt;63585869&lt;/_modified&gt;&lt;_ori_publication&gt;Copyright (c) 2012 International Union of Biochemistry and Molecular Biology,_x000d__x000a_      Inc.&lt;/_ori_publication&gt;&lt;_pages&gt;943-50&lt;/_pages&gt;&lt;_tertiary_title&gt;IUBMB life&lt;/_tertiary_title&gt;&lt;_type_work&gt;Journal Article; Review&lt;/_type_work&gt;&lt;_url&gt;http://www.ncbi.nlm.nih.gov/entrez/query.fcgi?cmd=Retrieve&amp;amp;db=pubmed&amp;amp;dopt=Abstract&amp;amp;list_uids=23180460&amp;amp;query_hl=1&lt;/_url&gt;&lt;_volume&gt;64&lt;/_volume&gt;&lt;/Details&gt;&lt;Extra&gt;&lt;DBUID&gt;{F96A950B-833F-4880-A151-76DA2D6A2879}&lt;/DBUID&gt;&lt;/Extra&gt;&lt;/Item&gt;&lt;/References&gt;&lt;/Group&gt;&lt;/Citation&gt;_x000a_"/>
    <w:docVar w:name="NE.Ref{959DDD89-B1DF-4EAD-9C23-713C60E2AB4E}" w:val=" ADDIN NE.Ref.{959DDD89-B1DF-4EAD-9C23-713C60E2AB4E}&lt;Citation&gt;&lt;Group&gt;&lt;References&gt;&lt;Item&gt;&lt;ID&gt;463&lt;/ID&gt;&lt;UID&gt;{CCA1B239-DA96-48A4-8D10-0E94FCC6A967}&lt;/UID&gt;&lt;Title&gt;A paravascular pathway facilitates CSF flow through the brain parenchyma and the  clearance of interstitial solutes, including amyloid beta&lt;/Title&gt;&lt;Template&gt;Journal Article&lt;/Template&gt;&lt;Star&gt;0&lt;/Star&gt;&lt;Tag&gt;0&lt;/Tag&gt;&lt;Author&gt;Iliff, J J; Wang, M; Liao, Y; Plogg, B A; Peng, W; Gundersen, G A; Benveniste, H; Vates, G E; Deane, R; Goldman, S A; Nagelhus, E A; Nedergaard, M&lt;/Author&gt;&lt;Year&gt;2012&lt;/Year&gt;&lt;Details&gt;&lt;_accessed&gt;63229840&lt;/_accessed&gt;&lt;_accession_num&gt;22896675&lt;/_accession_num&gt;&lt;_author_adr&gt;Center for Translational Neuromedicine, Department of Neurosurgery, University of Rochester Medical Center, Rochester, NY 14642, USA. jeffrey_iliff@urmc.rochester.edu&lt;/_author_adr&gt;&lt;_collection_scope&gt;SCIE&lt;/_collection_scope&gt;&lt;_created&gt;63169479&lt;/_created&gt;&lt;_date&gt;2012-08-15&lt;/_date&gt;&lt;_date_display&gt;2012 Aug 15&lt;/_date_display&gt;&lt;_db_updated&gt;PubMed&lt;/_db_updated&gt;&lt;_doi&gt;10.1126/scitranslmed.3003748&lt;/_doi&gt;&lt;_impact_factor&gt;  17.161&lt;/_impact_factor&gt;&lt;_isbn&gt;1946-6242 (Electronic); 1946-6234 (Linking)&lt;/_isbn&gt;&lt;_issue&gt;147&lt;/_issue&gt;&lt;_journal&gt;Sci Transl Med&lt;/_journal&gt;&lt;_keywords&gt;Amyloid beta-Peptides/*metabolism; Animals; Aquaporin 4/metabolism; Astrocytes/metabolism; Biological Transport; Brain/*metabolism; Cerebral Ventricles/metabolism; Cerebrospinal Fluid/*metabolism; Extracellular Fluid/*metabolism; Imaging, Three-Dimensional; Male; Mice; Mice, Inbred C57BL; Microscopy, Fluorescence, Multiphoton; Water/metabolism&lt;/_keywords&gt;&lt;_language&gt;eng&lt;/_language&gt;&lt;_modified&gt;63229840&lt;/_modified&gt;&lt;_pages&gt;147ra111&lt;/_pages&gt;&lt;_tertiary_title&gt;Science translational medicine&lt;/_tertiary_title&gt;&lt;_type_work&gt;Journal Article; Research Support, N.I.H., Extramural; Research Support, Non-U.S. Gov&amp;apos;t; Research Support, U.S. Gov&amp;apos;t, Non-P.H.S.&lt;/_type_work&gt;&lt;_url&gt;http://www.ncbi.nlm.nih.gov/entrez/query.fcgi?cmd=Retrieve&amp;amp;db=pubmed&amp;amp;dopt=Abstract&amp;amp;list_uids=22896675&amp;amp;query_hl=1&lt;/_url&gt;&lt;_volume&gt;4&lt;/_volume&gt;&lt;/Details&gt;&lt;Extra&gt;&lt;DBUID&gt;{F96A950B-833F-4880-A151-76DA2D6A2879}&lt;/DBUID&gt;&lt;/Extra&gt;&lt;/Item&gt;&lt;/References&gt;&lt;/Group&gt;&lt;Group&gt;&lt;References&gt;&lt;Item&gt;&lt;ID&gt;467&lt;/ID&gt;&lt;UID&gt;{5D2294D4-36EC-421F-BC67-0C8A8163EE2F}&lt;/UID&gt;&lt;Title&gt;Aquaporin-4-dependent glymphatic solute transport in the rodent brain&lt;/Title&gt;&lt;Template&gt;Journal Article&lt;/Template&gt;&lt;Star&gt;0&lt;/Star&gt;&lt;Tag&gt;0&lt;/Tag&gt;&lt;Author&gt;Mestre, H; Hablitz, L M; Xavier, A L; Feng, W; Zou, W; Pu, T; Monai, H; Murlidharan, G; Castellanos, Rivera RM; Simon, M J; Pike, M M; Pla, V; &amp;quot;Du T&amp;quot;; Kress, B T; Wang, X; Plog, B A; Thrane, A S; Lundgaard, I; Abe, Y; Yasui, M; Thomas, J H; Xiao, M; Hirase, H; Asokan, A; Iliff, J J; Nedergaard, M&lt;/Author&gt;&lt;Year&gt;2018&lt;/Year&gt;&lt;Details&gt;&lt;_accession_num&gt;30561329&lt;/_accession_num&gt;&lt;_author_adr&gt;Center for Translational Neuromedicine, University of Rochester Medical Center, Rochester, United States.; Center for Translational Neuromedicine, University of Rochester Medical Center, Rochester, United States.; Center for Translational Neuromedicine, Faculty of Medical and Health Sciences, University of Copenhagen, Copenhagen, Denmark.; Jiangsu Province Key Laboratory of Neurodegeneration, Center for Global Health, Nanjing Medical University, Nanjing, China.; Jiangsu Province Key Laboratory of Neurodegeneration, Center for Global Health, Nanjing Medical University, Nanjing, China.; Jiangsu Province Key Laboratory of Neurodegeneration, Center for Global Health, Nanjing Medical University, Nanjing, China.; RIKEN Center for Brain Science, Wako, Japan.; Ochanomizu University, Tokyo, Japan.; Gene Therapy Center, The University of North Carolina, Chapel Hill, United States.; Gene Therapy Center, The University of North Carolina, Chapel Hill, United States.; Department of Anesthesiology and Perioperative Medicine, Oregon Health and Science University, Portland, United States.; Advanced Imaging Research Center, Oregon Health and Science University, Portland, United States.; Center for Translational Neuromedicine, University of Rochester Medical Center, Rochester, United States.; Center for Translational Neuromedicine, University of Rochester Medical Center, Rochester, United States.; Center for Translational Neuromedicine, University of Rochester Medical Center, Rochester, United States.; RIKEN Center for Brain Science, Wako, Japan.; Center for Translational Neuromedicine, University of Rochester Medical Center, Rochester, United States.; Center for Translational Neuromedicine, Faculty of Medical and Health Sciences, University of Copenhagen, Copenhagen, Denmark.; Department of Ophthalmology, Haukeland University Hospital, Bergen, Norway.; Center for Translational Neuromedicine, University of Rochester Medical Center, Rochester, United States.; Department of Experimental Medical Science, Lund University, Lund, Sweden.; Wallenberg Center for Molecular Medicine, Lund University, Lund, Sweden.; Department of Pharmacology,School of Medicine, Keio University, Tokyo, Japan.; Department of Pharmacology,School of Medicine, Keio University, Tokyo, Japan.; Department of Mechanical Engineering, University of Rochester, Rochester, United  States.; Department of Physics and Astronomy, University of Rochester, Rochester, United States.; Jiangsu Province Key Laboratory of Neurodegeneration, Center for Global Health, Nanjing Medical University, Nanjing, China.; RIKEN Center for Brain Science, Wako, Japan.; Brain and Body System Science Institute, Saitama University, Saitama, Japan.; Gene Therapy Center, The University of North Carolina, Chapel Hill, United States.; Department of Molecular Genetics and Microbiology, Duke University School of Medicine, North Carolina, United States.; Department of Surgery, Duke University School of Medicine, Durham, United States.; Department of Anesthesiology and Perioperative Medicine, Oregon Health and Science University, Portland, United States.; Knight Cardiovascular Institute, Oregon Health and Science University, Portland,  United States.; Center for Translational Neuromedicine, University of Rochester Medical Center, Rochester, United States.; Center for Translational Neuromedicine, Faculty of Medical and Health Sciences, University of Copenhagen, Copenhagen, Denmark.&lt;/_author_adr&gt;&lt;_collection_scope&gt;SCIE&lt;/_collection_scope&gt;&lt;_created&gt;63169482&lt;/_created&gt;&lt;_date&gt;2018-12-18&lt;/_date&gt;&lt;_date_display&gt;2018 Dec 18&lt;/_date_display&gt;&lt;_db_updated&gt;PubMed&lt;/_db_updated&gt;&lt;_doi&gt;10.7554/eLife.40070&lt;/_doi&gt;&lt;_impact_factor&gt;   7.080&lt;/_impact_factor&gt;&lt;_isbn&gt;2050-084X (Electronic); 2050-084X (Linking)&lt;/_isbn&gt;&lt;_journal&gt;Elife&lt;/_journal&gt;&lt;_keywords&gt;Animals; Aquaporin 4/genetics/*metabolism; Astrocytes/*metabolism; Biological Transport; Brain/*metabolism; Cerebrospinal Fluid/metabolism; Extracellular Fluid/metabolism; *Glymphatic System; Mice, Knockout; Rats*aquaporin-4; *cerebrospinal fluid; *glymphatic; *meta-analysis; *mouse; *neuroscience; *replication study; *solute transport&lt;/_keywords&gt;&lt;_language&gt;eng&lt;/_language&gt;&lt;_modified&gt;63169483&lt;/_modified&gt;&lt;_ori_publication&gt;(c) 2018, Mestre et al.&lt;/_ori_publication&gt;&lt;_tertiary_title&gt;eLife&lt;/_tertiary_title&gt;&lt;_type_work&gt;Journal Article; Meta-Analysis; Research Support, N.I.H., Extramural; Research Support, Non-U.S. Gov&amp;apos;t&lt;/_type_work&gt;&lt;_url&gt;http://www.ncbi.nlm.nih.gov/entrez/query.fcgi?cmd=Retrieve&amp;amp;db=pubmed&amp;amp;dopt=Abstract&amp;amp;list_uids=30561329&amp;amp;query_hl=1&lt;/_url&gt;&lt;_volume&gt;7&lt;/_volume&gt;&lt;/Details&gt;&lt;Extra&gt;&lt;DBUID&gt;{F96A950B-833F-4880-A151-76DA2D6A2879}&lt;/DBUID&gt;&lt;/Extra&gt;&lt;/Item&gt;&lt;/References&gt;&lt;/Group&gt;&lt;/Citation&gt;_x000a_"/>
    <w:docVar w:name="NE.Ref{9A1F815C-3AC9-482D-97DC-41CF2D89F9DB}" w:val=" ADDIN NE.Ref.{9A1F815C-3AC9-482D-97DC-41CF2D89F9DB}&lt;Citation&gt;&lt;Group&gt;&lt;References&gt;&lt;Item&gt;&lt;ID&gt;726&lt;/ID&gt;&lt;UID&gt;{754AFF27-FF1E-4481-BEB2-3B1BB0611D9C}&lt;/UID&gt;&lt;Title&gt;IL-35-producing B cells are critical regulators of immunity during autoimmune and infectious diseases&lt;/Title&gt;&lt;Template&gt;Journal Article&lt;/Template&gt;&lt;Star&gt;0&lt;/Star&gt;&lt;Tag&gt;0&lt;/Tag&gt;&lt;Author&gt;Shen, P; Roch, T; Lampropoulou, V; O&amp;apos;Connor, R A; Stervbo, U; Hilgenberg, E; Ries, S; Dang, V D; Jaimes, Y; Daridon, C; Li, R; Jouneau, L; Boudinot, P; Wilantri, S; Sakwa, I; Miyazaki, Y; Leech, M D; McPherson, R C; Wirtz, S; Neurath, M; Hoehlig, K; Meinl, E; Grutzkau, A; Grun, J R; Horn, K; Kuhl, A A; Dorner, T; Bar-Or, A; Kaufmann, SHE; Anderton, S M; Fillatreau, S&lt;/Author&gt;&lt;Year&gt;2014&lt;/Year&gt;&lt;Details&gt;&lt;_accession_num&gt;24572363&lt;/_accession_num&gt;&lt;_author_adr&gt;Deutsches Rheuma-Forschungszentrum, a Leibniz Institute, Chariteplatz 1, 10117 Berlin, Germany.; Deutsches Rheuma-Forschungszentrum, a Leibniz Institute, Chariteplatz 1, 10117 Berlin, Germany.; Deutsches Rheuma-Forschungszentrum, a Leibniz Institute, Chariteplatz 1, 10117 Berlin, Germany.; University of Edinburgh, Centre for Inflammation Research and Centre for Multiple Sclerosis Research, Queen&amp;apos;s Medical Research Institute, Edinburgh, EH16 4TJ, United Kingdom.; Deutsches Rheuma-Forschungszentrum, a Leibniz Institute, Chariteplatz 1, 10117 Berlin, Germany.; Deutsches Rheuma-Forschungszentrum, a Leibniz Institute, Chariteplatz 1, 10117 Berlin, Germany.; Deutsches Rheuma-Forschungszentrum, a Leibniz Institute, Chariteplatz 1, 10117 Berlin, Germany.; Deutsches Rheuma-Forschungszentrum, a Leibniz Institute, Chariteplatz 1, 10117 Berlin, Germany.; Deutsches Rheuma-Forschungszentrum, a Leibniz Institute, Chariteplatz 1, 10117 Berlin, Germany.; Deutsches Rheuma-Forschungszentrum, a Leibniz Institute, Chariteplatz 1, 10117 Berlin, Germany.; Charite Universitatsmedizin Berlin, CC12, Dept. Medicine/Rheumatology and Clinical Immunology, 10117 Berlin, Germany.; Neuroimmunology Unit, Montreal Neurological Institute and Hospital, McGill University, Montreal, Quebec, H3A2B4, Canada.; Virologie et Immunologie Moleculaires, INRA, 78352 Jouy-en-Josas, France.; Virologie et Immunologie Moleculaires, INRA, 78352 Jouy-en-Josas, France.; Deutsches Rheuma-Forschungszentrum, a Leibniz Institute, Chariteplatz 1, 10117 Berlin, Germany.; Deutsches Rheuma-Forschungszentrum, a Leibniz Institute, Chariteplatz 1, 10117 Berlin, Germany.; Neuroimmunology Unit, Montreal Neurological Institute and Hospital, McGill University, Montreal, Quebec, H3A2B4, Canada.; University of Edinburgh, Centre for Inflammation Research and Centre for Multiple Sclerosis Research, Queen&amp;apos;s Medical Research Institute, Edinburgh, EH16 4TJ, United Kingdom.; University of Edinburgh, Centre for Inflammation Research and Centre for Multiple Sclerosis Research, Queen&amp;apos;s Medical Research Institute, Edinburgh, EH16 4TJ, United Kingdom.; Medical Clinic 1, Kussmaul Campus for Medical Research, University of Erlangen-Nurnberg, Germany.; Medical Clinic 1, Kussmaul Campus for Medical Research, University of Erlangen-Nurnberg, Germany.; Deutsches Rheuma-Forschungszentrum, a Leibniz Institute, Chariteplatz 1, 10117 Berlin, Germany.; Institut fur Klinische Neuroimmunologie Klinikum der Ludwig-Maximilians-Universitat Munchen, 81377 Munchen, Germany.; Deutsches Rheuma-Forschungszentrum, a Leibniz Institute, Chariteplatz 1, 10117 Berlin, Germany.; Deutsches Rheuma-Forschungszentrum, a Leibniz Institute, Chariteplatz 1, 10117 Berlin, Germany.; Deutsches Rheuma-Forschungszentrum, a Leibniz Institute, Chariteplatz 1, 10117 Berlin, Germany.; Immunpathologie, Research Center ImmunoSciences, 12203 Berlin, Germany.; Deutsches Rheuma-Forschungszentrum, a Leibniz Institute, Chariteplatz 1, 10117 Berlin, Germany.; Charite Universitatsmedizin Berlin, CC12, Dept. Medicine/Rheumatology and Clinical Immunology, 10117 Berlin, Germany.; Neuroimmunology Unit, Montreal Neurological Institute and Hospital, McGill University, Montreal, Quebec, H3A2B4, Canada.; Max Planck Institute of Infection Biology, Department of Immunology, Chariteplatz 1, 10117 Berlin, Germany.; University of Edinburgh, Centre for Inflammation Research and Centre for Multiple Sclerosis Research, Queen&amp;apos;s Medical Research Institute, Edinburgh, EH16 4TJ, United Kingdom.; Deutsches Rheuma-Forschungszentrum, a Leibniz Institute, Chariteplatz 1, 10117 Berlin, Germany.&lt;/_author_adr&gt;&lt;_collection_scope&gt;SCI;SCIE&lt;/_collection_scope&gt;&lt;_created&gt;63229939&lt;/_created&gt;&lt;_date&gt;2014-03-20&lt;/_date&gt;&lt;_date_display&gt;2014 Mar 20&lt;/_date_display&gt;&lt;_db_updated&gt;PubMed&lt;/_db_updated&gt;&lt;_doi&gt;10.1038/nature12979&lt;/_doi&gt;&lt;_impact_factor&gt;  43.070&lt;/_impact_factor&gt;&lt;_isbn&gt;1476-4687 (Electronic); 0028-0836 (Linking)&lt;/_isbn&gt;&lt;_issue&gt;7492&lt;/_issue&gt;&lt;_journal&gt;Nature&lt;/_journal&gt;&lt;_keywords&gt;Animals; Antigen-Presenting Cells/immunology/metabolism; B-Lymphocytes/*immunology/*metabolism; CD40 Antigens/immunology; Encephalomyelitis, Autoimmune, Experimental/*immunology; Female; Humans; Immunity/*immunology; Interleukin-10/metabolism; Interleukins/immunology/*metabolism; Lymphocyte Activation; Macrophages/cytology/immunology; Male; Mice; Plasma Cells/immunology/metabolism; Salmonella Infections/*immunology/microbiology; T-Lymphocytes/immunology; Toll-Like Receptor 4/immunology&lt;/_keywords&gt;&lt;_language&gt;eng&lt;/_language&gt;&lt;_modified&gt;63229939&lt;/_modified&gt;&lt;_pages&gt;366-370&lt;/_pages&gt;&lt;_tertiary_title&gt;Nature&lt;/_tertiary_title&gt;&lt;_type_work&gt;Journal Article; Research Support, Non-U.S. Gov&amp;apos;t&lt;/_type_work&gt;&lt;_url&gt;http://www.ncbi.nlm.nih.gov/entrez/query.fcgi?cmd=Retrieve&amp;amp;db=pubmed&amp;amp;dopt=Abstract&amp;amp;list_uids=24572363&amp;amp;query_hl=1&lt;/_url&gt;&lt;_volume&gt;507&lt;/_volume&gt;&lt;/Details&gt;&lt;Extra&gt;&lt;DBUID&gt;{F96A950B-833F-4880-A151-76DA2D6A2879}&lt;/DBUID&gt;&lt;/Extra&gt;&lt;/Item&gt;&lt;/References&gt;&lt;/Group&gt;&lt;/Citation&gt;_x000a_"/>
    <w:docVar w:name="NE.Ref{A59CCE48-657D-479E-8418-C890A5A0B52D}" w:val=" ADDIN NE.Ref.{A59CCE48-657D-479E-8418-C890A5A0B52D}&lt;Citation&gt;&lt;Group&gt;&lt;References&gt;&lt;Item&gt;&lt;ID&gt;690&lt;/ID&gt;&lt;UID&gt;{491934A1-234F-4E9D-B0A5-6D4F301E9E0C}&lt;/UID&gt;&lt;Title&gt;The HMGB1-RAGE axis mediates traumatic brain injury-induced pulmonary dysfunction in lung transplantation&lt;/Title&gt;&lt;Template&gt;Journal Article&lt;/Template&gt;&lt;Star&gt;0&lt;/Star&gt;&lt;Tag&gt;0&lt;/Tag&gt;&lt;Author&gt;Weber, D J; Gracon, A S; Ripsch, M S; Fisher, A J; Cheon, B M; Pandya, P H; Vittal, R; Capitano, M L; Kim, Y; Allette, Y M; Riley, A A; McCarthy, B P; Territo, P R; Hutchins, G D; Broxmeyer, H E; Sandusky, G E; White, F A; Wilkes, D S&lt;/Author&gt;&lt;Year&gt;2014&lt;/Year&gt;&lt;Details&gt;&lt;_accession_num&gt;25186179&lt;/_accession_num&gt;&lt;_author_adr&gt;Center for Immunobiology, Indiana University School of Medicine, Indianapolis, IN 46202, USA. Department of Surgery, Indiana University School of Medicine, Indianapolis, IN 46202, USA.; Center for Immunobiology, Indiana University School of Medicine, Indianapolis, IN 46202, USA. Department of Surgery, Indiana University School of Medicine, Indianapolis, IN 46202, USA.; Department of Anesthesia, Paul and Carole Stark Neurosciences Research Institute, Indianapolis, IN 46202, USA.; Center for Immunobiology, Indiana University School of Medicine, Indianapolis, IN 46202, USA. Department of Anesthesia, Paul and Carole Stark Neurosciences Research Institute, Indianapolis, IN 46202, USA.; Department of Anesthesia, Paul and Carole Stark Neurosciences Research Institute, Indianapolis, IN 46202, USA.; Center for Immunobiology, Indiana University School of Medicine, Indianapolis, IN 46202, USA. Department of Microbiology and Immunology, Indiana University School  of Medicine, Indianapolis, IN 46202, USA.; Center for Immunobiology, Indiana University School of Medicine, Indianapolis, IN 46202, USA. Department of Microbiology and Immunology, Indiana University School  of Medicine, Indianapolis, IN 46202, USA.; Department of Microbiology and Immunology, Indiana University School of Medicine, Indianapolis, IN 46202, USA.; Department of Anesthesia, Paul and Carole Stark Neurosciences Research Institute, Indianapolis, IN 46202, USA.; Department of Anesthesia, Paul and Carole Stark Neurosciences Research Institute, Indianapolis, IN 46202, USA.; Department of Radiology and Imaging Sciences, Indiana University School of Medicine, Indianapolis, IN 46202, USA.; Department of Radiology and Imaging Sciences, Indiana University School of Medicine, Indianapolis, IN 46202, USA.; Department of Radiology and Imaging Sciences, Indiana University School of Medicine, Indianapolis, IN 46202, USA.; Department of Radiology and Imaging Sciences, Indiana University School of Medicine, Indianapolis, IN 46202, USA.; Department of Microbiology and Immunology, Indiana University School of Medicine, Indianapolis, IN 46202, USA.; Department of Pathology, Indiana University School of Medicine, Indianapolis, IN  46202, USA.; Center for Immunobiology, Indiana University School of Medicine, Indianapolis, IN 46202, USA. Department of Anesthesia, Paul and Carole Stark Neurosciences Research Institute, Indianapolis, IN 46202, USA.; Center for Immunobiology, Indiana University School of Medicine, Indianapolis, IN 46202, USA. Department of Microbiology and Immunology, Indiana University School  of Medicine, Indianapolis, IN 46202, USA. dwilkes@iupui.edu.&lt;/_author_adr&gt;&lt;_collection_scope&gt;SCIE&lt;/_collection_scope&gt;&lt;_created&gt;63229829&lt;/_created&gt;&lt;_date&gt;2014-09-03&lt;/_date&gt;&lt;_date_display&gt;2014 Sep 3&lt;/_date_display&gt;&lt;_db_updated&gt;PubMed&lt;/_db_updated&gt;&lt;_doi&gt;10.1126/scitranslmed.3009443&lt;/_doi&gt;&lt;_impact_factor&gt;  17.161&lt;/_impact_factor&gt;&lt;_isbn&gt;1946-6242 (Electronic); 1946-6234 (Linking)&lt;/_isbn&gt;&lt;_issue&gt;252&lt;/_issue&gt;&lt;_journal&gt;Sci Transl Med&lt;/_journal&gt;&lt;_keywords&gt;Acute Lung Injury/etiology/physiopathology; Adult; Animals; Antibodies, Neutralizing/pharmacology; Brain Injuries/complications/*metabolism/*physiopathology; Cardiac Output/drug effects; Epithelial Cells/drug effects/metabolism; Female; HMGB1 Protein/*metabolism; Humans; Interleukin-10/metabolism; Lung/drug effects/pathology/*physiopathology; *Lung Transplantation; Male; Mice, Inbred C57BL; NF-kappa B/metabolism; Peptides/metabolism; Receptor for Advanced Glycation End Products; Receptors, Immunologic/deficiency/*metabolism; Tissue Donors; Toll-Like Receptor 4/deficiency/metabolism&lt;/_keywords&gt;&lt;_language&gt;eng&lt;/_language&gt;&lt;_modified&gt;63229829&lt;/_modified&gt;&lt;_ori_publication&gt;Copyright (c) 2014, American Association for the Advancement of Science.&lt;/_ori_publication&gt;&lt;_pages&gt;252ra124&lt;/_pages&gt;&lt;_tertiary_title&gt;Science translational medicine&lt;/_tertiary_title&gt;&lt;_type_work&gt;Journal Article; Research Support, N.I.H., Extramural; Retracted Publication&lt;/_type_work&gt;&lt;_url&gt;http://www.ncbi.nlm.nih.gov/entrez/query.fcgi?cmd=Retrieve&amp;amp;db=pubmed&amp;amp;dopt=Abstract&amp;amp;list_uids=25186179&amp;amp;query_hl=1&lt;/_url&gt;&lt;_volume&gt;6&lt;/_volume&gt;&lt;/Details&gt;&lt;Extra&gt;&lt;DBUID&gt;{F96A950B-833F-4880-A151-76DA2D6A2879}&lt;/DBUID&gt;&lt;/Extra&gt;&lt;/Item&gt;&lt;/References&gt;&lt;/Group&gt;&lt;/Citation&gt;_x000a_"/>
    <w:docVar w:name="NE.Ref{B4887AD8-F4E1-4D69-8BCA-AA78696AD048}" w:val=" ADDIN NE.Ref.{B4887AD8-F4E1-4D69-8BCA-AA78696AD048}&lt;Citation&gt;&lt;Group&gt;&lt;References&gt;&lt;Item&gt;&lt;ID&gt;739&lt;/ID&gt;&lt;UID&gt;{DB673C16-487D-4E95-B54C-A474B0F03ABD}&lt;/UID&gt;&lt;Title&gt;Increased Number of Plasma B Cells Producing Autoantibodies Against Abeta42 Protofibrils in Alzheimer&amp;apos;s Disease&lt;/Title&gt;&lt;Template&gt;Journal Article&lt;/Template&gt;&lt;Star&gt;0&lt;/Star&gt;&lt;Tag&gt;0&lt;/Tag&gt;&lt;Author&gt;Sollvander, S; Ekholm-Pettersson, F; Brundin, R M; Westman, G; Kilander, L; Paulie, S; Lannfelt, L; Sehlin, D&lt;/Author&gt;&lt;Year&gt;2015&lt;/Year&gt;&lt;Details&gt;&lt;_accession_num&gt;26401929&lt;/_accession_num&gt;&lt;_author_adr&gt;Department of Public Health &amp;amp;amp; Caring Sciences/Molecular Geriatrics, Rudbeck Laboratory, Uppsala University, Uppsala, Sweden.; Department of Public Health &amp;amp;amp; Caring Sciences/Molecular Geriatrics, Rudbeck Laboratory, Uppsala University, Uppsala, Sweden.; Department of Public Health &amp;amp;amp; Caring Sciences/Molecular Geriatrics, Rudbeck Laboratory, Uppsala University, Uppsala, Sweden.; Department of Medical Sciences, Uppsala University, Uppsala, Sweden.; Department of Public Health &amp;amp;amp; Caring Sciences/Molecular Geriatrics, Rudbeck Laboratory, Uppsala University, Uppsala, Sweden.; Mabtech AB, Nacka Strand, Sweden.; Department of Public Health &amp;amp;amp; Caring Sciences/Molecular Geriatrics, Rudbeck Laboratory, Uppsala University, Uppsala, Sweden.; Department of Public Health &amp;amp;amp; Caring Sciences/Molecular Geriatrics, Rudbeck Laboratory, Uppsala University, Uppsala, Sweden.&lt;/_author_adr&gt;&lt;_collection_scope&gt;SCIE&lt;/_collection_scope&gt;&lt;_created&gt;63229968&lt;/_created&gt;&lt;_date&gt;2015-01-20&lt;/_date&gt;&lt;_date_display&gt;2015&lt;/_date_display&gt;&lt;_db_updated&gt;PubMed&lt;/_db_updated&gt;&lt;_doi&gt;10.3233/JAD-150236&lt;/_doi&gt;&lt;_impact_factor&gt;   3.909&lt;/_impact_factor&gt;&lt;_isbn&gt;1875-8908 (Electronic); 1387-2877 (Linking)&lt;/_isbn&gt;&lt;_issue&gt;1&lt;/_issue&gt;&lt;_journal&gt;J Alzheimers Dis&lt;/_journal&gt;&lt;_keywords&gt;Aged; Aged, 80 and over; Alzheimer Disease/*blood/*immunology; Amyloid beta-Peptides/*immunology/metabolism; Autoantibodies/*metabolism; B-Lymphocytes/*metabolism; Biotinylation; Case-Control Studies; Enzyme-Linked Immunosorbent Assay; Female; Flow Cytometry; Humans; Male; Mental Status Schedule; Peptide Fragments/*immunology/metabolismAmyloid-beta; amyloid-beta protofibrils; anti-amyloid-beta antibodies; enzyme-linked immunospot assay&lt;/_keywords&gt;&lt;_language&gt;eng&lt;/_language&gt;&lt;_modified&gt;63229968&lt;/_modified&gt;&lt;_pages&gt;63-72&lt;/_pages&gt;&lt;_tertiary_title&gt;Journal of Alzheimer&amp;apos;s disease : JAD&lt;/_tertiary_title&gt;&lt;_type_work&gt;Journal Article; Research Support, Non-U.S. Gov&amp;apos;t&lt;/_type_work&gt;&lt;_url&gt;http://www.ncbi.nlm.nih.gov/entrez/query.fcgi?cmd=Retrieve&amp;amp;db=pubmed&amp;amp;dopt=Abstract&amp;amp;list_uids=26401929&amp;amp;query_hl=1&lt;/_url&gt;&lt;_volume&gt;48&lt;/_volume&gt;&lt;/Details&gt;&lt;Extra&gt;&lt;DBUID&gt;{F96A950B-833F-4880-A151-76DA2D6A2879}&lt;/DBUID&gt;&lt;/Extra&gt;&lt;/Item&gt;&lt;/References&gt;&lt;/Group&gt;&lt;Group&gt;&lt;References&gt;&lt;Item&gt;&lt;ID&gt;601&lt;/ID&gt;&lt;UID&gt;{6CD7245F-608C-42BF-B7A0-D75D58EEE2FE}&lt;/UID&gt;&lt;Title&gt;The adaptive immune system restrains Alzheimer&amp;apos;s disease pathogenesis by modulating microglial function&lt;/Title&gt;&lt;Template&gt;Journal Article&lt;/Template&gt;&lt;Star&gt;0&lt;/Star&gt;&lt;Tag&gt;0&lt;/Tag&gt;&lt;Author&gt;Marsh, S E; Abud, E M; Lakatos, A; Karimzadeh, A; Yeung, S T; Davtyan, H; Fote, G M; Lau, L; Weinger, J G; Lane, T E; Inlay, M A; Poon, W W; Blurton-Jones, M&lt;/Author&gt;&lt;Year&gt;2016&lt;/Year&gt;&lt;Details&gt;&lt;_accession_num&gt;26884167&lt;/_accession_num&gt;&lt;_author_adr&gt;Department of Neurobiology and Behavior, University of California, Irvine, CA 92697; Sue and Bill Gross Stem Cell Research Center, University of California, Irvine, CA 92697;; Department of Neurobiology and Behavior, University of California, Irvine, CA 92697; Sue and Bill Gross Stem Cell Research Center, University of California, Irvine, CA 92697;; Institute for Memory Impairments and Neurological Disorders, University of California, Irvine, CA 92697;; Sue and Bill Gross Stem Cell Research Center, University of California, Irvine, CA 92697; Department of Molecular Biology and Biochemistry, University of California, Irvine, CA 92697;; Institute for Memory Impairments and Neurological Disorders, University of California, Irvine, CA 92697;; Department of Molecular Immunology, Institute for Molecular Medicine, Huntington  Beach, CA 92647.; Department of Neurobiology and Behavior, University of California, Irvine, CA 92697; Sue and Bill Gross Stem Cell Research Center, University of California, Irvine, CA 92697;; Institute for Memory Impairments and Neurological Disorders, University of California, Irvine, CA 92697;; Department of Molecular Biology and Biochemistry, University of California, Irvine, CA 92697;; Sue and Bill Gross Stem Cell Research Center, University of California, Irvine, CA 92697; Institute for Memory Impairments and Neurological Disorders, University of California, Irvine, CA 92697; Department of Molecular Biology and Biochemistry, University of California, Irvine, CA 92697;; Sue and Bill Gross Stem Cell Research Center, University of California, Irvine, CA 92697; Department of Molecular Biology and Biochemistry, University of California, Irvine, CA 92697;; Institute for Memory Impairments and Neurological Disorders, University of California, Irvine, CA 92697;; Department of Neurobiology and Behavior, University of California, Irvine, CA 92697; Sue and Bill Gross Stem Cell Research Center, University of California, Irvine, CA 92697; Institute for Memory Impairments and Neurological Disorders, University of California, Irvine, CA 92697; mblurton@uci.edu.&lt;/_author_adr&gt;&lt;_created&gt;63170950&lt;/_created&gt;&lt;_date&gt;2016-03-01&lt;/_date&gt;&lt;_date_display&gt;2016 Mar 1&lt;/_date_display&gt;&lt;_db_updated&gt;PubMed&lt;/_db_updated&gt;&lt;_doi&gt;10.1073/pnas.1525466113&lt;/_doi&gt;&lt;_impact_factor&gt;   9.412&lt;/_impact_factor&gt;&lt;_isbn&gt;1091-6490 (Electronic); 0027-8424 (Linking)&lt;/_isbn&gt;&lt;_issue&gt;9&lt;/_issue&gt;&lt;_journal&gt;Proc Natl Acad Sci U S A&lt;/_journal&gt;&lt;_keywords&gt;*Adaptation, Physiological; Alzheimer Disease/immunology/*physiopathology; Amyloid beta-Peptides/metabolism; Animals; Humans; Immunoglobulin G/blood; Mice; Microglia/*pathology; PhagocytosisAlzheimer&amp;apos;s; IgG; amyloid; inflammation; microglia&lt;/_keywords&gt;&lt;_language&gt;eng&lt;/_language&gt;&lt;_modified&gt;63170950&lt;/_modified&gt;&lt;_pages&gt;E1316-25&lt;/_pages&gt;&lt;_tertiary_title&gt;Proceedings of the National Academy of Sciences of the United States of America&lt;/_tertiary_title&gt;&lt;_type_work&gt;Journal Article; Research Support, N.I.H., Extramural; Research Support, Non-U.S. Gov&amp;apos;t&lt;/_type_work&gt;&lt;_url&gt;http://www.ncbi.nlm.nih.gov/entrez/query.fcgi?cmd=Retrieve&amp;amp;db=pubmed&amp;amp;dopt=Abstract&amp;amp;list_uids=26884167&amp;amp;query_hl=1&lt;/_url&gt;&lt;_volume&gt;113&lt;/_volume&gt;&lt;/Details&gt;&lt;Extra&gt;&lt;DBUID&gt;{F96A950B-833F-4880-A151-76DA2D6A2879}&lt;/DBUID&gt;&lt;/Extra&gt;&lt;/Item&gt;&lt;/References&gt;&lt;/Group&gt;&lt;/Citation&gt;_x000a_"/>
    <w:docVar w:name="NE.Ref{B5CD5EBE-39C9-421D-8176-20654CA48B53}" w:val=" ADDIN NE.Ref.{B5CD5EBE-39C9-421D-8176-20654CA48B53}&lt;Citation&gt;&lt;Group&gt;&lt;References&gt;&lt;Item&gt;&lt;ID&gt;434&lt;/ID&gt;&lt;UID&gt;{2BE8E8DD-8272-40A4-9569-832C09628BDD}&lt;/UID&gt;&lt;Title&gt;Clearance systems in the brain-implications for Alzheimer disease&lt;/Title&gt;&lt;Template&gt;Journal Article&lt;/Template&gt;&lt;Star&gt;0&lt;/Star&gt;&lt;Tag&gt;0&lt;/Tag&gt;&lt;Author&gt;Tarasoff-Conway, J M; Carare, R O; Osorio, R S; Glodzik, L; Butler, T; Fieremans, E; Axel, L; Rusinek, H; Nicholson, C; Zlokovic, B V; Frangione, B; Blennow, K; Menard, J; Zetterberg, H; Wisniewski, T; de Leon, M J&lt;/Author&gt;&lt;Year&gt;2015&lt;/Year&gt;&lt;Details&gt;&lt;_accession_num&gt;26195256&lt;/_accession_num&gt;&lt;_author_adr&gt;New York University School of Medicine, 660 First Avenue, New York, NY 10016, USA.; University of Southampton, Faculty of Medicine, Institute for Life Sciences, Southampton General Hospital, Southampton Hampshire, SO16 6YD, UK.; New York University School of Medicine, 145 East 32nd Street, New York, NY 10016, USA.; New York University School of Medicine, 145 East 32nd Street, New York, NY 10016, USA.; New York University School of Medicine, 145 East 32nd Street, New York, NY 10016, USA.; New York University School of Medicine, 660 First Avenue, New York, NY 10016, USA.; New York University School of Medicine, 660 First Avenue, New York, NY 10016, USA.; New York University School of Medicine, 145 East 32nd Street, New York, NY 10016, USA.; New York University School of Medicine, 660 First Avenue, New York, NY 10016, USA.; Zilkha Neurogenetic Institute at Keck School of Medicine of University of Southern California, 1501 San Pablo Street Los Angeles, CA 90089, USA.; New York University School of Medicine, 145 East 32nd Street, New York, NY 10016, USA.; The Sahlgrenska Academy at the University of Gothenburg, S-431 80 Molndal, Sweden.; Universite Paris-Descartes, 12 Rue de l&amp;apos;Ecole de Medecine, 75006 Paris, France.; The Sahlgrenska Academy at the University of Gothenburg, S-431 80 Molndal, Sweden.; New York University School of Medicine, 145 East 32nd Street, New York, NY 10016, USA.; New York University School of Medicine, 145 East 32nd Street, New York, NY 10016, USA.&lt;/_author_adr&gt;&lt;_collection_scope&gt;SCI;SCIE&lt;/_collection_scope&gt;&lt;_created&gt;63169418&lt;/_created&gt;&lt;_date&gt;2015-08-01&lt;/_date&gt;&lt;_date_display&gt;2015 Aug&lt;/_date_display&gt;&lt;_db_updated&gt;PubMed&lt;/_db_updated&gt;&lt;_doi&gt;10.1038/nrneurol.2015.119&lt;/_doi&gt;&lt;_impact_factor&gt;  21.155&lt;/_impact_factor&gt;&lt;_isbn&gt;1759-4766 (Electronic); 1759-4758 (Linking)&lt;/_isbn&gt;&lt;_issue&gt;8&lt;/_issue&gt;&lt;_journal&gt;Nat Rev Neurol&lt;/_journal&gt;&lt;_keywords&gt;Absorption, Physiological/physiology; Alzheimer Disease/*metabolism/pathology; Amyloid beta-Peptides/metabolism; Biomarkers/metabolism; Blood-Brain Barrier/metabolism; Brain/blood supply/*metabolism; Cerebrospinal Fluid Proteins/metabolism; Extracellular Fluid/metabolism; Humans; Lymphatic System/physiology; Proteolysis; Risk Factors; tau Proteins/metabolism&lt;/_keywords&gt;&lt;_language&gt;eng&lt;/_language&gt;&lt;_modified&gt;63169418&lt;/_modified&gt;&lt;_pages&gt;457-70&lt;/_pages&gt;&lt;_tertiary_title&gt;Nature reviews. Neurology&lt;/_tertiary_title&gt;&lt;_type_work&gt;Journal Article; Research Support, N.I.H., Extramural; Research Support, Non-U.S. Gov&amp;apos;t; Review&lt;/_type_work&gt;&lt;_url&gt;http://www.ncbi.nlm.nih.gov/entrez/query.fcgi?cmd=Retrieve&amp;amp;db=pubmed&amp;amp;dopt=Abstract&amp;amp;list_uids=26195256&amp;amp;query_hl=1&lt;/_url&gt;&lt;_volume&gt;11&lt;/_volume&gt;&lt;/Details&gt;&lt;Extra&gt;&lt;DBUID&gt;{F96A950B-833F-4880-A151-76DA2D6A2879}&lt;/DBUID&gt;&lt;/Extra&gt;&lt;/Item&gt;&lt;/References&gt;&lt;/Group&gt;&lt;/Citation&gt;_x000a_"/>
    <w:docVar w:name="NE.Ref{B6D53E89-A779-45B1-AB65-B3B0D08213EA}" w:val=" ADDIN NE.Ref.{B6D53E89-A779-45B1-AB65-B3B0D08213EA}&lt;Citation&gt;&lt;Group&gt;&lt;References&gt;&lt;Item&gt;&lt;ID&gt;726&lt;/ID&gt;&lt;UID&gt;{754AFF27-FF1E-4481-BEB2-3B1BB0611D9C}&lt;/UID&gt;&lt;Title&gt;IL-35-producing B cells are critical regulators of immunity during autoimmune and infectious diseases&lt;/Title&gt;&lt;Template&gt;Journal Article&lt;/Template&gt;&lt;Star&gt;0&lt;/Star&gt;&lt;Tag&gt;0&lt;/Tag&gt;&lt;Author&gt;Shen, P; Roch, T; Lampropoulou, V; O&amp;apos;Connor, R A; Stervbo, U; Hilgenberg, E; Ries, S; Dang, V D; Jaimes, Y; Daridon, C; Li, R; Jouneau, L; Boudinot, P; Wilantri, S; Sakwa, I; Miyazaki, Y; Leech, M D; McPherson, R C; Wirtz, S; Neurath, M; Hoehlig, K; Meinl, E; Grutzkau, A; Grun, J R; Horn, K; Kuhl, A A; Dorner, T; Bar-Or, A; Kaufmann, SHE; Anderton, S M; Fillatreau, S&lt;/Author&gt;&lt;Year&gt;2014&lt;/Year&gt;&lt;Details&gt;&lt;_accession_num&gt;24572363&lt;/_accession_num&gt;&lt;_author_adr&gt;Deutsches Rheuma-Forschungszentrum, a Leibniz Institute, Chariteplatz 1, 10117 Berlin, Germany.; Deutsches Rheuma-Forschungszentrum, a Leibniz Institute, Chariteplatz 1, 10117 Berlin, Germany.; Deutsches Rheuma-Forschungszentrum, a Leibniz Institute, Chariteplatz 1, 10117 Berlin, Germany.; University of Edinburgh, Centre for Inflammation Research and Centre for Multiple Sclerosis Research, Queen&amp;apos;s Medical Research Institute, Edinburgh, EH16 4TJ, United Kingdom.; Deutsches Rheuma-Forschungszentrum, a Leibniz Institute, Chariteplatz 1, 10117 Berlin, Germany.; Deutsches Rheuma-Forschungszentrum, a Leibniz Institute, Chariteplatz 1, 10117 Berlin, Germany.; Deutsches Rheuma-Forschungszentrum, a Leibniz Institute, Chariteplatz 1, 10117 Berlin, Germany.; Deutsches Rheuma-Forschungszentrum, a Leibniz Institute, Chariteplatz 1, 10117 Berlin, Germany.; Deutsches Rheuma-Forschungszentrum, a Leibniz Institute, Chariteplatz 1, 10117 Berlin, Germany.; Deutsches Rheuma-Forschungszentrum, a Leibniz Institute, Chariteplatz 1, 10117 Berlin, Germany.; Charite Universitatsmedizin Berlin, CC12, Dept. Medicine/Rheumatology and Clinical Immunology, 10117 Berlin, Germany.; Neuroimmunology Unit, Montreal Neurological Institute and Hospital, McGill University, Montreal, Quebec, H3A2B4, Canada.; Virologie et Immunologie Moleculaires, INRA, 78352 Jouy-en-Josas, France.; Virologie et Immunologie Moleculaires, INRA, 78352 Jouy-en-Josas, France.; Deutsches Rheuma-Forschungszentrum, a Leibniz Institute, Chariteplatz 1, 10117 Berlin, Germany.; Deutsches Rheuma-Forschungszentrum, a Leibniz Institute, Chariteplatz 1, 10117 Berlin, Germany.; Neuroimmunology Unit, Montreal Neurological Institute and Hospital, McGill University, Montreal, Quebec, H3A2B4, Canada.; University of Edinburgh, Centre for Inflammation Research and Centre for Multiple Sclerosis Research, Queen&amp;apos;s Medical Research Institute, Edinburgh, EH16 4TJ, United Kingdom.; University of Edinburgh, Centre for Inflammation Research and Centre for Multiple Sclerosis Research, Queen&amp;apos;s Medical Research Institute, Edinburgh, EH16 4TJ, United Kingdom.; Medical Clinic 1, Kussmaul Campus for Medical Research, University of Erlangen-Nurnberg, Germany.; Medical Clinic 1, Kussmaul Campus for Medical Research, University of Erlangen-Nurnberg, Germany.; Deutsches Rheuma-Forschungszentrum, a Leibniz Institute, Chariteplatz 1, 10117 Berlin, Germany.; Institut fur Klinische Neuroimmunologie Klinikum der Ludwig-Maximilians-Universitat Munchen, 81377 Munchen, Germany.; Deutsches Rheuma-Forschungszentrum, a Leibniz Institute, Chariteplatz 1, 10117 Berlin, Germany.; Deutsches Rheuma-Forschungszentrum, a Leibniz Institute, Chariteplatz 1, 10117 Berlin, Germany.; Deutsches Rheuma-Forschungszentrum, a Leibniz Institute, Chariteplatz 1, 10117 Berlin, Germany.; Immunpathologie, Research Center ImmunoSciences, 12203 Berlin, Germany.; Deutsches Rheuma-Forschungszentrum, a Leibniz Institute, Chariteplatz 1, 10117 Berlin, Germany.; Charite Universitatsmedizin Berlin, CC12, Dept. Medicine/Rheumatology and Clinical Immunology, 10117 Berlin, Germany.; Neuroimmunology Unit, Montreal Neurological Institute and Hospital, McGill University, Montreal, Quebec, H3A2B4, Canada.; Max Planck Institute of Infection Biology, Department of Immunology, Chariteplatz 1, 10117 Berlin, Germany.; University of Edinburgh, Centre for Inflammation Research and Centre for Multiple Sclerosis Research, Queen&amp;apos;s Medical Research Institute, Edinburgh, EH16 4TJ, United Kingdom.; Deutsches Rheuma-Forschungszentrum, a Leibniz Institute, Chariteplatz 1, 10117 Berlin, Germany.&lt;/_author_adr&gt;&lt;_collection_scope&gt;SCI;SCIE&lt;/_collection_scope&gt;&lt;_created&gt;63229939&lt;/_created&gt;&lt;_date&gt;2014-03-20&lt;/_date&gt;&lt;_date_display&gt;2014 Mar 20&lt;/_date_display&gt;&lt;_db_updated&gt;PubMed&lt;/_db_updated&gt;&lt;_doi&gt;10.1038/nature12979&lt;/_doi&gt;&lt;_impact_factor&gt;  43.070&lt;/_impact_factor&gt;&lt;_isbn&gt;1476-4687 (Electronic); 0028-0836 (Linking)&lt;/_isbn&gt;&lt;_issue&gt;7492&lt;/_issue&gt;&lt;_journal&gt;Nature&lt;/_journal&gt;&lt;_keywords&gt;Animals; Antigen-Presenting Cells/immunology/metabolism; B-Lymphocytes/*immunology/*metabolism; CD40 Antigens/immunology; Encephalomyelitis, Autoimmune, Experimental/*immunology; Female; Humans; Immunity/*immunology; Interleukin-10/metabolism; Interleukins/immunology/*metabolism; Lymphocyte Activation; Macrophages/cytology/immunology; Male; Mice; Plasma Cells/immunology/metabolism; Salmonella Infections/*immunology/microbiology; T-Lymphocytes/immunology; Toll-Like Receptor 4/immunology&lt;/_keywords&gt;&lt;_language&gt;eng&lt;/_language&gt;&lt;_modified&gt;63229939&lt;/_modified&gt;&lt;_pages&gt;366-370&lt;/_pages&gt;&lt;_tertiary_title&gt;Nature&lt;/_tertiary_title&gt;&lt;_type_work&gt;Journal Article; Research Support, Non-U.S. Gov&amp;apos;t&lt;/_type_work&gt;&lt;_url&gt;http://www.ncbi.nlm.nih.gov/entrez/query.fcgi?cmd=Retrieve&amp;amp;db=pubmed&amp;amp;dopt=Abstract&amp;amp;list_uids=24572363&amp;amp;query_hl=1&lt;/_url&gt;&lt;_volume&gt;507&lt;/_volume&gt;&lt;/Details&gt;&lt;Extra&gt;&lt;DBUID&gt;{F96A950B-833F-4880-A151-76DA2D6A2879}&lt;/DBUID&gt;&lt;/Extra&gt;&lt;/Item&gt;&lt;/References&gt;&lt;/Group&gt;&lt;/Citation&gt;_x000a_"/>
    <w:docVar w:name="NE.Ref{BA7C546D-7CDA-4233-9A6A-F1944966B492}" w:val=" ADDIN NE.Ref.{BA7C546D-7CDA-4233-9A6A-F1944966B492}&lt;Citation&gt;&lt;Group&gt;&lt;References&gt;&lt;Item&gt;&lt;ID&gt;601&lt;/ID&gt;&lt;UID&gt;{6CD7245F-608C-42BF-B7A0-D75D58EEE2FE}&lt;/UID&gt;&lt;Title&gt;The adaptive immune system restrains Alzheimer&amp;apos;s disease pathogenesis by modulating microglial function&lt;/Title&gt;&lt;Template&gt;Journal Article&lt;/Template&gt;&lt;Star&gt;0&lt;/Star&gt;&lt;Tag&gt;0&lt;/Tag&gt;&lt;Author&gt;Marsh, S E; Abud, E M; Lakatos, A; Karimzadeh, A; Yeung, S T; Davtyan, H; Fote, G M; Lau, L; Weinger, J G; Lane, T E; Inlay, M A; Poon, W W; Blurton-Jones, M&lt;/Author&gt;&lt;Year&gt;2016&lt;/Year&gt;&lt;Details&gt;&lt;_accession_num&gt;26884167&lt;/_accession_num&gt;&lt;_author_adr&gt;Department of Neurobiology and Behavior, University of California, Irvine, CA 92697; Sue and Bill Gross Stem Cell Research Center, University of California, Irvine, CA 92697;; Department of Neurobiology and Behavior, University of California, Irvine, CA 92697; Sue and Bill Gross Stem Cell Research Center, University of California, Irvine, CA 92697;; Institute for Memory Impairments and Neurological Disorders, University of California, Irvine, CA 92697;; Sue and Bill Gross Stem Cell Research Center, University of California, Irvine, CA 92697; Department of Molecular Biology and Biochemistry, University of California, Irvine, CA 92697;; Institute for Memory Impairments and Neurological Disorders, University of California, Irvine, CA 92697;; Department of Molecular Immunology, Institute for Molecular Medicine, Huntington  Beach, CA 92647.; Department of Neurobiology and Behavior, University of California, Irvine, CA 92697; Sue and Bill Gross Stem Cell Research Center, University of California, Irvine, CA 92697;; Institute for Memory Impairments and Neurological Disorders, University of California, Irvine, CA 92697;; Department of Molecular Biology and Biochemistry, University of California, Irvine, CA 92697;; Sue and Bill Gross Stem Cell Research Center, University of California, Irvine, CA 92697; Institute for Memory Impairments and Neurological Disorders, University of California, Irvine, CA 92697; Department of Molecular Biology and Biochemistry, University of California, Irvine, CA 92697;; Sue and Bill Gross Stem Cell Research Center, University of California, Irvine, CA 92697; Department of Molecular Biology and Biochemistry, University of California, Irvine, CA 92697;; Institute for Memory Impairments and Neurological Disorders, University of California, Irvine, CA 92697;; Department of Neurobiology and Behavior, University of California, Irvine, CA 92697; Sue and Bill Gross Stem Cell Research Center, University of California, Irvine, CA 92697; Institute for Memory Impairments and Neurological Disorders, University of California, Irvine, CA 92697; mblurton@uci.edu.&lt;/_author_adr&gt;&lt;_created&gt;63170950&lt;/_created&gt;&lt;_date&gt;2016-03-01&lt;/_date&gt;&lt;_date_display&gt;2016 Mar 1&lt;/_date_display&gt;&lt;_db_updated&gt;PubMed&lt;/_db_updated&gt;&lt;_doi&gt;10.1073/pnas.1525466113&lt;/_doi&gt;&lt;_impact_factor&gt;   9.412&lt;/_impact_factor&gt;&lt;_isbn&gt;1091-6490 (Electronic); 0027-8424 (Linking)&lt;/_isbn&gt;&lt;_issue&gt;9&lt;/_issue&gt;&lt;_journal&gt;Proc Natl Acad Sci U S A&lt;/_journal&gt;&lt;_keywords&gt;*Adaptation, Physiological; Alzheimer Disease/immunology/*physiopathology; Amyloid beta-Peptides/metabolism; Animals; Humans; Immunoglobulin G/blood; Mice; Microglia/*pathology; PhagocytosisAlzheimer&amp;apos;s; IgG; amyloid; inflammation; microglia&lt;/_keywords&gt;&lt;_language&gt;eng&lt;/_language&gt;&lt;_modified&gt;63170950&lt;/_modified&gt;&lt;_pages&gt;E1316-25&lt;/_pages&gt;&lt;_tertiary_title&gt;Proceedings of the National Academy of Sciences of the United States of America&lt;/_tertiary_title&gt;&lt;_type_work&gt;Journal Article; Research Support, N.I.H., Extramural; Research Support, Non-U.S. Gov&amp;apos;t&lt;/_type_work&gt;&lt;_url&gt;http://www.ncbi.nlm.nih.gov/entrez/query.fcgi?cmd=Retrieve&amp;amp;db=pubmed&amp;amp;dopt=Abstract&amp;amp;list_uids=26884167&amp;amp;query_hl=1&lt;/_url&gt;&lt;_volume&gt;113&lt;/_volume&gt;&lt;/Details&gt;&lt;Extra&gt;&lt;DBUID&gt;{F96A950B-833F-4880-A151-76DA2D6A2879}&lt;/DBUID&gt;&lt;/Extra&gt;&lt;/Item&gt;&lt;/References&gt;&lt;/Group&gt;&lt;/Citation&gt;_x000a_"/>
    <w:docVar w:name="NE.Ref{C40837BC-7DAE-4AFC-9D03-D5823EE53501}" w:val=" ADDIN NE.Ref.{C40837BC-7DAE-4AFC-9D03-D5823EE53501}&lt;Citation&gt;&lt;Group&gt;&lt;References&gt;&lt;Item&gt;&lt;ID&gt;433&lt;/ID&gt;&lt;UID&gt;{4790163D-32A7-43C6-AA69-8B60276D13D8}&lt;/UID&gt;&lt;Title&gt;Alzheimer Disease: An Update on Pathobiology and Treatment Strategies&lt;/Title&gt;&lt;Template&gt;Journal Article&lt;/Template&gt;&lt;Star&gt;0&lt;/Star&gt;&lt;Tag&gt;0&lt;/Tag&gt;&lt;Author&gt;Long, J M; Holtzman, D M&lt;/Author&gt;&lt;Year&gt;2019&lt;/Year&gt;&lt;Details&gt;&lt;_accession_num&gt;31564456&lt;/_accession_num&gt;&lt;_author_adr&gt;Department of Neurology, Hope Center for Neurological Disorders, Charles F. and Joanne Knight Alzheimer&amp;apos;s Disease Research Center, Washington University School of Medicine, St. Louis, MO 63110, USA.; Department of Neurology, Hope Center for Neurological Disorders, Charles F. and Joanne Knight Alzheimer&amp;apos;s Disease Research Center, Washington University School of Medicine, St. Louis, MO 63110, USA. Electronic address: holtzman@wustl.edu.&lt;/_author_adr&gt;&lt;_collection_scope&gt;SCI;SCIE&lt;/_collection_scope&gt;&lt;_created&gt;63169417&lt;/_created&gt;&lt;_date&gt;2019-10-03&lt;/_date&gt;&lt;_date_display&gt;2019 Oct 3&lt;/_date_display&gt;&lt;_db_updated&gt;PubMed&lt;/_db_updated&gt;&lt;_doi&gt;10.1016/j.cell.2019.09.001&lt;/_doi&gt;&lt;_impact_factor&gt;  36.216&lt;/_impact_factor&gt;&lt;_isbn&gt;1097-4172 (Electronic); 0092-8674 (Linking)&lt;/_isbn&gt;&lt;_issue&gt;2&lt;/_issue&gt;&lt;_journal&gt;Cell&lt;/_journal&gt;&lt;_language&gt;eng&lt;/_language&gt;&lt;_modified&gt;63169417&lt;/_modified&gt;&lt;_ori_publication&gt;Copyright (c) 2019 Elsevier Inc. All rights reserved.&lt;/_ori_publication&gt;&lt;_pages&gt;312-339&lt;/_pages&gt;&lt;_tertiary_title&gt;Cell&lt;/_tertiary_title&gt;&lt;_type_work&gt;Journal Article; Review&lt;/_type_work&gt;&lt;_url&gt;http://www.ncbi.nlm.nih.gov/entrez/query.fcgi?cmd=Retrieve&amp;amp;db=pubmed&amp;amp;dopt=Abstract&amp;amp;list_uids=31564456&amp;amp;query_hl=1&lt;/_url&gt;&lt;_volume&gt;179&lt;/_volume&gt;&lt;/Details&gt;&lt;Extra&gt;&lt;DBUID&gt;{F96A950B-833F-4880-A151-76DA2D6A2879}&lt;/DBUID&gt;&lt;/Extra&gt;&lt;/Item&gt;&lt;/References&gt;&lt;/Group&gt;&lt;/Citation&gt;_x000a_"/>
    <w:docVar w:name="NE.Ref{C423E612-73B7-4E2C-ACC1-5B29A614FE29}" w:val=" ADDIN NE.Ref.{C423E612-73B7-4E2C-ACC1-5B29A614FE29}&lt;Citation&gt;&lt;Group&gt;&lt;References&gt;&lt;Item&gt;&lt;ID&gt;601&lt;/ID&gt;&lt;UID&gt;{6CD7245F-608C-42BF-B7A0-D75D58EEE2FE}&lt;/UID&gt;&lt;Title&gt;The adaptive immune system restrains Alzheimer&amp;apos;s disease pathogenesis by modulating microglial function&lt;/Title&gt;&lt;Template&gt;Journal Article&lt;/Template&gt;&lt;Star&gt;0&lt;/Star&gt;&lt;Tag&gt;0&lt;/Tag&gt;&lt;Author&gt;Marsh, S E; Abud, E M; Lakatos, A; Karimzadeh, A; Yeung, S T; Davtyan, H; Fote, G M; Lau, L; Weinger, J G; Lane, T E; Inlay, M A; Poon, W W; Blurton-Jones, M&lt;/Author&gt;&lt;Year&gt;2016&lt;/Year&gt;&lt;Details&gt;&lt;_accession_num&gt;26884167&lt;/_accession_num&gt;&lt;_author_adr&gt;Department of Neurobiology and Behavior, University of California, Irvine, CA 92697; Sue and Bill Gross Stem Cell Research Center, University of California, Irvine, CA 92697;; Department of Neurobiology and Behavior, University of California, Irvine, CA 92697; Sue and Bill Gross Stem Cell Research Center, University of California, Irvine, CA 92697;; Institute for Memory Impairments and Neurological Disorders, University of California, Irvine, CA 92697;; Sue and Bill Gross Stem Cell Research Center, University of California, Irvine, CA 92697; Department of Molecular Biology and Biochemistry, University of California, Irvine, CA 92697;; Institute for Memory Impairments and Neurological Disorders, University of California, Irvine, CA 92697;; Department of Molecular Immunology, Institute for Molecular Medicine, Huntington  Beach, CA 92647.; Department of Neurobiology and Behavior, University of California, Irvine, CA 92697; Sue and Bill Gross Stem Cell Research Center, University of California, Irvine, CA 92697;; Institute for Memory Impairments and Neurological Disorders, University of California, Irvine, CA 92697;; Department of Molecular Biology and Biochemistry, University of California, Irvine, CA 92697;; Sue and Bill Gross Stem Cell Research Center, University of California, Irvine, CA 92697; Institute for Memory Impairments and Neurological Disorders, University of California, Irvine, CA 92697; Department of Molecular Biology and Biochemistry, University of California, Irvine, CA 92697;; Sue and Bill Gross Stem Cell Research Center, University of California, Irvine, CA 92697; Department of Molecular Biology and Biochemistry, University of California, Irvine, CA 92697;; Institute for Memory Impairments and Neurological Disorders, University of California, Irvine, CA 92697;; Department of Neurobiology and Behavior, University of California, Irvine, CA 92697; Sue and Bill Gross Stem Cell Research Center, University of California, Irvine, CA 92697; Institute for Memory Impairments and Neurological Disorders, University of California, Irvine, CA 92697; mblurton@uci.edu.&lt;/_author_adr&gt;&lt;_created&gt;63170950&lt;/_created&gt;&lt;_date&gt;2016-03-01&lt;/_date&gt;&lt;_date_display&gt;2016 Mar 1&lt;/_date_display&gt;&lt;_db_updated&gt;PubMed&lt;/_db_updated&gt;&lt;_doi&gt;10.1073/pnas.1525466113&lt;/_doi&gt;&lt;_impact_factor&gt;   9.412&lt;/_impact_factor&gt;&lt;_isbn&gt;1091-6490 (Electronic); 0027-8424 (Linking)&lt;/_isbn&gt;&lt;_issue&gt;9&lt;/_issue&gt;&lt;_journal&gt;Proc Natl Acad Sci U S A&lt;/_journal&gt;&lt;_keywords&gt;*Adaptation, Physiological; Alzheimer Disease/immunology/*physiopathology; Amyloid beta-Peptides/metabolism; Animals; Humans; Immunoglobulin G/blood; Mice; Microglia/*pathology; PhagocytosisAlzheimer&amp;apos;s; IgG; amyloid; inflammation; microglia&lt;/_keywords&gt;&lt;_language&gt;eng&lt;/_language&gt;&lt;_modified&gt;63430408&lt;/_modified&gt;&lt;_pages&gt;E1316-25&lt;/_pages&gt;&lt;_tertiary_title&gt;Proceedings of the National Academy of Sciences of the United States of America&lt;/_tertiary_title&gt;&lt;_type_work&gt;Journal Article; Research Support, N.I.H., Extramural; Research Support, Non-U.S. Gov&amp;apos;t&lt;/_type_work&gt;&lt;_url&gt;http://www.ncbi.nlm.nih.gov/entrez/query.fcgi?cmd=Retrieve&amp;amp;db=pubmed&amp;amp;dopt=Abstract&amp;amp;list_uids=26884167&amp;amp;query_hl=1&lt;/_url&gt;&lt;_volume&gt;113&lt;/_volume&gt;&lt;/Details&gt;&lt;Extra&gt;&lt;DBUID&gt;{F96A950B-833F-4880-A151-76DA2D6A2879}&lt;/DBUID&gt;&lt;/Extra&gt;&lt;/Item&gt;&lt;/References&gt;&lt;/Group&gt;&lt;/Citation&gt;_x000a_"/>
    <w:docVar w:name="NE.Ref{C589C0BE-D39B-4855-9E42-EDE99798A330}" w:val=" ADDIN NE.Ref.{C589C0BE-D39B-4855-9E42-EDE99798A330}&lt;Citation&gt;&lt;Group&gt;&lt;References&gt;&lt;Item&gt;&lt;ID&gt;740&lt;/ID&gt;&lt;UID&gt;{5E993047-1E57-4787-B0C4-634062624479}&lt;/UID&gt;&lt;Title&gt;Post-chemotherapy cognitive impairment in patients with B-cell non-Hodgkin lymphoma: a first comprehensive approach to determine cognitive impairments after treatment with rituximab, cyclophosphamide, doxorubicin, vincristine and prednisone or rituximab and bendamustine&lt;/Title&gt;&lt;Template&gt;Journal Article&lt;/Template&gt;&lt;Star&gt;0&lt;/Star&gt;&lt;Tag&gt;0&lt;/Tag&gt;&lt;Author&gt;Zimmer, P; Mierau, A; Bloch, W; Struder, H K; Hulsdunker, T; Schenk, A; Fiebig, L; Baumann, F T; Hahn, M; Reinart, N; Hallek, M; Elter, T&lt;/Author&gt;&lt;Year&gt;2015&lt;/Year&gt;&lt;Details&gt;&lt;_accession_num&gt;24738942&lt;/_accession_num&gt;&lt;_author_adr&gt;Department for Molecular and Cellular Sports Medicine.&lt;/_author_adr&gt;&lt;_created&gt;63229971&lt;/_created&gt;&lt;_date&gt;2015-02-01&lt;/_date&gt;&lt;_date_display&gt;2015 Feb&lt;/_date_display&gt;&lt;_db_updated&gt;PubMed&lt;/_db_updated&gt;&lt;_doi&gt;10.3109/10428194.2014.915546&lt;/_doi&gt;&lt;_isbn&gt;1029-2403 (Electronic); 1026-8022 (Linking)&lt;/_isbn&gt;&lt;_issue&gt;2&lt;/_issue&gt;&lt;_journal&gt;Leuk Lymphoma&lt;/_journal&gt;&lt;_keywords&gt;Aged; Antineoplastic Combined Chemotherapy Protocols/adverse effects/*therapeutic use; B-Lymphocytes/*drug effects/pathology; Bendamustine Hydrochloride/administration &amp;amp;amp; dosage/adverse effects; Brain-Derived Neurotrophic Factor/blood; Cognition Disorders/chemically induced/*diagnosis; Cyclophosphamide/administration &amp;amp;amp; dosage/adverse effects; Doxorubicin/administration &amp;amp;amp; dosage/adverse effects; Electroencephalography; Fatigue/chemically induced/diagnosis; Female; Humans; Interleukin-6/blood; Lymphoma, Non-Hodgkin/blood/*drug therapy; Male; Middle Aged; Outcome Assessment, Health Care/methods; Prednisone/administration &amp;amp;amp; dosage/adverse effects; Rituximab/administration &amp;amp;amp; dosage/adverse effects; Surveys and Questionnaires; Vincristine/administration &amp;amp;amp; dosage/adverse effectsChemobrain; EEG; cognition; cytokines; fatigue; lymphoma&lt;/_keywords&gt;&lt;_language&gt;eng&lt;/_language&gt;&lt;_modified&gt;63229971&lt;/_modified&gt;&lt;_pages&gt;347-52&lt;/_pages&gt;&lt;_tertiary_title&gt;Leukemia &amp;amp;amp; lymphoma&lt;/_tertiary_title&gt;&lt;_type_work&gt;Journal Article; Research Support, Non-U.S. Gov&amp;apos;t&lt;/_type_work&gt;&lt;_url&gt;http://www.ncbi.nlm.nih.gov/entrez/query.fcgi?cmd=Retrieve&amp;amp;db=pubmed&amp;amp;dopt=Abstract&amp;amp;list_uids=24738942&amp;amp;query_hl=1&lt;/_url&gt;&lt;_volume&gt;56&lt;/_volume&gt;&lt;/Details&gt;&lt;Extra&gt;&lt;DBUID&gt;{F96A950B-833F-4880-A151-76DA2D6A2879}&lt;/DBUID&gt;&lt;/Extra&gt;&lt;/Item&gt;&lt;/References&gt;&lt;/Group&gt;&lt;/Citation&gt;_x000a_"/>
    <w:docVar w:name="NE.Ref{C9CDBEB1-C14C-459D-9BEB-37CE1034EFD6}" w:val=" ADDIN NE.Ref.{C9CDBEB1-C14C-459D-9BEB-37CE1034EFD6}&lt;Citation&gt;&lt;Group&gt;&lt;References&gt;&lt;Item&gt;&lt;ID&gt;775&lt;/ID&gt;&lt;UID&gt;{EB543C73-00FC-4385-A809-47C5C7E10C48}&lt;/UID&gt;&lt;Title&gt;Negative Regulation of Cytokine Signaling in Immunity&lt;/Title&gt;&lt;Template&gt;Journal Article&lt;/Template&gt;&lt;Star&gt;0&lt;/Star&gt;&lt;Tag&gt;0&lt;/Tag&gt;&lt;Author&gt;Yoshimura, A; Ito, M; Chikuma, S; Akanuma, T; Nakatsukasa, H&lt;/Author&gt;&lt;Year&gt;2018&lt;/Year&gt;&lt;Details&gt;&lt;_accession_num&gt;28716890&lt;/_accession_num&gt;&lt;_author_adr&gt;Department of Microbiology and Immunology, Keio University School of Medicine, Shinjuku-ku, Tokyo 160-8582, Japan.; Department of Microbiology and Immunology, Keio University School of Medicine, Shinjuku-ku, Tokyo 160-8582, Japan.; Department of Microbiology and Immunology, Keio University School of Medicine, Shinjuku-ku, Tokyo 160-8582, Japan.; Department of Microbiology and Immunology, Keio University School of Medicine, Shinjuku-ku, Tokyo 160-8582, Japan.; Department of Microbiology and Immunology, Keio University School of Medicine, Shinjuku-ku, Tokyo 160-8582, Japan.&lt;/_author_adr&gt;&lt;_created&gt;63429054&lt;/_created&gt;&lt;_date&gt;2018-07-02&lt;/_date&gt;&lt;_date_display&gt;2018 Jul 2&lt;/_date_display&gt;&lt;_db_updated&gt;PubMed&lt;/_db_updated&gt;&lt;_doi&gt;10.1101/cshperspect.a028571&lt;/_doi&gt;&lt;_impact_factor&gt;   7.640&lt;/_impact_factor&gt;&lt;_isbn&gt;1943-0264 (Electronic); 1943-0264 (Linking)&lt;/_isbn&gt;&lt;_issue&gt;7&lt;/_issue&gt;&lt;_journal&gt;Cold Spring Harb Perspect Biol&lt;/_journal&gt;&lt;_language&gt;eng&lt;/_language&gt;&lt;_modified&gt;63503843&lt;/_modified&gt;&lt;_ori_publication&gt;Copyright (c) 2018 Cold Spring Harbor Laboratory Press; all rights reserved.&lt;/_ori_publication&gt;&lt;_subject_headings&gt;Animals; Cytokines/genetics/*metabolism; Gene Expression Regulation/*immunology; Humans; Signal Transduction/*immunology&lt;/_subject_headings&gt;&lt;_tertiary_title&gt;Cold Spring Harbor perspectives in biology&lt;/_tertiary_title&gt;&lt;_type_work&gt;Journal Article; Research Support, Non-U.S. Gov&amp;apos;t; Review&lt;/_type_work&gt;&lt;_url&gt;http://www.ncbi.nlm.nih.gov/entrez/query.fcgi?cmd=Retrieve&amp;amp;db=pubmed&amp;amp;dopt=Abstract&amp;amp;list_uids=28716890&amp;amp;query_hl=1&lt;/_url&gt;&lt;_volume&gt;10&lt;/_volume&gt;&lt;/Details&gt;&lt;Extra&gt;&lt;DBUID&gt;{F96A950B-833F-4880-A151-76DA2D6A2879}&lt;/DBUID&gt;&lt;/Extra&gt;&lt;/Item&gt;&lt;/References&gt;&lt;/Group&gt;&lt;/Citation&gt;_x000a_"/>
    <w:docVar w:name="NE.Ref{CBC3E3E4-6515-41DC-BE84-5B2EA4F40C62}" w:val=" ADDIN NE.Ref.{CBC3E3E4-6515-41DC-BE84-5B2EA4F40C62}&lt;Citation&gt;&lt;Group&gt;&lt;References&gt;&lt;Item&gt;&lt;ID&gt;688&lt;/ID&gt;&lt;UID&gt;{C5AA2E4E-DAD8-409A-9348-0969E9122186}&lt;/UID&gt;&lt;Title&gt;Microglial priming through the lung-brain axis: the role of air pollution-induced circulating factors&lt;/Title&gt;&lt;Template&gt;Journal Article&lt;/Template&gt;&lt;Star&gt;0&lt;/Star&gt;&lt;Tag&gt;0&lt;/Tag&gt;&lt;Author&gt;Mumaw, C L; Levesque, S; McGraw, C; Robertson, S; Lucas, S; Stafflinger, J E; Campen, M J; Hall, P; Norenberg, J P; Anderson, T; Lund, A K; McDonald, J D; Ottens, A K; Block, M L&lt;/Author&gt;&lt;Year&gt;2016&lt;/Year&gt;&lt;Details&gt;&lt;_accession_num&gt;26864854&lt;/_accession_num&gt;&lt;_author_adr&gt;Department of Anatomy and Cell Biology, The Stark Neuroscience Research Institute, Indiana University School of Medicine, Indianapolis, Indiana, USA;; Department of Anatomy and Neurobiology, Virginia Commonwealth University Medical  Campus, Richmond, Virginia, USA;; Department of Anatomy and Neurobiology, Virginia Commonwealth University Medical  Campus, Richmond, Virginia, USA;; Department of Pharmaceutical Sciences and.; Department of Pharmaceutical Sciences and.; Department of Anatomy and Neurobiology, Virginia Commonwealth University Medical  Campus, Richmond, Virginia, USA;; Department of Pharmaceutical Sciences and.; Department of Pharmaceutical Sciences and.; Radiopharmaceutical Sciences, Keck-University of New Mexico Small-Animal Imaging  Resource, College of Pharmacy, University of New Mexico, Albuquerque, New Mexico, USA;; Radiopharmaceutical Sciences, Keck-University of New Mexico Small-Animal Imaging  Resource, College of Pharmacy, University of New Mexico, Albuquerque, New Mexico, USA;; Department of Biological Sciences, Advanced Environmental Research Institute, University of North Texas, Denton, Texas, USA; and.; Lovelace Respiratory Research Institute, Albuquerque, New Mexico, USA.; Department of Anatomy and Neurobiology, Virginia Commonwealth University Medical  Campus, Richmond, Virginia, USA;; Department of Anatomy and Cell Biology, The Stark Neuroscience Research Institute, Indiana University School of Medicine, Indianapolis, Indiana, USA; mlblock@iupui.edu.&lt;/_author_adr&gt;&lt;_collection_scope&gt;SCI;SCIE&lt;/_collection_scope&gt;&lt;_created&gt;63229826&lt;/_created&gt;&lt;_date&gt;2016-05-01&lt;/_date&gt;&lt;_date_display&gt;2016 May&lt;/_date_display&gt;&lt;_db_updated&gt;PubMed&lt;/_db_updated&gt;&lt;_doi&gt;10.1096/fj.201500047&lt;/_doi&gt;&lt;_impact_factor&gt;   5.391&lt;/_impact_factor&gt;&lt;_isbn&gt;1530-6860 (Electronic); 0892-6638 (Linking)&lt;/_isbn&gt;&lt;_issue&gt;5&lt;/_issue&gt;&lt;_journal&gt;FASEB J&lt;/_journal&gt;&lt;_keywords&gt;Air Pollution/*adverse effects; Animals; Antibodies; Brain/*drug effects/metabolism; Cell Line; Inflammation/chemically induced/metabolism; Lung/*drug effects/metabolism; Lung Diseases/*chemically induced/metabolism; Macrophage-1 Antigen/immunology; Mice; Microglia/*drug effects; Neurons/drug effects/metabolism; Ozone/*toxicity; Rats*glia; *inhaled pollutants; *neuroinflammation&lt;/_keywords&gt;&lt;_language&gt;eng&lt;/_language&gt;&lt;_modified&gt;63229826&lt;/_modified&gt;&lt;_ori_publication&gt;(c) FASEB.&lt;/_ori_publication&gt;&lt;_pages&gt;1880-91&lt;/_pages&gt;&lt;_tertiary_title&gt;FASEB journal : official publication of the Federation of American Societies for _x000a_      Experimental Biology&lt;/_tertiary_title&gt;&lt;_type_work&gt;Journal Article; Research Support, N.I.H., Extramural&lt;/_type_work&gt;&lt;_url&gt;http://www.ncbi.nlm.nih.gov/entrez/query.fcgi?cmd=Retrieve&amp;amp;db=pubmed&amp;amp;dopt=Abstract&amp;amp;list_uids=26864854&amp;amp;query_hl=1&lt;/_url&gt;&lt;_volume&gt;30&lt;/_volume&gt;&lt;/Details&gt;&lt;Extra&gt;&lt;DBUID&gt;{F96A950B-833F-4880-A151-76DA2D6A2879}&lt;/DBUID&gt;&lt;/Extra&gt;&lt;/Item&gt;&lt;/References&gt;&lt;/Group&gt;&lt;/Citation&gt;_x000a_"/>
    <w:docVar w:name="NE.Ref{CDF0947C-FFC7-496F-8186-566504729E1A}" w:val=" ADDIN NE.Ref.{CDF0947C-FFC7-496F-8186-566504729E1A}&lt;Citation&gt;&lt;Group&gt;&lt;References&gt;&lt;Item&gt;&lt;ID&gt;784&lt;/ID&gt;&lt;UID&gt;{E4A0E8F1-B29D-4DB6-B086-3074ECFA1832}&lt;/UID&gt;&lt;Title&gt;Aquaporin-4-dependent glymphatic solute transport in the rodent brain&lt;/Title&gt;&lt;Template&gt;Journal Article&lt;/Template&gt;&lt;Star&gt;0&lt;/Star&gt;&lt;Tag&gt;0&lt;/Tag&gt;&lt;Author&gt;Mestre, H; Hablitz, L M; Xavier, A L; Feng, W; Zou, W; Pu, T; Monai, H; Murlidharan, G; Castellanos, Rivera RM; Simon, M J; Pike, M M; Pla, V; &amp;quot;Du T&amp;quot;; Kress, B T; Wang, X; Plog, B A; Thrane, A S; Lundgaard, I; Abe, Y; Yasui, M; Thomas, J H; Xiao, M; Hirase, H; Asokan, A; Iliff, J J; Nedergaard, M&lt;/Author&gt;&lt;Year&gt;2018&lt;/Year&gt;&lt;Details&gt;&lt;_accession_num&gt;30561329&lt;/_accession_num&gt;&lt;_author_adr&gt;Center for Translational Neuromedicine, University of Rochester Medical Center, Rochester, United States.; Center for Translational Neuromedicine, University of Rochester Medical Center, Rochester, United States.; Center for Translational Neuromedicine, Faculty of Medical and Health Sciences, University of Copenhagen, Copenhagen, Denmark.; Jiangsu Province Key Laboratory of Neurodegeneration, Center for Global Health, Nanjing Medical University, Nanjing, China.; Jiangsu Province Key Laboratory of Neurodegeneration, Center for Global Health, Nanjing Medical University, Nanjing, China.; Jiangsu Province Key Laboratory of Neurodegeneration, Center for Global Health, Nanjing Medical University, Nanjing, China.; RIKEN Center for Brain Science, Wako, Japan.; Ochanomizu University, Tokyo, Japan.; Gene Therapy Center, The University of North Carolina, Chapel Hill, United States.; Gene Therapy Center, The University of North Carolina, Chapel Hill, United States.; Department of Anesthesiology and Perioperative Medicine, Oregon Health and Science University, Portland, United States.; Advanced Imaging Research Center, Oregon Health and Science University, Portland, United States.; Center for Translational Neuromedicine, University of Rochester Medical Center, Rochester, United States.; Center for Translational Neuromedicine, University of Rochester Medical Center, Rochester, United States.; Center for Translational Neuromedicine, University of Rochester Medical Center, Rochester, United States.; RIKEN Center for Brain Science, Wako, Japan.; Center for Translational Neuromedicine, University of Rochester Medical Center, Rochester, United States.; Center for Translational Neuromedicine, Faculty of Medical and Health Sciences, University of Copenhagen, Copenhagen, Denmark.; Department of Ophthalmology, Haukeland University Hospital, Bergen, Norway.; Center for Translational Neuromedicine, University of Rochester Medical Center, Rochester, United States.; Department of Experimental Medical Science, Lund University, Lund, Sweden.; Wallenberg Center for Molecular Medicine, Lund University, Lund, Sweden.; Department of Pharmacology,School of Medicine, Keio University, Tokyo, Japan.; Department of Pharmacology,School of Medicine, Keio University, Tokyo, Japan.; Department of Mechanical Engineering, University of Rochester, Rochester, United  States.; Department of Physics and Astronomy, University of Rochester, Rochester, United States.; Jiangsu Province Key Laboratory of Neurodegeneration, Center for Global Health, Nanjing Medical University, Nanjing, China.; RIKEN Center for Brain Science, Wako, Japan.; Brain and Body System Science Institute, Saitama University, Saitama, Japan.; Gene Therapy Center, The University of North Carolina, Chapel Hill, United States.; Department of Molecular Genetics and Microbiology, Duke University School of Medicine, North Carolina, United States.; Department of Surgery, Duke University School of Medicine, Durham, United States.; Department of Anesthesiology and Perioperative Medicine, Oregon Health and Science University, Portland, United States.; Knight Cardiovascular Institute, Oregon Health and Science University, Portland,  United States.; Center for Translational Neuromedicine, University of Rochester Medical Center, Rochester, United States.; Center for Translational Neuromedicine, Faculty of Medical and Health Sciences, University of Copenhagen, Copenhagen, Denmark.&lt;/_author_adr&gt;&lt;_date_display&gt;2018 Dec 18&lt;/_date_display&gt;&lt;_date&gt;2018-12-18&lt;/_date&gt;&lt;_doi&gt;10.7554/eLife.40070&lt;/_doi&gt;&lt;_isbn&gt;2050-084X (Electronic); 2050-084X (Linking)&lt;/_isbn&gt;&lt;_journal&gt;Elife&lt;/_journal&gt;&lt;_keywords&gt;*aquaporin-4; *cerebrospinal fluid; *glymphatic; *meta-analysis; *mouse; *neuroscience; *replication study; *solute transport&lt;/_keywords&gt;&lt;_language&gt;eng&lt;/_language&gt;&lt;_ori_publication&gt;(c) 2018, Mestre et al.&lt;/_ori_publication&gt;&lt;_subject_headings&gt;Animals; Aquaporin 4/genetics/*metabolism; Astrocytes/*metabolism; Biological Transport; Brain/*metabolism; Cerebrospinal Fluid/metabolism; Extracellular Fluid/metabolism; *Glymphatic System; Mice, Knockout; Rats&lt;/_subject_headings&gt;&lt;_tertiary_title&gt;eLife&lt;/_tertiary_title&gt;&lt;_type_work&gt;Journal Article; Meta-Analysis; Research Support, N.I.H., Extramural; Research Support, Non-U.S. Gov&amp;apos;t&lt;/_type_work&gt;&lt;_url&gt;http://www.ncbi.nlm.nih.gov/entrez/query.fcgi?cmd=Retrieve&amp;amp;db=pubmed&amp;amp;dopt=Abstract&amp;amp;list_uids=30561329&amp;amp;query_hl=1&lt;/_url&gt;&lt;_volume&gt;7&lt;/_volume&gt;&lt;_created&gt;63624794&lt;/_created&gt;&lt;_modified&gt;63624795&lt;/_modified&gt;&lt;_db_updated&gt;PubMed&lt;/_db_updated&gt;&lt;_impact_factor&gt;   7.080&lt;/_impact_factor&gt;&lt;_collection_scope&gt;SCIE&lt;/_collection_scope&gt;&lt;/Details&gt;&lt;Extra&gt;&lt;DBUID&gt;{F96A950B-833F-4880-A151-76DA2D6A2879}&lt;/DBUID&gt;&lt;/Extra&gt;&lt;/Item&gt;&lt;/References&gt;&lt;/Group&gt;&lt;Group&gt;&lt;References&gt;&lt;Item&gt;&lt;ID&gt;785&lt;/ID&gt;&lt;UID&gt;{3108BB13-8E2F-4799-9FC4-021E1BA8F3B9}&lt;/UID&gt;&lt;Title&gt;Deletion of aquaporin-4 in APP/PS1 mice exacerbates brain Abeta accumulation and  memory deficits&lt;/Title&gt;&lt;Template&gt;Journal Article&lt;/Template&gt;&lt;Star&gt;0&lt;/Star&gt;&lt;Tag&gt;0&lt;/Tag&gt;&lt;Author&gt;Xu, Z; Xiao, N; Chen, Y; Huang, H; Marshall, C; Gao, J; Cai, Z; Wu, T; Hu, G; Xiao, M&lt;/Author&gt;&lt;Year&gt;2015&lt;/Year&gt;&lt;Details&gt;&lt;_accession_num&gt;26526066&lt;/_accession_num&gt;&lt;_author_adr&gt;Jiangsu Key Laboratory of Neurodegeneration, Nanjing Medical University, 140 Hanzhong Road, Nanjing, Jiangsu, 210029, China.; Jiangsu Key Laboratory of Neurodegeneration, Nanjing Medical University, 140 Hanzhong Road, Nanjing, Jiangsu, 210029, China.; Jiangsu Key Laboratory of Neurodegeneration, Nanjing Medical University, 140 Hanzhong Road, Nanjing, Jiangsu, 210029, China.; Jiangsu Key Laboratory of Neurodegeneration, Nanjing Medical University, 140 Hanzhong Road, Nanjing, Jiangsu, 210029, China.; Department of Rehabilitation Sciences, University of Kentucky Center of Excellence in Rural Health, Hazard, KY, USA.; Jiangsu Key Laboratory of Neurodegeneration, Nanjing Medical University, 140 Hanzhong Road, Nanjing, Jiangsu, 210029, China.; Department of Neurology, Renmin Hospital, Hubei University of Medicine, Shiyan, Hubei, China.; Department of Neurology, The First Affiliated Hospital of Nanjing Medical University, Nanjing, Jiangsu, China.; Jiangsu Key Laboratory of Neurodegeneration, Nanjing Medical University, 140 Hanzhong Road, Nanjing, Jiangsu, 210029, China.; Jiangsu Key Laboratory of Neurodegeneration, Nanjing Medical University, 140 Hanzhong Road, Nanjing, Jiangsu, 210029, China. mingx@njmu.edu.cn.&lt;/_author_adr&gt;&lt;_date_display&gt;2015 Nov 2&lt;/_date_display&gt;&lt;_date&gt;2015-11-02&lt;/_date&gt;&lt;_doi&gt;10.1186/s13024-015-0056-1&lt;/_doi&gt;&lt;_isbn&gt;1750-1326 (Electronic); 1750-1326 (Linking)&lt;/_isbn&gt;&lt;_journal&gt;Mol Neurodegener&lt;/_journal&gt;&lt;_language&gt;eng&lt;/_language&gt;&lt;_pages&gt;58&lt;/_pages&gt;&lt;_subject_headings&gt;Alzheimer Disease/*metabolism/physiopathology; Amyloid beta-Peptides/*metabolism; Animals; Aquaporin 4/*metabolism; Brain/*metabolism; Brain-Derived Neurotrophic Factor/metabolism; Cerebral Amyloid Angiopathy/pathology; Cognition Disorders/metabolism/physiopathology; Inflammation/metabolism; Memory Disorders/metabolism/*physiopathology; Mice, Transgenic&lt;/_subject_headings&gt;&lt;_tertiary_title&gt;Molecular neurodegeneration&lt;/_tertiary_title&gt;&lt;_type_work&gt;Journal Article; Research Support, Non-U.S. Gov&amp;apos;t&lt;/_type_work&gt;&lt;_url&gt;http://www.ncbi.nlm.nih.gov/entrez/query.fcgi?cmd=Retrieve&amp;amp;db=pubmed&amp;amp;dopt=Abstract&amp;amp;list_uids=26526066&amp;amp;query_hl=1&lt;/_url&gt;&lt;_volume&gt;10&lt;/_volume&gt;&lt;_created&gt;63624796&lt;/_created&gt;&lt;_modified&gt;63624796&lt;/_modified&gt;&lt;_db_updated&gt;PubMed&lt;/_db_updated&gt;&lt;_impact_factor&gt;   9.599&lt;/_impact_factor&gt;&lt;_collection_scope&gt;SCIE&lt;/_collection_scope&gt;&lt;/Details&gt;&lt;Extra&gt;&lt;DBUID&gt;{F96A950B-833F-4880-A151-76DA2D6A2879}&lt;/DBUID&gt;&lt;/Extra&gt;&lt;/Item&gt;&lt;/References&gt;&lt;/Group&gt;&lt;/Citation&gt;_x000a_"/>
    <w:docVar w:name="NE.Ref{D4B03336-1B52-41F9-AD99-D2EDFD61286B}" w:val=" ADDIN NE.Ref.{D4B03336-1B52-41F9-AD99-D2EDFD61286B}&lt;Citation&gt;&lt;Group&gt;&lt;References&gt;&lt;Item&gt;&lt;ID&gt;722&lt;/ID&gt;&lt;UID&gt;{9454F65D-E2B1-4EC4-A215-D988FCAEB1C4}&lt;/UID&gt;&lt;Title&gt;Interleukin-35 Limits Anti-Tumor Immunity&lt;/Title&gt;&lt;Template&gt;Journal Article&lt;/Template&gt;&lt;Star&gt;0&lt;/Star&gt;&lt;Tag&gt;0&lt;/Tag&gt;&lt;Author&gt;Turnis, M E; Sawant, D V; Szymczak-Workman, A L; Andrews, L P; Delgoffe, G M; Yano, H; Beres, A J; Vogel, P; Workman, C J; Vignali, D A&lt;/Author&gt;&lt;Year&gt;2016&lt;/Year&gt;&lt;Details&gt;&lt;_accession_num&gt;26872697&lt;/_accession_num&gt;&lt;_author_adr&gt;Department of Immunology, St. Jude Children&amp;apos;s Research Hospital, Memphis, TN, 38105, USA.; Department of Immunology, University of Pittsburgh, Pittsburgh, PA 15261, USA; Department of Immunology, St. Jude Children&amp;apos;s Research Hospital, Memphis, TN, 38105, USA.; Department of Immunology, St. Jude Children&amp;apos;s Research Hospital, Memphis, TN, 38105, USA.; Department of Immunology, University of Pittsburgh, Pittsburgh, PA 15261, USA.; Department of Immunology, St. Jude Children&amp;apos;s Research Hospital, Memphis, TN, 38105, USA.; Department of Immunology, University of Pittsburgh, Pittsburgh, PA 15261, USA.; Department of Immunology, St. Jude Children&amp;apos;s Research Hospital, Memphis, TN, 38105, USA.; Department of Pathology, St. Jude Children&amp;apos;s Research Hospital, Memphis, TN, 38105, USA.; Department of Immunology, University of Pittsburgh, Pittsburgh, PA 15261, USA; Department of Immunology, St. Jude Children&amp;apos;s Research Hospital, Memphis, TN, 38105, USA.; Department of Immunology, University of Pittsburgh, Pittsburgh, PA 15261, USA; Department of Immunology, St. Jude Children&amp;apos;s Research Hospital, Memphis, TN, 38105, USA; Tumor Microenvironment Center, University of Pittsburgh Cancer Institute, Pittsburgh, PA 15232, USA. Electronic address: dvignali@pitt.edu.&lt;/_author_adr&gt;&lt;_collection_scope&gt;SCI;SCIE&lt;/_collection_scope&gt;&lt;_created&gt;63229923&lt;/_created&gt;&lt;_date&gt;2016-02-16&lt;/_date&gt;&lt;_date_display&gt;2016 Feb 16&lt;/_date_display&gt;&lt;_db_updated&gt;PubMed&lt;/_db_updated&gt;&lt;_doi&gt;10.1016/j.immuni.2016.01.013&lt;/_doi&gt;&lt;_impact_factor&gt;  21.522&lt;/_impact_factor&gt;&lt;_isbn&gt;1097-4180 (Electronic); 1074-7613 (Linking)&lt;/_isbn&gt;&lt;_issue&gt;2&lt;/_issue&gt;&lt;_journal&gt;Immunity&lt;/_journal&gt;&lt;_keywords&gt;Animals; Antibodies, Blocking/*administration &amp;amp;amp; dosage; Antigens, CD/genetics/metabolism; Cell Growth Processes/drug effects/genetics; Cell Line, Tumor; Cell Proliferation/drug effects/genetics; Hepatitis A Virus Cellular Receptor 2; Humans; Immunologic Memory; Interleukins/genetics/immunology/*metabolism; Melanoma, Experimental/*immunology; Mice; Mice, Inbred C57BL; Mice, Knockout; Programmed Cell Death 1 Receptor/genetics/metabolism; Receptors, Virus/genetics/metabolism; Skin Neoplasms/*immunology; T-Lymphocytes, Regulatory/*immunology; Tumor Burden/drug effects/genetics; Tumor Microenvironment&lt;/_keywords&gt;&lt;_language&gt;eng&lt;/_language&gt;&lt;_modified&gt;63229923&lt;/_modified&gt;&lt;_ori_publication&gt;Copyright (c) 2016 Elsevier Inc. All rights reserved.&lt;/_ori_publication&gt;&lt;_pages&gt;316-29&lt;/_pages&gt;&lt;_tertiary_title&gt;Immunity&lt;/_tertiary_title&gt;&lt;_type_work&gt;Journal Article; Research Support, N.I.H., Extramural&lt;/_type_work&gt;&lt;_url&gt;http://www.ncbi.nlm.nih.gov/entrez/query.fcgi?cmd=Retrieve&amp;amp;db=pubmed&amp;amp;dopt=Abstract&amp;amp;list_uids=26872697&amp;amp;query_hl=1&lt;/_url&gt;&lt;_volume&gt;44&lt;/_volume&gt;&lt;/Details&gt;&lt;Extra&gt;&lt;DBUID&gt;{F96A950B-833F-4880-A151-76DA2D6A2879}&lt;/DBUID&gt;&lt;/Extra&gt;&lt;/Item&gt;&lt;/References&gt;&lt;/Group&gt;&lt;Group&gt;&lt;References&gt;&lt;Item&gt;&lt;ID&gt;721&lt;/ID&gt;&lt;UID&gt;{CE7A5117-D8BD-417E-A986-FA77578BF1D7}&lt;/UID&gt;&lt;Title&gt;Interleukin-35 Promotes Macrophage Survival and Improves Wound Healing After Myocardial Infarction in Mice&lt;/Title&gt;&lt;Template&gt;Journal Article&lt;/Template&gt;&lt;Star&gt;0&lt;/Star&gt;&lt;Tag&gt;0&lt;/Tag&gt;&lt;Author&gt;Jia, D; Jiang, H; Weng, X; Wu, J; Bai, P; Yang, W; Wang, Z; Hu, K; Sun, A; Ge, J&lt;/Author&gt;&lt;Year&gt;2019&lt;/Year&gt;&lt;Details&gt;&lt;_accession_num&gt;30832557&lt;/_accession_num&gt;&lt;_author_adr&gt;From the Department of Cardiology, Zhongshan Hospital, Fudan University, Shanghai, China (D.J., H.J., X.W., J.W., W.Y., Z.W., K.H., A.S., J.G.).; Shanghai Institute of Cardiovascular Diseases, Shanghai, China (D.J., H.J., X.W., J.W., W.Y., Z.W., K.H., A.S., J.G.).; NHC Key Laboratory of Viral Heart Diseases, Shanghai, China (D.J., H.J., X.W., J.W., W.Y., Z.W., K.H., A.S., J.G.).; Key Laboratory of Viral Heart Diseases, Chinese Academy of Medical Sciences, China (D.J., H.J., X.W., J.W., W.Y., Z.W., K.H., A.S., J.G.).; From the Department of Cardiology, Zhongshan Hospital, Fudan University, Shanghai, China (D.J., H.J., X.W., J.W., W.Y., Z.W., K.H., A.S., J.G.).; Shanghai Institute of Cardiovascular Diseases, Shanghai, China (D.J., H.J., X.W., J.W., W.Y., Z.W., K.H., A.S., J.G.).; NHC Key Laboratory of Viral Heart Diseases, Shanghai, China (D.J., H.J., X.W., J.W., W.Y., Z.W., K.H., A.S., J.G.).; Key Laboratory of Viral Heart Diseases, Chinese Academy of Medical Sciences, China (D.J., H.J., X.W., J.W., W.Y., Z.W., K.H., A.S., J.G.).; From the Department of Cardiology, Zhongshan Hospital, Fudan University, Shanghai, China (D.J., H.J., X.W., J.W., W.Y., Z.W., K.H., A.S., J.G.).; Shanghai Institute of Cardiovascular Diseases, Shanghai, China (D.J., H.J., X.W., J.W., W.Y., Z.W., K.H., A.S., J.G.).; NHC Key Laboratory of Viral Heart Diseases, Shanghai, China (D.J., H.J., X.W., J.W., W.Y., Z.W., K.H., A.S., J.G.).; Key Laboratory of Viral Heart Diseases, Chinese Academy of Medical Sciences, China (D.J., H.J., X.W., J.W., W.Y., Z.W., K.H., A.S., J.G.).; Institutes of Biomedical Sciences, Fudan University, Shanghai, China (X.W., J.W., Z.W., A.S., J.G.).; From the Department of Cardiology, Zhongshan Hospital, Fudan University, Shanghai, China (D.J., H.J., X.W., J.W., W.Y., Z.W., K.H., A.S., J.G.).; Shanghai Institute of Cardiovascular Diseases, Shanghai, China (D.J., H.J., X.W., J.W., W.Y., Z.W., K.H., A.S., J.G.).; NHC Key Laboratory of Viral Heart Diseases, Shanghai, China (D.J., H.J., X.W., J.W., W.Y., Z.W., K.H., A.S., J.G.).; Key Laboratory of Viral Heart Diseases, Chinese Academy of Medical Sciences, China (D.J., H.J., X.W., J.W., W.Y., Z.W., K.H., A.S., J.G.).; Institutes of Biomedical Sciences, Fudan University, Shanghai, China (X.W., J.W., Z.W., A.S., J.G.).; Department of Cardiology, Ruijin Hospital, Shanghai Jiaotong University School of Medicine, China (P.B.).; From the Department of Cardiology, Zhongshan Hospital, Fudan University, Shanghai, China (D.J., H.J., X.W., J.W., W.Y., Z.W., K.H., A.S., J.G.).; Shanghai Institute of Cardiovascular Diseases, Shanghai, China (D.J., H.J., X.W., J.W., W.Y., Z.W., K.H., A.S., J.G.).; NHC Key Laboratory of Viral Heart Diseases, Shanghai, China (D.J., H.J., X.W., J.W., W.Y., Z.W., K.H., A.S., J.G.).; Key Laboratory of Viral Heart Diseases, Chinese Academy of Medical Sciences, China (D.J., H.J., X.W., J.W., W.Y., Z.W., K.H., A.S., J.G.).; From the Department of Cardiology, Zhongshan Hospital, Fudan University, Shanghai, China (D.J., H.J., X.W., J.W., W.Y., Z.W., K.H., A.S., J.G.).; Shanghai Institute of Cardiovascular Diseases, Shanghai, China (D.J., H.J., X.W., J.W., W.Y., Z.W., K.H., A.S., J.G.).; NHC Key Laboratory of Viral Heart Diseases, Shanghai, China (D.J., H.J., X.W., J.W., W.Y., Z.W., K.H., A.S., J.G.).; Key Laboratory of Viral Heart Diseases, Chinese Academy of Medical Sciences, China (D.J., H.J., X.W., J.W., W.Y., Z.W., K.H., A.S., J.G.).; Institutes of Biomedical Sciences, Fudan University, Shanghai, China (X.W., J.W., Z.W., A.S., J.G.).; From the Department of Cardiology, Zhongshan Hospital, Fudan University, Shanghai, China (D.J., H.J., X.W., J.W., W.Y., Z.W., K.H., A.S., J.G.).; Shanghai Institute of Cardiovascular Diseases, Shanghai, China (D.J., H.J., X.W., J.W., W.Y., Z.W., K.H., A.S., J.G.).; NHC Key Laboratory of Viral Heart Diseases, Shanghai, China (D.J., H.J., X.W., J.W., W.Y., Z.W., K.H., A.S., J.G.).; Key Laboratory of Viral Heart Diseases, Chinese Academy of Medical Sciences, China (D.J., H.J., X.W., J.W., W.Y., Z.W., K.H., A.S., J.G.).; From the Department of Cardiology, Zhongshan Hospital, Fudan University, Shanghai, China (D.J., H.J., X.W., J.W., W.Y., Z.W., K.H., A.S., J.G.).; Shanghai Institute of Cardiovascular Diseases, Shanghai, China (D.J., H.J., X.W., J.W., W.Y., Z.W., K.H., A.S., J.G.).; NHC Key Laboratory of Viral Heart Diseases, Shanghai, China (D.J., H.J., X.W., J.W., W.Y., Z.W., K.H., A.S., J.G.).; Key Laboratory of Viral Heart Diseases, Chinese Academy of Medical Sciences, China (D.J., H.J., X.W., J.W., W.Y., Z.W., K.H., A.S., J.G.).; Institutes of Biomedical Sciences, Fudan University, Shanghai, China (X.W., J.W., Z.W., A.S., J.G.).; From the Department of Cardiology, Zhongshan Hospital, Fudan University, Shanghai, China (D.J., H.J., X.W., J.W., W.Y., Z.W., K.H., A.S., J.G.).; Shanghai Institute of Cardiovascular Diseases, Shanghai, China (D.J., H.J., X.W., J.W., W.Y., Z.W., K.H., A.S., J.G.).; NHC Key Laboratory of Viral Heart Diseases, Shanghai, China (D.J., H.J., X.W., J.W., W.Y., Z.W., K.H., A.S., J.G.).; Key Laboratory of Viral Heart Diseases, Chinese Academy of Medical Sciences, China (D.J., H.J., X.W., J.W., W.Y., Z.W., K.H., A.S., J.G.).; Institutes of Biomedical Sciences, Fudan University, Shanghai, China (X.W., J.W., Z.W., A.S., J.G.).&lt;/_author_adr&gt;&lt;_collection_scope&gt;SCI;SCIE&lt;/_collection_scope&gt;&lt;_created&gt;63229921&lt;/_created&gt;&lt;_date&gt;2019-04-26&lt;/_date&gt;&lt;_date_display&gt;2019 Apr 26&lt;/_date_display&gt;&lt;_db_updated&gt;PubMed&lt;/_db_updated&gt;&lt;_doi&gt;10.1161/CIRCRESAHA.118.314569&lt;/_doi&gt;&lt;_impact_factor&gt;  15.862&lt;/_impact_factor&gt;&lt;_isbn&gt;1524-4571 (Electronic); 0009-7330 (Linking)&lt;/_isbn&gt;&lt;_issue&gt;9&lt;/_issue&gt;&lt;_journal&gt;Circ Res&lt;/_journal&gt;&lt;_keywords&gt;Adoptive Transfer; Animals; Antibodies, Monoclonal/pharmacology; CX3C Chemokine Receptor 1/biosynthesis/genetics; Cell Survival; Cicatrix/metabolism; Extracellular Matrix Proteins/biosynthesis; Gene Expression Regulation/physiology; Heart Rupture, Post-Infarction/physiopathology/prevention &amp;amp;amp; control; Interleukins/antagonists &amp;amp;amp; inhibitors/biosynthesis/genetics/*physiology; Macrophages/*physiology; Mice; Mice, Inbred C57BL; Minor Histocompatibility Antigens/biosynthesis/genetics/immunology; Myocardial Infarction/*physiopathology; Myocardium/metabolism; Receptors, Cytokine/antagonists &amp;amp;amp; inhibitors/biosynthesis/genetics/immunology; T-Lymphocytes, Regulatory/immunology/transplantation; Transforming Growth Factor beta1/biosynthesis/genetics; Up-Regulation; Ventricular Remodeling/physiology; Wound Healing/*physiology*interleukin; *macrophages; *mice; *myocardial infarction; *wound healing&lt;/_keywords&gt;&lt;_language&gt;eng&lt;/_language&gt;&lt;_modified&gt;63229921&lt;/_modified&gt;&lt;_pages&gt;1323-1336&lt;/_pages&gt;&lt;_tertiary_title&gt;Circulation research&lt;/_tertiary_title&gt;&lt;_type_work&gt;Journal Article; Research Support, Non-U.S. Gov&amp;apos;t&lt;/_type_work&gt;&lt;_url&gt;http://www.ncbi.nlm.nih.gov/entrez/query.fcgi?cmd=Retrieve&amp;amp;db=pubmed&amp;amp;dopt=Abstract&amp;amp;list_uids=30832557&amp;amp;query_hl=1&lt;/_url&gt;&lt;_volume&gt;124&lt;/_volume&gt;&lt;/Details&gt;&lt;Extra&gt;&lt;DBUID&gt;{F96A950B-833F-4880-A151-76DA2D6A2879}&lt;/DBUID&gt;&lt;/Extra&gt;&lt;/Item&gt;&lt;/References&gt;&lt;/Group&gt;&lt;Group&gt;&lt;References&gt;&lt;Item&gt;&lt;ID&gt;726&lt;/ID&gt;&lt;UID&gt;{754AFF27-FF1E-4481-BEB2-3B1BB0611D9C}&lt;/UID&gt;&lt;Title&gt;IL-35-producing B cells are critical regulators of immunity during autoimmune and infectious diseases&lt;/Title&gt;&lt;Template&gt;Journal Article&lt;/Template&gt;&lt;Star&gt;0&lt;/Star&gt;&lt;Tag&gt;0&lt;/Tag&gt;&lt;Author&gt;Shen, P; Roch, T; Lampropoulou, V; O&amp;apos;Connor, R A; Stervbo, U; Hilgenberg, E; Ries, S; Dang, V D; Jaimes, Y; Daridon, C; Li, R; Jouneau, L; Boudinot, P; Wilantri, S; Sakwa, I; Miyazaki, Y; Leech, M D; McPherson, R C; Wirtz, S; Neurath, M; Hoehlig, K; Meinl, E; Grutzkau, A; Grun, J R; Horn, K; Kuhl, A A; Dorner, T; Bar-Or, A; Kaufmann, SHE; Anderton, S M; Fillatreau, S&lt;/Author&gt;&lt;Year&gt;2014&lt;/Year&gt;&lt;Details&gt;&lt;_accession_num&gt;24572363&lt;/_accession_num&gt;&lt;_author_adr&gt;Deutsches Rheuma-Forschungszentrum, a Leibniz Institute, Chariteplatz 1, 10117 Berlin, Germany.; Deutsches Rheuma-Forschungszentrum, a Leibniz Institute, Chariteplatz 1, 10117 Berlin, Germany.; Deutsches Rheuma-Forschungszentrum, a Leibniz Institute, Chariteplatz 1, 10117 Berlin, Germany.; University of Edinburgh, Centre for Inflammation Research and Centre for Multiple Sclerosis Research, Queen&amp;apos;s Medical Research Institute, Edinburgh, EH16 4TJ, United Kingdom.; Deutsches Rheuma-Forschungszentrum, a Leibniz Institute, Chariteplatz 1, 10117 Berlin, Germany.; Deutsches Rheuma-Forschungszentrum, a Leibniz Institute, Chariteplatz 1, 10117 Berlin, Germany.; Deutsches Rheuma-Forschungszentrum, a Leibniz Institute, Chariteplatz 1, 10117 Berlin, Germany.; Deutsches Rheuma-Forschungszentrum, a Leibniz Institute, Chariteplatz 1, 10117 Berlin, Germany.; Deutsches Rheuma-Forschungszentrum, a Leibniz Institute, Chariteplatz 1, 10117 Berlin, Germany.; Deutsches Rheuma-Forschungszentrum, a Leibniz Institute, Chariteplatz 1, 10117 Berlin, Germany.; Charite Universitatsmedizin Berlin, CC12, Dept. Medicine/Rheumatology and Clinical Immunology, 10117 Berlin, Germany.; Neuroimmunology Unit, Montreal Neurological Institute and Hospital, McGill University, Montreal, Quebec, H3A2B4, Canada.; Virologie et Immunologie Moleculaires, INRA, 78352 Jouy-en-Josas, France.; Virologie et Immunologie Moleculaires, INRA, 78352 Jouy-en-Josas, France.; Deutsches Rheuma-Forschungszentrum, a Leibniz Institute, Chariteplatz 1, 10117 Berlin, Germany.; Deutsches Rheuma-Forschungszentrum, a Leibniz Institute, Chariteplatz 1, 10117 Berlin, Germany.; Neuroimmunology Unit, Montreal Neurological Institute and Hospital, McGill University, Montreal, Quebec, H3A2B4, Canada.; University of Edinburgh, Centre for Inflammation Research and Centre for Multiple Sclerosis Research, Queen&amp;apos;s Medical Research Institute, Edinburgh, EH16 4TJ, United Kingdom.; University of Edinburgh, Centre for Inflammation Research and Centre for Multiple Sclerosis Research, Queen&amp;apos;s Medical Research Institute, Edinburgh, EH16 4TJ, United Kingdom.; Medical Clinic 1, Kussmaul Campus for Medical Research, University of Erlangen-Nurnberg, Germany.; Medical Clinic 1, Kussmaul Campus for Medical Research, University of Erlangen-Nurnberg, Germany.; Deutsches Rheuma-Forschungszentrum, a Leibniz Institute, Chariteplatz 1, 10117 Berlin, Germany.; Institut fur Klinische Neuroimmunologie Klinikum der Ludwig-Maximilians-Universitat Munchen, 81377 Munchen, Germany.; Deutsches Rheuma-Forschungszentrum, a Leibniz Institute, Chariteplatz 1, 10117 Berlin, Germany.; Deutsches Rheuma-Forschungszentrum, a Leibniz Institute, Chariteplatz 1, 10117 Berlin, Germany.; Deutsches Rheuma-Forschungszentrum, a Leibniz Institute, Chariteplatz 1, 10117 Berlin, Germany.; Immunpathologie, Research Center ImmunoSciences, 12203 Berlin, Germany.; Deutsches Rheuma-Forschungszentrum, a Leibniz Institute, Chariteplatz 1, 10117 Berlin, Germany.; Charite Universitatsmedizin Berlin, CC12, Dept. Medicine/Rheumatology and Clinical Immunology, 10117 Berlin, Germany.; Neuroimmunology Unit, Montreal Neurological Institute and Hospital, McGill University, Montreal, Quebec, H3A2B4, Canada.; Max Planck Institute of Infection Biology, Department of Immunology, Chariteplatz 1, 10117 Berlin, Germany.; University of Edinburgh, Centre for Inflammation Research and Centre for Multiple Sclerosis Research, Queen&amp;apos;s Medical Research Institute, Edinburgh, EH16 4TJ, United Kingdom.; Deutsches Rheuma-Forschungszentrum, a Leibniz Institute, Chariteplatz 1, 10117 Berlin, Germany.&lt;/_author_adr&gt;&lt;_collection_scope&gt;SCI;SCIE&lt;/_collection_scope&gt;&lt;_created&gt;63229939&lt;/_created&gt;&lt;_date&gt;2014-03-20&lt;/_date&gt;&lt;_date_display&gt;2014 Mar 20&lt;/_date_display&gt;&lt;_db_updated&gt;PubMed&lt;/_db_updated&gt;&lt;_doi&gt;10.1038/nature12979&lt;/_doi&gt;&lt;_impact_factor&gt;  43.070&lt;/_impact_factor&gt;&lt;_isbn&gt;1476-4687 (Electronic); 0028-0836 (Linking)&lt;/_isbn&gt;&lt;_issue&gt;7492&lt;/_issue&gt;&lt;_journal&gt;Nature&lt;/_journal&gt;&lt;_keywords&gt;Animals; Antigen-Presenting Cells/immunology/metabolism; B-Lymphocytes/*immunology/*metabolism; CD40 Antigens/immunology; Encephalomyelitis, Autoimmune, Experimental/*immunology; Female; Humans; Immunity/*immunology; Interleukin-10/metabolism; Interleukins/immunology/*metabolism; Lymphocyte Activation; Macrophages/cytology/immunology; Male; Mice; Plasma Cells/immunology/metabolism; Salmonella Infections/*immunology/microbiology; T-Lymphocytes/immunology; Toll-Like Receptor 4/immunology&lt;/_keywords&gt;&lt;_language&gt;eng&lt;/_language&gt;&lt;_modified&gt;63229939&lt;/_modified&gt;&lt;_pages&gt;366-370&lt;/_pages&gt;&lt;_tertiary_title&gt;Nature&lt;/_tertiary_title&gt;&lt;_type_work&gt;Journal Article; Research Support, Non-U.S. Gov&amp;apos;t&lt;/_type_work&gt;&lt;_url&gt;http://www.ncbi.nlm.nih.gov/entrez/query.fcgi?cmd=Retrieve&amp;amp;db=pubmed&amp;amp;dopt=Abstract&amp;amp;list_uids=24572363&amp;amp;query_hl=1&lt;/_url&gt;&lt;_volume&gt;507&lt;/_volume&gt;&lt;/Details&gt;&lt;Extra&gt;&lt;DBUID&gt;{F96A950B-833F-4880-A151-76DA2D6A2879}&lt;/DBUID&gt;&lt;/Extra&gt;&lt;/Item&gt;&lt;/References&gt;&lt;/Group&gt;&lt;Group&gt;&lt;References&gt;&lt;Item&gt;&lt;ID&gt;724&lt;/ID&gt;&lt;UID&gt;{8FB9A4DE-5631-4ED6-9FFE-98DCAA4B59DA}&lt;/UID&gt;&lt;Title&gt;IL35-Producing B Cells Promote the Development of Pancreatic Neoplasia&lt;/Title&gt;&lt;Template&gt;Journal Article&lt;/Template&gt;&lt;Star&gt;0&lt;/Star&gt;&lt;Tag&gt;0&lt;/Tag&gt;&lt;Author&gt;Pylayeva-Gupta, Y; Das, S; Handler, J S; Hajdu, C H; Coffre, M; Koralov, S B; Bar-Sagi, D&lt;/Author&gt;&lt;Year&gt;2016&lt;/Year&gt;&lt;Details&gt;&lt;_accession_num&gt;26715643&lt;/_accession_num&gt;&lt;_author_adr&gt;Department of Biochemistry and Molecular Pharmacology, New York University School of Medicine, New York, New York.; Department of Biochemistry and Molecular Pharmacology, New York University School of Medicine, New York, New York.; Department of Biochemistry and Molecular Pharmacology, New York University School of Medicine, New York, New York.; Department of Pathology, New York University School of Medicine, New York, New York.; Department of Pathology, New York University School of Medicine, New York, New York.; Department of Pathology, New York University School of Medicine, New York, New York.; Department of Biochemistry and Molecular Pharmacology, New York University School of Medicine, New York, New York. Dafna.Bar-Sagi@med.nyu.edu.&lt;/_author_adr&gt;&lt;_collection_scope&gt;SCIE&lt;/_collection_scope&gt;&lt;_created&gt;63229930&lt;/_created&gt;&lt;_date&gt;2016-03-01&lt;/_date&gt;&lt;_date_display&gt;2016 Mar&lt;/_date_display&gt;&lt;_db_updated&gt;PubMed&lt;/_db_updated&gt;&lt;_doi&gt;10.1158/2159-8290.CD-15-0843&lt;/_doi&gt;&lt;_impact_factor&gt;  26.370&lt;/_impact_factor&gt;&lt;_isbn&gt;2159-8290 (Electronic); 2159-8274 (Linking)&lt;/_isbn&gt;&lt;_issue&gt;3&lt;/_issue&gt;&lt;_journal&gt;Cancer Discov&lt;/_journal&gt;&lt;_keywords&gt;Animals; B-Lymphocytes/*immunology/*metabolism; Biomarkers; Carcinoma, Pancreatic Ductal; Cell Transformation, Neoplastic/*immunology/*metabolism; Disease Models, Animal; Humans; Immunohistochemistry; Interleukins/*biosynthesis; Lymphocytes, Tumor-Infiltrating/immunology/metabolism; Mice; Mice, Knockout; Pancreatic Neoplasms/*immunology/*metabolism/pathology; Phenotype&lt;/_keywords&gt;&lt;_language&gt;eng&lt;/_language&gt;&lt;_modified&gt;63229930&lt;/_modified&gt;&lt;_ori_publication&gt;(c)2015 American Association for Cancer Research.&lt;/_ori_publication&gt;&lt;_pages&gt;247-55&lt;/_pages&gt;&lt;_tertiary_title&gt;Cancer discovery&lt;/_tertiary_title&gt;&lt;_type_work&gt;Journal Article; Research Support, N.I.H., Extramural; Research Support, Non-U.S. Gov&amp;apos;t&lt;/_type_work&gt;&lt;_url&gt;http://www.ncbi.nlm.nih.gov/entrez/query.fcgi?cmd=Retrieve&amp;amp;db=pubmed&amp;amp;dopt=Abstract&amp;amp;list_uids=26715643&amp;amp;query_hl=1&lt;/_url&gt;&lt;_volume&gt;6&lt;/_volume&gt;&lt;/Details&gt;&lt;Extra&gt;&lt;DBUID&gt;{F96A950B-833F-4880-A151-76DA2D6A2879}&lt;/DBUID&gt;&lt;/Extra&gt;&lt;/Item&gt;&lt;/References&gt;&lt;/Group&gt;&lt;/Citation&gt;_x000a_"/>
    <w:docVar w:name="NE.Ref{D6015644-9BDB-4906-A087-53D2531E922F}" w:val=" ADDIN NE.Ref.{D6015644-9BDB-4906-A087-53D2531E922F}&lt;Citation&gt;&lt;Group&gt;&lt;References&gt;&lt;Item&gt;&lt;ID&gt;737&lt;/ID&gt;&lt;UID&gt;{FABE204F-E494-4777-9029-72996417CCD9}&lt;/UID&gt;&lt;Title&gt;Recirculating Intestinal IgA-Producing Cells Regulate Neuroinflammation via IL-10&lt;/Title&gt;&lt;Template&gt;Journal Article&lt;/Template&gt;&lt;Star&gt;0&lt;/Star&gt;&lt;Tag&gt;0&lt;/Tag&gt;&lt;Author&gt;Rojas, O L; Probstel, A K; Porfilio, E A; Wang, A A; Charabati, M; Sun, T; Lee, DSW; Galicia, G; Ramaglia, V; Ward, L A; Leung, LYT; Najafi, G; Khaleghi, K; Garcillan, B; Li, A; Besla, R; Naouar, I; Cao, E Y; Chiaranunt, P; Burrows, K; Robinson, H G; Allanach, J R; Yam, J; Luck, H; Campbell, D J; Allman, D; Brooks, D G; Tomura, M; Baumann, R; Zamvil, S S; Bar-Or, A; Horwitz, M S; Winer, D A; Mortha, A; Mackay, F; Prat, A; Osborne, L C; Robbins, C; Baranzini, S E; Gommerman, J L&lt;/Author&gt;&lt;Year&gt;2019&lt;/Year&gt;&lt;Details&gt;&lt;_accession_num&gt;30951673&lt;/_accession_num&gt;&lt;_collection_scope&gt;SCI;SCIE&lt;/_collection_scope&gt;&lt;_created&gt;63229965&lt;/_created&gt;&lt;_date&gt;2019-04-04&lt;/_date&gt;&lt;_date_display&gt;2019 Apr 4&lt;/_date_display&gt;&lt;_db_updated&gt;PubMed&lt;/_db_updated&gt;&lt;_doi&gt;10.1016/j.cell.2019.03.037&lt;/_doi&gt;&lt;_impact_factor&gt;  38.637&lt;/_impact_factor&gt;&lt;_isbn&gt;1097-4172 (Electronic); 0092-8674 (Linking)&lt;/_isbn&gt;&lt;_issue&gt;2&lt;/_issue&gt;&lt;_journal&gt;Cell&lt;/_journal&gt;&lt;_language&gt;eng&lt;/_language&gt;&lt;_modified&gt;63430422&lt;/_modified&gt;&lt;_pages&gt;492-493&lt;/_pages&gt;&lt;_tertiary_title&gt;Cell&lt;/_tertiary_title&gt;&lt;_type_work&gt;Published Erratum&lt;/_type_work&gt;&lt;_url&gt;http://www.ncbi.nlm.nih.gov/entrez/query.fcgi?cmd=Retrieve&amp;amp;db=pubmed&amp;amp;dopt=Abstract&amp;amp;list_uids=30951673&amp;amp;query_hl=1&lt;/_url&gt;&lt;_volume&gt;177&lt;/_volume&gt;&lt;/Details&gt;&lt;Extra&gt;&lt;DBUID&gt;{F96A950B-833F-4880-A151-76DA2D6A2879}&lt;/DBUID&gt;&lt;/Extra&gt;&lt;/Item&gt;&lt;/References&gt;&lt;/Group&gt;&lt;Group&gt;&lt;References&gt;&lt;Item&gt;&lt;ID&gt;781&lt;/ID&gt;&lt;UID&gt;{50DE1194-39B7-474F-8F35-7BBF5D477CBA}&lt;/UID&gt;&lt;Title&gt;Gut-educated IgA plasma cells defend the meningeal venous sinuses&lt;/Title&gt;&lt;Template&gt;Journal Article&lt;/Template&gt;&lt;Star&gt;0&lt;/Star&gt;&lt;Tag&gt;0&lt;/Tag&gt;&lt;Author&gt;Fitzpatrick, Z; Frazer, G; Ferro, A; Clare, S; Bouladoux, N; Ferdinand, J; Tuong, Z K; Negro-Demontel, M L; Kumar, N; Suchanek, O; Tajsic, T; Harcourt, K; Scott, K; Bashford-Rogers, R; Helmy, A; Reich, D S; Belkaid, Y; Lawley, T D; McGavern, D B; Clatworthy, M R&lt;/Author&gt;&lt;Year&gt;2020&lt;/Year&gt;&lt;Details&gt;&lt;_accession_num&gt;33149302&lt;/_accession_num&gt;&lt;_author_adr&gt;Molecular Immunity Unit, Department of Medicine, University of Cambridge, Cambridge, UK.; Viral Immunology and Intravital Imaging Section, National Institute of Neurological Disorders and Stroke, National Institutes of Health, Bethesda, MA, USA.; Molecular Immunity Unit, Department of Medicine, University of Cambridge, Cambridge, UK.; Molecular Immunity Unit, Department of Medicine, University of Cambridge, Cambridge, UK.; Host-Microbiota Interactions Laboratory, Wellcome Sanger Institute, Hinxton, UK.; National Institute of Allergy and Infectious Diseases, National Institutes of Health, Bethesda, MA, USA.; Molecular Immunity Unit, Department of Medicine, University of Cambridge, Cambridge, UK.; Molecular Immunity Unit, Department of Medicine, University of Cambridge, Cambridge, UK.; Cellular Genetics, Wellcome Sanger Institute, Hinxton, UK.; Viral Immunology and Intravital Imaging Section, National Institute of Neurological Disorders and Stroke, National Institutes of Health, Bethesda, MA, USA.; Host-Microbiota Interactions Laboratory, Wellcome Sanger Institute, Hinxton, UK.; Molecular Immunity Unit, Department of Medicine, University of Cambridge, Cambridge, UK.; Division of Neurosurgery, Department of Clinical Neurosciences, University of Cambridge, Cambridge, UK.; Host-Microbiota Interactions Laboratory, Wellcome Sanger Institute, Hinxton, UK.; Molecular Immunity Unit, Department of Medicine, University of Cambridge, Cambridge, UK.; John van Geest Centre for Brain Repair, Department of Clinical Neurosciences, University of Cambridge, Cambridge, UK.; Wellcome Trust Centre for Human Genetics, University of Oxford, Oxford, UK.; Division of Neurosurgery, Department of Clinical Neurosciences, University of Cambridge, Cambridge, UK.; Translational Neuroradiology Section, National Institute of Neurological Disorders and Stroke, National Institutes of Health, Bethesda, MA, USA.; National Institute of Allergy and Infectious Diseases, National Institutes of Health, Bethesda, MA, USA.; Host-Microbiota Interactions Laboratory, Wellcome Sanger Institute, Hinxton, UK.; Viral Immunology and Intravital Imaging Section, National Institute of Neurological Disorders and Stroke, National Institutes of Health, Bethesda, MA, USA. mcgavernd@mail.nih.gov.; Molecular Immunity Unit, Department of Medicine, University of Cambridge, Cambridge, UK. mrc38@cam.ac.uk.; Cellular Genetics, Wellcome Sanger Institute, Hinxton, UK. mrc38@cam.ac.uk.; Cambridge Institute of Therapeutic Immunology and Infectious Diseases, University of Cambridge, Cambridge, UK. mrc38@cam.ac.uk.&lt;/_author_adr&gt;&lt;_date_display&gt;2020 Nov 4&lt;/_date_display&gt;&lt;_date&gt;2020-11-04&lt;/_date&gt;&lt;_doi&gt;10.1038/s41586-020-2886-4&lt;/_doi&gt;&lt;_isbn&gt;1476-4687 (Electronic); 0028-0836 (Linking)&lt;/_isbn&gt;&lt;_journal&gt;Nature&lt;/_journal&gt;&lt;_language&gt;eng&lt;/_language&gt;&lt;_tertiary_title&gt;Nature&lt;/_tertiary_title&gt;&lt;_type_work&gt;Journal Article&lt;/_type_work&gt;&lt;_url&gt;http://www.ncbi.nlm.nih.gov/entrez/query.fcgi?cmd=Retrieve&amp;amp;db=pubmed&amp;amp;dopt=Abstract&amp;amp;list_uids=33149302&amp;amp;query_hl=1&lt;/_url&gt;&lt;_created&gt;63564087&lt;/_created&gt;&lt;_modified&gt;63564087&lt;/_modified&gt;&lt;_db_updated&gt;PubMed&lt;/_db_updated&gt;&lt;_impact_factor&gt;  42.778&lt;/_impact_factor&gt;&lt;_collection_scope&gt;SCI;SCIE&lt;/_collection_scope&gt;&lt;/Details&gt;&lt;Extra&gt;&lt;DBUID&gt;{F96A950B-833F-4880-A151-76DA2D6A2879}&lt;/DBUID&gt;&lt;/Extra&gt;&lt;/Item&gt;&lt;/References&gt;&lt;/Group&gt;&lt;/Citation&gt;_x000a_"/>
    <w:docVar w:name="NE.Ref{DA1DB621-8E75-4533-BE68-567B3BE6F7C4}" w:val=" ADDIN NE.Ref.{DA1DB621-8E75-4533-BE68-567B3BE6F7C4}&lt;Citation&gt;&lt;Group&gt;&lt;References&gt;&lt;Item&gt;&lt;ID&gt;778&lt;/ID&gt;&lt;UID&gt;{AA83664E-A00F-4758-9B7B-09E569543709}&lt;/UID&gt;&lt;Title&gt;Plasma glutamate-modulated interaction of A2AR and mGluR5 on BMDCs aggravates traumatic brain injury-induced acute lung injury&lt;/Title&gt;&lt;Template&gt;Journal Article&lt;/Template&gt;&lt;Star&gt;0&lt;/Star&gt;&lt;Tag&gt;0&lt;/Tag&gt;&lt;Author&gt;Dai, S S; Wang, H; Yang, N; An, J H; Li, W; Ning, Y L; Zhu, P F; Chen, J F; Zhou, Y G&lt;/Author&gt;&lt;Year&gt;2013&lt;/Year&gt;&lt;Details&gt;&lt;_accession_num&gt;23478188&lt;/_accession_num&gt;&lt;_author_adr&gt;Department of Biochemistry and Molecular Biology, State Key Laboratory of Trauma, Burn, and Combined Injury, Third Military Medical University, Chongqing 400042, China.&lt;/_author_adr&gt;&lt;_date_display&gt;2013 Apr 8&lt;/_date_display&gt;&lt;_date&gt;2013-04-08&lt;/_date&gt;&lt;_doi&gt;10.1084/jem.20122196&lt;/_doi&gt;&lt;_isbn&gt;1540-9538 (Electronic); 0022-1007 (Linking)&lt;/_isbn&gt;&lt;_issue&gt;4&lt;/_issue&gt;&lt;_journal&gt;J Exp Med&lt;/_journal&gt;&lt;_language&gt;eng&lt;/_language&gt;&lt;_pages&gt;839-51&lt;/_pages&gt;&lt;_subject_headings&gt;Acute Lung Injury/*blood/etiology/genetics/pathology; Adenosine/analogs &amp;amp; derivatives/pharmacology; Adenosine A2 Receptor Agonists/pharmacology; Adult; Animals; Bone Marrow Cells/*metabolism/pathology; Brain Injuries/*blood/complications/genetics/pathology; Disease Models, Animal; Female; Glutamic Acid/*blood/genetics; Humans; Male; Mice; Mice, Knockout; Middle Aged; Phenethylamines/pharmacology; Protein Kinase C/genetics/metabolism; Receptor, Adenosine A2A/genetics/*metabolism; Receptor, Metabotropic Glutamate 5; Receptors, Metabotropic Glutamate/genetics/*metabolism; *Signal Transduction; Triazines/pharmacology; Triazoles/pharmacology; Type C Phospholipases/genetics/metabolism&lt;/_subject_headings&gt;&lt;_tertiary_title&gt;The Journal of experimental medicine&lt;/_tertiary_title&gt;&lt;_type_work&gt;Clinical Trial; Journal Article; Research Support, Non-U.S. Gov&amp;apos;t&lt;/_type_work&gt;&lt;_url&gt;http://www.ncbi.nlm.nih.gov/entrez/query.fcgi?cmd=Retrieve&amp;amp;db=pubmed&amp;amp;dopt=Abstract&amp;amp;list_uids=23478188&amp;amp;query_hl=1&lt;/_url&gt;&lt;_volume&gt;210&lt;/_volume&gt;&lt;_created&gt;63430457&lt;/_created&gt;&lt;_modified&gt;63430457&lt;/_modified&gt;&lt;_db_updated&gt;PubMed&lt;/_db_updated&gt;&lt;_impact_factor&gt;  11.743&lt;/_impact_factor&gt;&lt;_collection_scope&gt;SCI;SCIE&lt;/_collection_scope&gt;&lt;/Details&gt;&lt;Extra&gt;&lt;DBUID&gt;{F96A950B-833F-4880-A151-76DA2D6A2879}&lt;/DBUID&gt;&lt;/Extra&gt;&lt;/Item&gt;&lt;/References&gt;&lt;/Group&gt;&lt;/Citation&gt;_x000a_"/>
    <w:docVar w:name="NE.Ref{DCF96B2A-DBE7-490A-8D36-7B5F43BFE932}" w:val=" ADDIN NE.Ref.{DCF96B2A-DBE7-490A-8D36-7B5F43BFE932}&lt;Citation&gt;&lt;Group&gt;&lt;References&gt;&lt;Item&gt;&lt;ID&gt;443&lt;/ID&gt;&lt;UID&gt;{3962F250-01EC-45CE-8BD8-131932575299}&lt;/UID&gt;&lt;Title&gt;Microglial malfunction: the third rail in the development of Alzheimer&amp;apos;s disease&lt;/Title&gt;&lt;Template&gt;Journal Article&lt;/Template&gt;&lt;Star&gt;0&lt;/Star&gt;&lt;Tag&gt;0&lt;/Tag&gt;&lt;Author&gt;Mhatre, S D; Tsai, C A; Rubin, A J; James, M L; Andreasson, K I&lt;/Author&gt;&lt;Year&gt;2015&lt;/Year&gt;&lt;Details&gt;&lt;_accession_num&gt;26442696&lt;/_accession_num&gt;&lt;_author_adr&gt;Department of Neurology and Neurological Sciences, Stanford University School of  Medicine, Stanford, CA, USA; Stanford Neurosciences Institute, Stanford, CA, USA.; Department of Neurology and Neurological Sciences, Stanford University School of  Medicine, Stanford, CA, USA; Stanford Neurosciences Institute, Stanford, CA, USA; Neurosciences Graduate Program, Stanford University, Stanford, CA, USA.; Department of Neurology and Neurological Sciences, Stanford University School of  Medicine, Stanford, CA, USA; Stanford Neurosciences Institute, Stanford, CA, USA; Neurosciences Graduate Program, Stanford University, Stanford, CA, USA.; Department of Radiology, Stanford University School of Medicine, Stanford, CA, USA.; Department of Neurology and Neurological Sciences, Stanford University School of  Medicine, Stanford, CA, USA; Stanford Neurosciences Institute, Stanford, CA, USA. Electronic address: kandreas@stanford.edu.&lt;/_author_adr&gt;&lt;_collection_scope&gt;SCI;SCIE&lt;/_collection_scope&gt;&lt;_created&gt;63169437&lt;/_created&gt;&lt;_date&gt;2015-10-01&lt;/_date&gt;&lt;_date_display&gt;2015 Oct&lt;/_date_display&gt;&lt;_db_updated&gt;PubMed&lt;/_db_updated&gt;&lt;_doi&gt;10.1016/j.tins.2015.08.006&lt;/_doi&gt;&lt;_impact_factor&gt;  12.314&lt;/_impact_factor&gt;&lt;_isbn&gt;1878-108X (Electronic); 0166-2236 (Linking)&lt;/_isbn&gt;&lt;_issue&gt;10&lt;/_issue&gt;&lt;_journal&gt;Trends Neurosci&lt;/_journal&gt;&lt;_keywords&gt;Alzheimer Disease/*immunology; Animals; Brain/immunology; Humans; Microglia/*immunologyAlzheimer&amp;apos;s disease; Abeta peptide; Braak stages; GWAS; epigenomics; microglia; tau phosphorylation; transcriptomics&lt;/_keywords&gt;&lt;_language&gt;eng&lt;/_language&gt;&lt;_modified&gt;63169437&lt;/_modified&gt;&lt;_ori_publication&gt;Copyright (c) 2015 Elsevier Ltd. All rights reserved.&lt;/_ori_publication&gt;&lt;_pages&gt;621-636&lt;/_pages&gt;&lt;_tertiary_title&gt;Trends in neurosciences&lt;/_tertiary_title&gt;&lt;_type_work&gt;Journal Article; Research Support, N.I.H., Extramural; Review&lt;/_type_work&gt;&lt;_url&gt;http://www.ncbi.nlm.nih.gov/entrez/query.fcgi?cmd=Retrieve&amp;amp;db=pubmed&amp;amp;dopt=Abstract&amp;amp;list_uids=26442696&amp;amp;query_hl=1&lt;/_url&gt;&lt;_volume&gt;38&lt;/_volume&gt;&lt;/Details&gt;&lt;Extra&gt;&lt;DBUID&gt;{F96A950B-833F-4880-A151-76DA2D6A2879}&lt;/DBUID&gt;&lt;/Extra&gt;&lt;/Item&gt;&lt;/References&gt;&lt;/Group&gt;&lt;/Citation&gt;_x000a_"/>
    <w:docVar w:name="NE.Ref{E2638957-1060-4ECE-8DFD-4624F88F3578}" w:val=" ADDIN NE.Ref.{E2638957-1060-4ECE-8DFD-4624F88F3578}&lt;Citation&gt;&lt;Group&gt;&lt;References&gt;&lt;Item&gt;&lt;ID&gt;469&lt;/ID&gt;&lt;UID&gt;{215B4C10-1C3A-4D46-9579-B2C46F9F03E3}&lt;/UID&gt;&lt;Title&gt;Deep cervical lymph node ligation aggravates AD-like pathology of APP/PS1 mice&lt;/Title&gt;&lt;Template&gt;Journal Article&lt;/Template&gt;&lt;Star&gt;0&lt;/Star&gt;&lt;Tag&gt;0&lt;/Tag&gt;&lt;Author&gt;Wang, L; Zhang, Y; Zhao, Y; Marshall, C; Wu, T; Xiao, M&lt;/Author&gt;&lt;Year&gt;2019&lt;/Year&gt;&lt;Details&gt;&lt;_accession_num&gt;30192999&lt;/_accession_num&gt;&lt;_author_adr&gt;Jiangsu Province, Key Laboratory of Neurodegeneration, Nanjing Medical University, Nanjing, Jiangsu, China.; Jiangsu Province, Key Laboratory of Neurodegeneration, Nanjing Medical University, Nanjing, Jiangsu, China.; Jiangsu Province, Key Laboratory of Neurodegeneration, Nanjing Medical University, Nanjing, Jiangsu, China.; Department of Rehabilitation Sciences, University of Kentucky Center of Excellence in Rural Health, Hazard, KY.; Department of Neurology, the First Affiliated Hospital of Nanjing Medical University, Nanjing, Jiangsu, 210029, China.; Jiangsu Province, Key Laboratory of Neurodegeneration, Nanjing Medical University, Nanjing, Jiangsu, China.&lt;/_author_adr&gt;&lt;_collection_scope&gt;SCI;SCIE&lt;/_collection_scope&gt;&lt;_created&gt;63169484&lt;/_created&gt;&lt;_date&gt;2019-03-01&lt;/_date&gt;&lt;_date_display&gt;2019 Mar&lt;/_date_display&gt;&lt;_db_updated&gt;PubMed&lt;/_db_updated&gt;&lt;_doi&gt;10.1111/bpa.12656&lt;/_doi&gt;&lt;_impact_factor&gt;   6.155&lt;/_impact_factor&gt;&lt;_isbn&gt;1750-3639 (Electronic); 1015-6305 (Linking)&lt;/_isbn&gt;&lt;_issue&gt;2&lt;/_issue&gt;&lt;_journal&gt;Brain Pathol&lt;/_journal&gt;&lt;_keywords&gt;Alzheimer Disease/immunology/pathology; Amyloid beta-Peptides/genetics/*metabolism; Amyloid beta-Protein Precursor/genetics/metabolism; Animals; Aquaporin 4/metabolism; Brain/metabolism/pathology; Disease Models, Animal; Disease Progression; Hippocampus/metabolism; Humans; Lymph Nodes/metabolism/*physiology/surgery; Lymphatic System/metabolism/*physiology; Male; Mice; Mice, Inbred C57BL; Mice, Transgenic; Plaque, Amyloid/pathology; Prefrontal Cortex/metabolism*Alzheimer&amp;apos;s disease; *amyloid beta; *dural lymphatic vessels; *glymphatic system; aquaporin 4&lt;/_keywords&gt;&lt;_language&gt;eng&lt;/_language&gt;&lt;_modified&gt;63169485&lt;/_modified&gt;&lt;_ori_publication&gt;(c) 2018 International Society of Neuropathology.&lt;/_ori_publication&gt;&lt;_pages&gt;176-192&lt;/_pages&gt;&lt;_tertiary_title&gt;Brain pathology (Zurich, Switzerland)&lt;/_tertiary_title&gt;&lt;_type_work&gt;Journal Article; Research Support, Non-U.S. Gov&amp;apos;t&lt;/_type_work&gt;&lt;_url&gt;http://www.ncbi.nlm.nih.gov/entrez/query.fcgi?cmd=Retrieve&amp;amp;db=pubmed&amp;amp;dopt=Abstract&amp;amp;list_uids=30192999&amp;amp;query_hl=1&lt;/_url&gt;&lt;_volume&gt;29&lt;/_volume&gt;&lt;/Details&gt;&lt;Extra&gt;&lt;DBUID&gt;{F96A950B-833F-4880-A151-76DA2D6A2879}&lt;/DBUID&gt;&lt;/Extra&gt;&lt;/Item&gt;&lt;/References&gt;&lt;/Group&gt;&lt;Group&gt;&lt;References&gt;&lt;Item&gt;&lt;ID&gt;470&lt;/ID&gt;&lt;UID&gt;{F72E9833-C8A7-44D7-A573-4518629441FD}&lt;/UID&gt;&lt;Title&gt;Functional aspects of meningeal lymphatics in ageing and Alzheimer&amp;apos;s disease&lt;/Title&gt;&lt;Template&gt;Journal Article&lt;/Template&gt;&lt;Star&gt;0&lt;/Star&gt;&lt;Tag&gt;0&lt;/Tag&gt;&lt;Author&gt;Da, Mesquita S; Louveau, A; Vaccari, A; Smirnov, I; Cornelison, R C; Kingsmore, K M; Contarino, C; Onengut-Gumuscu, S; Farber, E; Raper, D; Viar, K E; Powell, R D; Baker, W; Dabhi, N; Bai, R; Cao, R; Hu, S; Rich, S S; Munson, J M; Lopes, M B; Overall, C C; Acton, S T; Kipnis, J&lt;/Author&gt;&lt;Year&gt;2018&lt;/Year&gt;&lt;Details&gt;&lt;_accession_num&gt;30046111&lt;/_accession_num&gt;&lt;_author_adr&gt;Center for Brain Immunology and Glia (BIG), University of Virginia, Charlottesville, VA, USA. sd8tf@virginia.edu.; Department of Neuroscience, University of Virginia, Charlottesville, VA, USA. sd8tf@virginia.edu.; Center for Brain Immunology and Glia (BIG), University of Virginia, Charlottesville, VA, USA.; Department of Neuroscience, University of Virginia, Charlottesville, VA, USA.; Virginia Image and Video Analysis Laboratory, Department of Electrical and Computer Engineering, University of Virginia, Charlottesville, VA, USA.; Department of Biomedical Engineering, University of Virginia, Charlottesville, VA, USA.; Center for Brain Immunology and Glia (BIG), University of Virginia, Charlottesville, VA, USA.; Department of Neuroscience, University of Virginia, Charlottesville, VA, USA.; Department of Biomedical Engineering, University of Virginia, Charlottesville, VA, USA.; Department of Biomedical Engineering, University of Virginia, Charlottesville, VA, USA.; Center for Brain Immunology and Glia (BIG), University of Virginia, Charlottesville, VA, USA.; Department of Neuroscience, University of Virginia, Charlottesville, VA, USA.; Department of Mathematics, University of Trento, Povo, Italy.; Center for Public Health Genomics, University of Virginia, Charlottesville, VA, USA.; Center for Public Health Genomics, University of Virginia, Charlottesville, VA, USA.; Center for Brain Immunology and Glia (BIG), University of Virginia, Charlottesville, VA, USA.; Department of Neuroscience, University of Virginia, Charlottesville, VA, USA.; Department of Neurosurgery, University of Virginia Health System, Charlottesville, VA, USA.; Center for Brain Immunology and Glia (BIG), University of Virginia, Charlottesville, VA, USA.; Department of Neuroscience, University of Virginia, Charlottesville, VA, USA.; Center for Brain Immunology and Glia (BIG), University of Virginia, Charlottesville, VA, USA.; Department of Neuroscience, University of Virginia, Charlottesville, VA, USA.; Center for Brain Immunology and Glia (BIG), University of Virginia, Charlottesville, VA, USA.; Department of Neuroscience, University of Virginia, Charlottesville, VA, USA.; Center for Brain Immunology and Glia (BIG), University of Virginia, Charlottesville, VA, USA.; Department of Neuroscience, University of Virginia, Charlottesville, VA, USA.; Center for Brain Immunology and Glia (BIG), University of Virginia, Charlottesville, VA, USA.; Department of Neuroscience, University of Virginia, Charlottesville, VA, USA.; Department of Biomedical Engineering, University of Virginia, Charlottesville, VA, USA.; Department of Biomedical Engineering, University of Virginia, Charlottesville, VA, USA.; Center for Public Health Genomics, University of Virginia, Charlottesville, VA, USA.; Department of Biomedical Engineering, University of Virginia, Charlottesville, VA, USA.; Department of Biomedical Engineering and Mechanics, College of Engineering, Virginia Tech, Blacksburg, VA, USA.; Department of Pathology, University of Virginia, Charlottesville, VA, USA.; Center for Brain Immunology and Glia (BIG), University of Virginia, Charlottesville, VA, USA.; Department of Neuroscience, University of Virginia, Charlottesville, VA, USA.; Virginia Image and Video Analysis Laboratory, Department of Electrical and Computer Engineering, University of Virginia, Charlottesville, VA, USA.; Department of Biomedical Engineering, University of Virginia, Charlottesville, VA, USA.; Center for Brain Immunology and Glia (BIG), University of Virginia, Charlottesville, VA, USA. kipnis@virginia.edu.; Department of Neuroscience, University of Virginia, Charlottesville, VA, USA. kipnis@virginia.edu.&lt;/_author_adr&gt;&lt;_collection_scope&gt;SCI;SCIE&lt;/_collection_scope&gt;&lt;_created&gt;63169486&lt;/_created&gt;&lt;_date&gt;2018-08-01&lt;/_date&gt;&lt;_date_display&gt;2018 Aug&lt;/_date_display&gt;&lt;_db_updated&gt;PubMed&lt;/_db_updated&gt;&lt;_doi&gt;10.1038/s41586-018-0368-8&lt;/_doi&gt;&lt;_impact_factor&gt;  43.070&lt;/_impact_factor&gt;&lt;_isbn&gt;1476-4687 (Electronic); 0028-0836 (Linking)&lt;/_isbn&gt;&lt;_issue&gt;7717&lt;/_issue&gt;&lt;_journal&gt;Nature&lt;/_journal&gt;&lt;_keywords&gt;Aging/*cerebrospinal fluid/pathology; Alzheimer Disease/*cerebrospinal fluid/pathology/*physiopathology; Amyloid/metabolism; Amyloid beta-Peptides/metabolism; Animals; Brain/metabolism; Cognition; Cognition Disorders/physiopathology/therapy; Disease Models, Animal; Extracellular Fluid/metabolism; Female; Homeostasis; Humans; Lymph Nodes/metabolism; Lymphatic Vessels/pathology/*physiopathology; Male; Meninges/pathology/*physiopathology; Mice; Mice, Transgenic; Perfusion&lt;/_keywords&gt;&lt;_language&gt;eng&lt;/_language&gt;&lt;_modified&gt;63169486&lt;/_modified&gt;&lt;_pages&gt;185-191&lt;/_pages&gt;&lt;_tertiary_title&gt;Nature&lt;/_tertiary_title&gt;&lt;_type_work&gt;Journal Article; Research Support, N.I.H., Extramural&lt;/_type_work&gt;&lt;_url&gt;http://www.ncbi.nlm.nih.gov/entrez/query.fcgi?cmd=Retrieve&amp;amp;db=pubmed&amp;amp;dopt=Abstract&amp;amp;list_uids=30046111&amp;amp;query_hl=1&lt;/_url&gt;&lt;_volume&gt;560&lt;/_volume&gt;&lt;/Details&gt;&lt;Extra&gt;&lt;DBUID&gt;{F96A950B-833F-4880-A151-76DA2D6A2879}&lt;/DBUID&gt;&lt;/Extra&gt;&lt;/Item&gt;&lt;/References&gt;&lt;/Group&gt;&lt;/Citation&gt;_x000a_"/>
    <w:docVar w:name="NE.Ref{E97D94AF-280A-41BE-A923-7E7CFB82DAD7}" w:val=" ADDIN NE.Ref.{E97D94AF-280A-41BE-A923-7E7CFB82DAD7}&lt;Citation&gt;&lt;Group&gt;&lt;References&gt;&lt;Item&gt;&lt;ID&gt;736&lt;/ID&gt;&lt;UID&gt;{6618D738-4F03-4F2D-813B-4642CA2BFF2B}&lt;/UID&gt;&lt;Title&gt;Antibody-Independent Function of Human B Cells Contributes to Antifungal T Cell Responses&lt;/Title&gt;&lt;Template&gt;Journal Article&lt;/Template&gt;&lt;Star&gt;0&lt;/Star&gt;&lt;Tag&gt;0&lt;/Tag&gt;&lt;Author&gt;Li, R; Rezk, A; Li, H; Gommerman, J L; Prat, A; Bar-Or, A&lt;/Author&gt;&lt;Year&gt;2017&lt;/Year&gt;&lt;Details&gt;&lt;_accession_num&gt;28275140&lt;/_accession_num&gt;&lt;_author_adr&gt;Neuroimmunology Unit, Montreal Neurological Institute, McGill University, Montreal, Quebec H3A 2B4, Canada.; Perelman School of Medicine, University of Pennsylvania, Philadelphia, PA 19104.; Neuroimmunology Unit, Montreal Neurological Institute, McGill University, Montreal, Quebec H3A 2B4, Canada.; Perelman School of Medicine, University of Pennsylvania, Philadelphia, PA 19104.; Department of Neurobiology, Harbin Medical University, Harbin, Heilongjiang 150086, China.; Department of Immunology, University of Toronto, Toronto, Ontario M5S 1A8, Canada.; Centre de Recherche du Centre Hospitalier de l&amp;apos;Universite de Montreal-Hopital Notre-Dame, Montreal, Quebec H2L 4M1, Canada; and.; Neuroimmunology Unit, Montreal Neurological Institute, McGill University, Montreal, Quebec H3A 2B4, Canada; amitbar@upenn.edu.; Perelman School of Medicine, University of Pennsylvania, Philadelphia, PA 19104.; Experimental Therapeutics Program, Montreal Neurological Institute, McGill University, Montreal, Quebec H3A 2B4, Canada.&lt;/_author_adr&gt;&lt;_collection_scope&gt;SCI;SCIE&lt;/_collection_scope&gt;&lt;_created&gt;63229963&lt;/_created&gt;&lt;_date&gt;2017-04-15&lt;/_date&gt;&lt;_date_display&gt;2017 Apr 15&lt;/_date_display&gt;&lt;_db_updated&gt;PubMed&lt;/_db_updated&gt;&lt;_doi&gt;10.4049/jimmunol.1601572&lt;/_doi&gt;&lt;_impact_factor&gt;   4.886&lt;/_impact_factor&gt;&lt;_isbn&gt;1550-6606 (Electronic); 0022-1767 (Linking)&lt;/_isbn&gt;&lt;_issue&gt;8&lt;/_issue&gt;&lt;_journal&gt;J Immunol&lt;/_journal&gt;&lt;_keywords&gt;B-Lymphocytes/*immunology; CD4-Positive T-Lymphocytes/*immunology; Candida albicans/immunology; Coculture Techniques; Cytokines/biosynthesis/immunology; Enzyme-Linked Immunosorbent Assay; Flow Cytometry; Humans; Lymphocyte Activation/*immunology; Mycoses/*immunology&lt;/_keywords&gt;&lt;_language&gt;eng&lt;/_language&gt;&lt;_modified&gt;63229963&lt;/_modified&gt;&lt;_ori_publication&gt;Copyright (c) 2017 by The American Association of Immunologists, Inc.&lt;/_ori_publication&gt;&lt;_pages&gt;3245-3254&lt;/_pages&gt;&lt;_tertiary_title&gt;Journal of immunology (Baltimore, Md. : 1950)&lt;/_tertiary_title&gt;&lt;_type_work&gt;Journal Article; Research Support, Non-U.S. Gov&amp;apos;t&lt;/_type_work&gt;&lt;_url&gt;http://www.ncbi.nlm.nih.gov/entrez/query.fcgi?cmd=Retrieve&amp;amp;db=pubmed&amp;amp;dopt=Abstract&amp;amp;list_uids=28275140&amp;amp;query_hl=1&lt;/_url&gt;&lt;_volume&gt;198&lt;/_volume&gt;&lt;/Details&gt;&lt;Extra&gt;&lt;DBUID&gt;{F96A950B-833F-4880-A151-76DA2D6A2879}&lt;/DBUID&gt;&lt;/Extra&gt;&lt;/Item&gt;&lt;/References&gt;&lt;/Group&gt;&lt;/Citation&gt;_x000a_"/>
    <w:docVar w:name="NE.Ref{EF8F9174-DCEA-4AA5-84CB-789AB3E4FB26}" w:val=" ADDIN NE.Ref.{EF8F9174-DCEA-4AA5-84CB-789AB3E4FB26}&lt;Citation&gt;&lt;Group&gt;&lt;References&gt;&lt;Item&gt;&lt;ID&gt;624&lt;/ID&gt;&lt;UID&gt;{D2FE4BFA-A8AF-4CB9-BCE8-7FBEF78B64DC}&lt;/UID&gt;&lt;Title&gt;Regulatory B cells: origin, phenotype, and function&lt;/Title&gt;&lt;Template&gt;Journal Article&lt;/Template&gt;&lt;Star&gt;0&lt;/Star&gt;&lt;Tag&gt;0&lt;/Tag&gt;&lt;Author&gt;Rosser, E C; Mauri, C&lt;/Author&gt;&lt;Year&gt;2015&lt;/Year&gt;&lt;Details&gt;&lt;_accession_num&gt;25902480&lt;/_accession_num&gt;&lt;_author_adr&gt;Centre for Rheumatology Research, Division of Medicine, University College London, 5 University Street, London WC1E 6JF, UK.; Centre for Rheumatology Research, Division of Medicine, University College London, 5 University Street, London WC1E 6JF, UK. Electronic address: c.mauri@ucl.ac.uk.&lt;/_author_adr&gt;&lt;_collection_scope&gt;SCI;SCIE&lt;/_collection_scope&gt;&lt;_created&gt;63171000&lt;/_created&gt;&lt;_date&gt;2015-04-21&lt;/_date&gt;&lt;_date_display&gt;2015 Apr 21&lt;/_date_display&gt;&lt;_db_updated&gt;PubMed&lt;/_db_updated&gt;&lt;_doi&gt;10.1016/j.immuni.2015.04.005&lt;/_doi&gt;&lt;_impact_factor&gt;  22.553&lt;/_impact_factor&gt;&lt;_isbn&gt;1097-4180 (Electronic); 1074-7613 (Linking)&lt;/_isbn&gt;&lt;_issue&gt;4&lt;/_issue&gt;&lt;_journal&gt;Immunity&lt;/_journal&gt;&lt;_keywords&gt;B-Lymphocytes, Regulatory/classification/*immunology/pathology; Cell Differentiation; Cell Lineage/*immunology; Cell Proliferation; Dendritic Cells/immunology/pathology; Humans; *Immune Tolerance; *Immunity, Innate; Inflammation/immunology/pathology; Interleukin-10/biosynthesis/immunology; Interleukins/biosynthesis/immunology; Killer Cells, Natural/immunology/pathology; Phenotype; T-Lymphocytes/immunology/pathology; Transforming Growth Factor beta/biosynthesis/immunology&lt;/_keywords&gt;&lt;_language&gt;eng&lt;/_language&gt;&lt;_modified&gt;63845262&lt;/_modified&gt;&lt;_ori_publication&gt;Copyright (c) 2015 Elsevier Inc. All rights reserved.&lt;/_ori_publication&gt;&lt;_pages&gt;607-12&lt;/_pages&gt;&lt;_tertiary_title&gt;Immunity&lt;/_tertiary_title&gt;&lt;_type_work&gt;Journal Article; Research Support, Non-U.S. Gov&amp;apos;t; Review&lt;/_type_work&gt;&lt;_url&gt;http://www.ncbi.nlm.nih.gov/entrez/query.fcgi?cmd=Retrieve&amp;amp;db=pubmed&amp;amp;dopt=Abstract&amp;amp;list_uids=25902480&amp;amp;query_hl=1&lt;/_url&gt;&lt;_volume&gt;42&lt;/_volume&gt;&lt;/Details&gt;&lt;Extra&gt;&lt;DBUID&gt;{F96A950B-833F-4880-A151-76DA2D6A2879}&lt;/DBUID&gt;&lt;/Extra&gt;&lt;/Item&gt;&lt;/References&gt;&lt;/Group&gt;&lt;/Citation&gt;_x000a_"/>
    <w:docVar w:name="NE.Ref{F3C5185A-4DE8-436A-B5D0-9131298B0998}" w:val=" ADDIN NE.Ref.{F3C5185A-4DE8-436A-B5D0-9131298B0998}&lt;Citation&gt;&lt;Group&gt;&lt;References&gt;&lt;Item&gt;&lt;ID&gt;715&lt;/ID&gt;&lt;UID&gt;{693E4E55-8AE9-4B4E-B8B9-5CAF6141E189}&lt;/UID&gt;&lt;Title&gt;Transcriptional and post-transcriptional regulation of beta-secretase&lt;/Title&gt;&lt;Template&gt;Journal Article&lt;/Template&gt;&lt;Star&gt;0&lt;/Star&gt;&lt;Tag&gt;0&lt;/Tag&gt;&lt;Author&gt;Tamagno, E; Guglielmotto, M; Monteleone, D; Vercelli, A; Tabaton, M&lt;/Author&gt;&lt;Year&gt;2012&lt;/Year&gt;&lt;Details&gt;&lt;_accession_num&gt;23180460&lt;/_accession_num&gt;&lt;_author_adr&gt;Department of Neuroscience, University of Torino, Torino, Italy. elena.tamagno@unito.it&lt;/_author_adr&gt;&lt;_collection_scope&gt;SCI;SCIE&lt;/_collection_scope&gt;&lt;_created&gt;63229913&lt;/_created&gt;&lt;_date&gt;2012-12-01&lt;/_date&gt;&lt;_date_display&gt;2012 Dec&lt;/_date_display&gt;&lt;_db_updated&gt;PubMed&lt;/_db_updated&gt;&lt;_doi&gt;10.1002/iub.1099&lt;/_doi&gt;&lt;_impact_factor&gt;   3.244&lt;/_impact_factor&gt;&lt;_isbn&gt;1521-6551 (Electronic); 1521-6543 (Linking)&lt;/_isbn&gt;&lt;_issue&gt;12&lt;/_issue&gt;&lt;_journal&gt;IUBMB Life&lt;/_journal&gt;&lt;_keywords&gt;Alzheimer Disease/enzymology/*genetics/pathology; Amyloid Precursor Protein Secretases/*genetics/metabolism; Amyloid beta-Protein Precursor/*genetics/metabolism; Aspartic Acid Endopeptidases/*genetics/metabolism; Brain/*enzymology/pathology; Humans; Peptide Fragments/genetics/metabolism; Plaque, Amyloid/enzymology/genetics/pathology; Protein Structure, Tertiary; Proteolysis; RNA Processing, Post-Transcriptional; RNA, Messenger/*biosynthesis/genetics; Signal Transduction; *Transcription, Genetic&lt;/_keywords&gt;&lt;_language&gt;eng&lt;/_language&gt;&lt;_modified&gt;63585869&lt;/_modified&gt;&lt;_ori_publication&gt;Copyright (c) 2012 International Union of Biochemistry and Molecular Biology,_x000d__x000a_      Inc.&lt;/_ori_publication&gt;&lt;_pages&gt;943-50&lt;/_pages&gt;&lt;_tertiary_title&gt;IUBMB life&lt;/_tertiary_title&gt;&lt;_type_work&gt;Journal Article; Review&lt;/_type_work&gt;&lt;_url&gt;http://www.ncbi.nlm.nih.gov/entrez/query.fcgi?cmd=Retrieve&amp;amp;db=pubmed&amp;amp;dopt=Abstract&amp;amp;list_uids=23180460&amp;amp;query_hl=1&lt;/_url&gt;&lt;_volume&gt;64&lt;/_volume&gt;&lt;/Details&gt;&lt;Extra&gt;&lt;DBUID&gt;{F96A950B-833F-4880-A151-76DA2D6A2879}&lt;/DBUID&gt;&lt;/Extra&gt;&lt;/Item&gt;&lt;/References&gt;&lt;/Group&gt;&lt;/Citation&gt;_x000a_"/>
    <w:docVar w:name="NE.Ref{FDCC904E-B671-4C38-AAF5-2F9EB796AAF0}" w:val=" ADDIN NE.Ref.{FDCC904E-B671-4C38-AAF5-2F9EB796AAF0}&lt;Citation&gt;&lt;Group&gt;&lt;References&gt;&lt;Item&gt;&lt;ID&gt;787&lt;/ID&gt;&lt;UID&gt;{37E7BBFA-6428-423E-A967-D4EC472D148E}&lt;/UID&gt;&lt;Title&gt;CSF drains directly from the subarachnoid space into nasal lymphatics in the rat. Anatomy, histology and immunological significance&lt;/Title&gt;&lt;Template&gt;Journal Article&lt;/Template&gt;&lt;Star&gt;0&lt;/Star&gt;&lt;Tag&gt;0&lt;/Tag&gt;&lt;Author&gt;Kida, S; Pantazis, A; Weller, R O&lt;/Author&gt;&lt;Year&gt;1993&lt;/Year&gt;&lt;Details&gt;&lt;_accession_num&gt;7510047&lt;/_accession_num&gt;&lt;_author_adr&gt;Neuropathology, Faculty of Medicine, University of Southampton, UK.&lt;/_author_adr&gt;&lt;_date_display&gt;1993 Dec&lt;/_date_display&gt;&lt;_date&gt;1993-12-01&lt;/_date&gt;&lt;_doi&gt;10.1111/j.1365-2990.1993.tb00476.x&lt;/_doi&gt;&lt;_isbn&gt;0305-1846 (Print); 0305-1846 (Linking)&lt;/_isbn&gt;&lt;_issue&gt;6&lt;/_issue&gt;&lt;_journal&gt;Neuropathol Appl Neurobiol&lt;/_journal&gt;&lt;_language&gt;eng&lt;/_language&gt;&lt;_pages&gt;480-8&lt;/_pages&gt;&lt;_subject_headings&gt;Animals; *Carbon; Cerebrospinal Fluid/*metabolism; Cochlea/metabolism; Coloring Agents; Dura Mater/metabolism; Lymph Nodes/metabolism; Lymphatic System/anatomy &amp;amp; histology/*metabolism; Male; Nasal Cavity/anatomy &amp;amp; histology/*metabolism; Rats; Rats, Wistar; Staining and Labeling; Subarachnoid Space/anatomy &amp;amp; histology/*metabolism&lt;/_subject_headings&gt;&lt;_tertiary_title&gt;Neuropathology and applied neurobiology&lt;/_tertiary_title&gt;&lt;_type_work&gt;Journal Article; Research Support, Non-U.S. Gov&amp;apos;t&lt;/_type_work&gt;&lt;_url&gt;http://www.ncbi.nlm.nih.gov/entrez/query.fcgi?cmd=Retrieve&amp;amp;db=pubmed&amp;amp;dopt=Abstract&amp;amp;list_uids=7510047&amp;amp;query_hl=1&lt;/_url&gt;&lt;_volume&gt;19&lt;/_volume&gt;&lt;_created&gt;63845240&lt;/_created&gt;&lt;_modified&gt;63845240&lt;/_modified&gt;&lt;_db_updated&gt;PubMed&lt;/_db_updated&gt;&lt;_impact_factor&gt;   7.500&lt;/_impact_factor&gt;&lt;/Details&gt;&lt;Extra&gt;&lt;DBUID&gt;{F96A950B-833F-4880-A151-76DA2D6A2879}&lt;/DBUID&gt;&lt;/Extra&gt;&lt;/Item&gt;&lt;/References&gt;&lt;/Group&gt;&lt;/Citation&gt;_x000a_"/>
    <w:docVar w:name="NE.Ref{FEA7D955-6868-428C-BE3F-9692D95A9D77}" w:val=" ADDIN NE.Ref.{FEA7D955-6868-428C-BE3F-9692D95A9D77}&lt;Citation&gt;&lt;Group&gt;&lt;References&gt;&lt;Item&gt;&lt;ID&gt;707&lt;/ID&gt;&lt;UID&gt;{93631A51-0C11-436E-A481-D03626F629A3}&lt;/UID&gt;&lt;Title&gt;Safety, Tolerability, Pharmacokinetics, and Pharmacodynamic Effects of PF-06751979, a Potent and Selective Oral BACE1 Inhibitor: Results from Phase I Studies in Healthy Adults and Healthy Older Subjects&lt;/Title&gt;&lt;Template&gt;Journal Article&lt;/Template&gt;&lt;Star&gt;0&lt;/Star&gt;&lt;Tag&gt;0&lt;/Tag&gt;&lt;Author&gt;Qiu, R; Ahn, J E; Alexander, R; Brodney, M A; He, P; Leurent, C; Mancuso, J; Margolin, R A; Tankisheva, E; Chen, D&lt;/Author&gt;&lt;Year&gt;2019&lt;/Year&gt;&lt;Details&gt;&lt;_accessed&gt;63229902&lt;/_accessed&gt;&lt;_accession_num&gt;31424395&lt;/_accession_num&gt;&lt;_author_adr&gt;Pfizer Inc, Cambridge, MA, USA.; Pfizer Inc, Cambridge, MA, USA.; Takeda Pharmaceuticals International Co, Cambridge, MA, USA.; Vertex Pharmaceuticals, Boston, MA, USA.; Biogen Inc, Cambridge, MA, USA.; Samsung Ventures, Boston, MA, USA.; Pfizer Inc, Cambridge, MA, USA.; Clinical Research Solutions LLC, Cambridge, MA, USA.; Pfizer Clinical Research Unit Brussels, Belgium.; Pfizer Inc, Cambridge, MA, USA.&lt;/_author_adr&gt;&lt;_collection_scope&gt;SCIE&lt;/_collection_scope&gt;&lt;_created&gt;63229896&lt;/_created&gt;&lt;_date&gt;2019-01-20&lt;/_date&gt;&lt;_date_display&gt;2019&lt;/_date_display&gt;&lt;_db_updated&gt;PubMed&lt;/_db_updated&gt;&lt;_doi&gt;10.3233/JAD-190228&lt;/_doi&gt;&lt;_impact_factor&gt;   3.909&lt;/_impact_factor&gt;&lt;_isbn&gt;1875-8908 (Electronic); 1387-2877 (Linking)&lt;/_isbn&gt;&lt;_issue&gt;2&lt;/_issue&gt;&lt;_journal&gt;J Alzheimers Dis&lt;/_journal&gt;&lt;_keywords&gt;*Alzheimer&amp;apos;s disease; *BACE1 protein-human; *Phase I; *amyloid-beta peptides; *pharmacodynamics; *pharmacokinetics; *safety; *tolerability&lt;/_keywords&gt;&lt;_language&gt;eng&lt;/_language&gt;&lt;_modified&gt;63229903&lt;/_modified&gt;&lt;_pages&gt;581-595&lt;/_pages&gt;&lt;_tertiary_title&gt;Journal of Alzheimer&amp;apos;s disease : JAD&lt;/_tertiary_title&gt;&lt;_type_work&gt;Journal Article&lt;/_type_work&gt;&lt;_url&gt;http://www.ncbi.nlm.nih.gov/entrez/query.fcgi?cmd=Retrieve&amp;amp;db=pubmed&amp;amp;dopt=Abstract&amp;amp;list_uids=31424395&amp;amp;query_hl=1&lt;/_url&gt;&lt;_volume&gt;71&lt;/_volume&gt;&lt;/Details&gt;&lt;Extra&gt;&lt;DBUID&gt;{F96A950B-833F-4880-A151-76DA2D6A2879}&lt;/DBUID&gt;&lt;/Extra&gt;&lt;/Item&gt;&lt;/References&gt;&lt;/Group&gt;&lt;/Citation&gt;_x000a_"/>
    <w:docVar w:name="ne_docsoft" w:val="MSWord"/>
    <w:docVar w:name="ne_docversion" w:val="NoteExpress 2.0"/>
    <w:docVar w:name="ne_stylename" w:val="毕业论文1"/>
  </w:docVars>
  <w:rsids>
    <w:rsidRoot w:val="00D86489"/>
    <w:rsid w:val="00014C1F"/>
    <w:rsid w:val="0001740B"/>
    <w:rsid w:val="000260B5"/>
    <w:rsid w:val="00027EE4"/>
    <w:rsid w:val="00027FCA"/>
    <w:rsid w:val="000307A2"/>
    <w:rsid w:val="000341D9"/>
    <w:rsid w:val="00040D42"/>
    <w:rsid w:val="00045994"/>
    <w:rsid w:val="000733CE"/>
    <w:rsid w:val="0008123E"/>
    <w:rsid w:val="000864DD"/>
    <w:rsid w:val="000A356C"/>
    <w:rsid w:val="000D4F70"/>
    <w:rsid w:val="000E42AC"/>
    <w:rsid w:val="000E4541"/>
    <w:rsid w:val="000E6145"/>
    <w:rsid w:val="000F4963"/>
    <w:rsid w:val="000F5C31"/>
    <w:rsid w:val="00117811"/>
    <w:rsid w:val="00121B58"/>
    <w:rsid w:val="001231FD"/>
    <w:rsid w:val="001260DA"/>
    <w:rsid w:val="001261AC"/>
    <w:rsid w:val="00136C7A"/>
    <w:rsid w:val="00140A41"/>
    <w:rsid w:val="00153BBC"/>
    <w:rsid w:val="00154887"/>
    <w:rsid w:val="001578D2"/>
    <w:rsid w:val="00163DA3"/>
    <w:rsid w:val="00167C09"/>
    <w:rsid w:val="00176F0D"/>
    <w:rsid w:val="001770DF"/>
    <w:rsid w:val="0018645E"/>
    <w:rsid w:val="00187C97"/>
    <w:rsid w:val="001A0D31"/>
    <w:rsid w:val="001A3AD9"/>
    <w:rsid w:val="001B0022"/>
    <w:rsid w:val="001B02CE"/>
    <w:rsid w:val="001B22B7"/>
    <w:rsid w:val="001B2AC0"/>
    <w:rsid w:val="001B6711"/>
    <w:rsid w:val="001C0E55"/>
    <w:rsid w:val="001C1880"/>
    <w:rsid w:val="001C6750"/>
    <w:rsid w:val="001D18C6"/>
    <w:rsid w:val="001D19EF"/>
    <w:rsid w:val="001D7412"/>
    <w:rsid w:val="001E4D4E"/>
    <w:rsid w:val="001E63EA"/>
    <w:rsid w:val="001F1B9F"/>
    <w:rsid w:val="001F7A30"/>
    <w:rsid w:val="00200409"/>
    <w:rsid w:val="00203363"/>
    <w:rsid w:val="00210DC2"/>
    <w:rsid w:val="00220FB8"/>
    <w:rsid w:val="002241E8"/>
    <w:rsid w:val="0023489F"/>
    <w:rsid w:val="00236819"/>
    <w:rsid w:val="0024408B"/>
    <w:rsid w:val="002472CA"/>
    <w:rsid w:val="00252023"/>
    <w:rsid w:val="002556ED"/>
    <w:rsid w:val="002672F5"/>
    <w:rsid w:val="00273FF4"/>
    <w:rsid w:val="00294143"/>
    <w:rsid w:val="002A1869"/>
    <w:rsid w:val="002A2C08"/>
    <w:rsid w:val="002A356F"/>
    <w:rsid w:val="002A3FD0"/>
    <w:rsid w:val="002A5E8F"/>
    <w:rsid w:val="002B5869"/>
    <w:rsid w:val="002C3224"/>
    <w:rsid w:val="002C46A0"/>
    <w:rsid w:val="002C489B"/>
    <w:rsid w:val="002C6C02"/>
    <w:rsid w:val="002F236D"/>
    <w:rsid w:val="002F7ADA"/>
    <w:rsid w:val="00306E5E"/>
    <w:rsid w:val="00313327"/>
    <w:rsid w:val="0031474D"/>
    <w:rsid w:val="00316CD7"/>
    <w:rsid w:val="0033634F"/>
    <w:rsid w:val="00345F2F"/>
    <w:rsid w:val="00346025"/>
    <w:rsid w:val="003566F7"/>
    <w:rsid w:val="00360FB7"/>
    <w:rsid w:val="0036625D"/>
    <w:rsid w:val="00366827"/>
    <w:rsid w:val="003676C5"/>
    <w:rsid w:val="00371B4A"/>
    <w:rsid w:val="0037344F"/>
    <w:rsid w:val="003767A4"/>
    <w:rsid w:val="00383D7B"/>
    <w:rsid w:val="00390A50"/>
    <w:rsid w:val="00390B65"/>
    <w:rsid w:val="00392390"/>
    <w:rsid w:val="003A08CF"/>
    <w:rsid w:val="003A5D93"/>
    <w:rsid w:val="003B6322"/>
    <w:rsid w:val="003C02A2"/>
    <w:rsid w:val="003C4E46"/>
    <w:rsid w:val="003C59CA"/>
    <w:rsid w:val="003C6C5D"/>
    <w:rsid w:val="003D3E93"/>
    <w:rsid w:val="003D46BE"/>
    <w:rsid w:val="003D575C"/>
    <w:rsid w:val="003D76CD"/>
    <w:rsid w:val="003E3B32"/>
    <w:rsid w:val="003E3F37"/>
    <w:rsid w:val="003E4FE4"/>
    <w:rsid w:val="003F24E2"/>
    <w:rsid w:val="003F608C"/>
    <w:rsid w:val="00400C6E"/>
    <w:rsid w:val="00411A3E"/>
    <w:rsid w:val="00412B29"/>
    <w:rsid w:val="004170BE"/>
    <w:rsid w:val="00417733"/>
    <w:rsid w:val="0042522F"/>
    <w:rsid w:val="00426CB5"/>
    <w:rsid w:val="00431C99"/>
    <w:rsid w:val="00432F12"/>
    <w:rsid w:val="00443243"/>
    <w:rsid w:val="00447CCB"/>
    <w:rsid w:val="00465D3D"/>
    <w:rsid w:val="00472EB3"/>
    <w:rsid w:val="00474D5B"/>
    <w:rsid w:val="00481040"/>
    <w:rsid w:val="00483D2B"/>
    <w:rsid w:val="00491EB6"/>
    <w:rsid w:val="004929AF"/>
    <w:rsid w:val="004A419F"/>
    <w:rsid w:val="004B1ECF"/>
    <w:rsid w:val="004B5668"/>
    <w:rsid w:val="004D1661"/>
    <w:rsid w:val="004D2A80"/>
    <w:rsid w:val="004D3616"/>
    <w:rsid w:val="004D402C"/>
    <w:rsid w:val="004D4EE0"/>
    <w:rsid w:val="004E0E63"/>
    <w:rsid w:val="004E14DD"/>
    <w:rsid w:val="00513912"/>
    <w:rsid w:val="00530319"/>
    <w:rsid w:val="00530493"/>
    <w:rsid w:val="00533C5E"/>
    <w:rsid w:val="00545367"/>
    <w:rsid w:val="00552D9C"/>
    <w:rsid w:val="005736B2"/>
    <w:rsid w:val="00573CCC"/>
    <w:rsid w:val="00586AC5"/>
    <w:rsid w:val="005955BE"/>
    <w:rsid w:val="005A4C2C"/>
    <w:rsid w:val="005A75EA"/>
    <w:rsid w:val="005B3156"/>
    <w:rsid w:val="005B7098"/>
    <w:rsid w:val="005C0331"/>
    <w:rsid w:val="005D159B"/>
    <w:rsid w:val="00617840"/>
    <w:rsid w:val="00626815"/>
    <w:rsid w:val="006402ED"/>
    <w:rsid w:val="00641F24"/>
    <w:rsid w:val="00647750"/>
    <w:rsid w:val="00653861"/>
    <w:rsid w:val="006650A9"/>
    <w:rsid w:val="0067026D"/>
    <w:rsid w:val="00670341"/>
    <w:rsid w:val="00687A63"/>
    <w:rsid w:val="00695669"/>
    <w:rsid w:val="006A1680"/>
    <w:rsid w:val="006A4ED0"/>
    <w:rsid w:val="006B40EA"/>
    <w:rsid w:val="006C5468"/>
    <w:rsid w:val="006C639D"/>
    <w:rsid w:val="006D7994"/>
    <w:rsid w:val="006E1F75"/>
    <w:rsid w:val="006E31C2"/>
    <w:rsid w:val="006E5DE2"/>
    <w:rsid w:val="006E6153"/>
    <w:rsid w:val="006E6EA8"/>
    <w:rsid w:val="006F34B0"/>
    <w:rsid w:val="006F7227"/>
    <w:rsid w:val="006F7FEA"/>
    <w:rsid w:val="00706B5B"/>
    <w:rsid w:val="00723694"/>
    <w:rsid w:val="007340EE"/>
    <w:rsid w:val="00735D6D"/>
    <w:rsid w:val="007366BA"/>
    <w:rsid w:val="00742C35"/>
    <w:rsid w:val="00746A82"/>
    <w:rsid w:val="007530DC"/>
    <w:rsid w:val="007622BC"/>
    <w:rsid w:val="0076641D"/>
    <w:rsid w:val="00774BB2"/>
    <w:rsid w:val="00775E05"/>
    <w:rsid w:val="00787AEE"/>
    <w:rsid w:val="00794863"/>
    <w:rsid w:val="007A248F"/>
    <w:rsid w:val="007A6A3B"/>
    <w:rsid w:val="007A7442"/>
    <w:rsid w:val="007C56BA"/>
    <w:rsid w:val="007D1864"/>
    <w:rsid w:val="007F689A"/>
    <w:rsid w:val="0080231D"/>
    <w:rsid w:val="00820019"/>
    <w:rsid w:val="008266F7"/>
    <w:rsid w:val="00835AFA"/>
    <w:rsid w:val="008508B5"/>
    <w:rsid w:val="00871B6E"/>
    <w:rsid w:val="00882934"/>
    <w:rsid w:val="0088297B"/>
    <w:rsid w:val="00890D6C"/>
    <w:rsid w:val="00892D2D"/>
    <w:rsid w:val="00897B65"/>
    <w:rsid w:val="008A073F"/>
    <w:rsid w:val="008A7F4E"/>
    <w:rsid w:val="008B18D1"/>
    <w:rsid w:val="008C2FAF"/>
    <w:rsid w:val="008E6C68"/>
    <w:rsid w:val="008F767E"/>
    <w:rsid w:val="009029AE"/>
    <w:rsid w:val="009178E7"/>
    <w:rsid w:val="00917AE6"/>
    <w:rsid w:val="00922930"/>
    <w:rsid w:val="00924221"/>
    <w:rsid w:val="009333B6"/>
    <w:rsid w:val="0094627D"/>
    <w:rsid w:val="00956ECC"/>
    <w:rsid w:val="00957652"/>
    <w:rsid w:val="009733A0"/>
    <w:rsid w:val="00996EF7"/>
    <w:rsid w:val="009A34FB"/>
    <w:rsid w:val="009A539E"/>
    <w:rsid w:val="009B4EAE"/>
    <w:rsid w:val="009C61C4"/>
    <w:rsid w:val="009D6D60"/>
    <w:rsid w:val="009E1F2A"/>
    <w:rsid w:val="009E5D3E"/>
    <w:rsid w:val="009F5A8C"/>
    <w:rsid w:val="009F6780"/>
    <w:rsid w:val="009F720D"/>
    <w:rsid w:val="00A0666C"/>
    <w:rsid w:val="00A14F2A"/>
    <w:rsid w:val="00A24693"/>
    <w:rsid w:val="00A40C79"/>
    <w:rsid w:val="00A4736C"/>
    <w:rsid w:val="00A47D8E"/>
    <w:rsid w:val="00A55C9C"/>
    <w:rsid w:val="00A55D26"/>
    <w:rsid w:val="00A636BD"/>
    <w:rsid w:val="00A6542E"/>
    <w:rsid w:val="00A70734"/>
    <w:rsid w:val="00A7469F"/>
    <w:rsid w:val="00A75660"/>
    <w:rsid w:val="00A76D01"/>
    <w:rsid w:val="00A7728A"/>
    <w:rsid w:val="00AA3C1E"/>
    <w:rsid w:val="00AA57AB"/>
    <w:rsid w:val="00AA60D0"/>
    <w:rsid w:val="00AB06D8"/>
    <w:rsid w:val="00AB1AD2"/>
    <w:rsid w:val="00AB1E4F"/>
    <w:rsid w:val="00AC4EDF"/>
    <w:rsid w:val="00AD668C"/>
    <w:rsid w:val="00AF0D18"/>
    <w:rsid w:val="00AF6544"/>
    <w:rsid w:val="00B22FD0"/>
    <w:rsid w:val="00B41F0E"/>
    <w:rsid w:val="00B50C08"/>
    <w:rsid w:val="00B511E0"/>
    <w:rsid w:val="00B62A34"/>
    <w:rsid w:val="00B62C24"/>
    <w:rsid w:val="00B63806"/>
    <w:rsid w:val="00B90142"/>
    <w:rsid w:val="00B92F6B"/>
    <w:rsid w:val="00B932A8"/>
    <w:rsid w:val="00B9672C"/>
    <w:rsid w:val="00BA0868"/>
    <w:rsid w:val="00BA086C"/>
    <w:rsid w:val="00BA45C5"/>
    <w:rsid w:val="00BA58DD"/>
    <w:rsid w:val="00BB6591"/>
    <w:rsid w:val="00BB66E6"/>
    <w:rsid w:val="00BC1989"/>
    <w:rsid w:val="00BC6768"/>
    <w:rsid w:val="00BC7103"/>
    <w:rsid w:val="00BD16A3"/>
    <w:rsid w:val="00BD2211"/>
    <w:rsid w:val="00BD5617"/>
    <w:rsid w:val="00BD783D"/>
    <w:rsid w:val="00BF3039"/>
    <w:rsid w:val="00BF4B02"/>
    <w:rsid w:val="00BF54FA"/>
    <w:rsid w:val="00BF7E31"/>
    <w:rsid w:val="00C23AE0"/>
    <w:rsid w:val="00C26547"/>
    <w:rsid w:val="00C267F9"/>
    <w:rsid w:val="00C26AC5"/>
    <w:rsid w:val="00C37812"/>
    <w:rsid w:val="00C37E5C"/>
    <w:rsid w:val="00C43299"/>
    <w:rsid w:val="00C52EA0"/>
    <w:rsid w:val="00C533D2"/>
    <w:rsid w:val="00C61992"/>
    <w:rsid w:val="00C82F5C"/>
    <w:rsid w:val="00C83C10"/>
    <w:rsid w:val="00C91141"/>
    <w:rsid w:val="00C94170"/>
    <w:rsid w:val="00C96FF9"/>
    <w:rsid w:val="00CA0AEA"/>
    <w:rsid w:val="00CB54C1"/>
    <w:rsid w:val="00CC3394"/>
    <w:rsid w:val="00CD0EDF"/>
    <w:rsid w:val="00CD480D"/>
    <w:rsid w:val="00CD4B70"/>
    <w:rsid w:val="00CF6592"/>
    <w:rsid w:val="00D05461"/>
    <w:rsid w:val="00D10D28"/>
    <w:rsid w:val="00D14451"/>
    <w:rsid w:val="00D152C7"/>
    <w:rsid w:val="00D168CE"/>
    <w:rsid w:val="00D17633"/>
    <w:rsid w:val="00D20544"/>
    <w:rsid w:val="00D212BA"/>
    <w:rsid w:val="00D35B00"/>
    <w:rsid w:val="00D415D7"/>
    <w:rsid w:val="00D4510D"/>
    <w:rsid w:val="00D47000"/>
    <w:rsid w:val="00D56094"/>
    <w:rsid w:val="00D60EB9"/>
    <w:rsid w:val="00D63129"/>
    <w:rsid w:val="00D67EF1"/>
    <w:rsid w:val="00D75C0E"/>
    <w:rsid w:val="00D801E9"/>
    <w:rsid w:val="00D85219"/>
    <w:rsid w:val="00D857A9"/>
    <w:rsid w:val="00D86489"/>
    <w:rsid w:val="00DA7D34"/>
    <w:rsid w:val="00DC709C"/>
    <w:rsid w:val="00DD0C91"/>
    <w:rsid w:val="00DD15AC"/>
    <w:rsid w:val="00DE4235"/>
    <w:rsid w:val="00DE44BF"/>
    <w:rsid w:val="00DF62AA"/>
    <w:rsid w:val="00E02B89"/>
    <w:rsid w:val="00E0373F"/>
    <w:rsid w:val="00E144A4"/>
    <w:rsid w:val="00E169DA"/>
    <w:rsid w:val="00E212DB"/>
    <w:rsid w:val="00E27A85"/>
    <w:rsid w:val="00E40113"/>
    <w:rsid w:val="00E42B91"/>
    <w:rsid w:val="00E46C31"/>
    <w:rsid w:val="00E5239B"/>
    <w:rsid w:val="00E571CB"/>
    <w:rsid w:val="00E703D5"/>
    <w:rsid w:val="00E8192F"/>
    <w:rsid w:val="00E8322C"/>
    <w:rsid w:val="00E92D7C"/>
    <w:rsid w:val="00E97029"/>
    <w:rsid w:val="00E97A36"/>
    <w:rsid w:val="00EA10A8"/>
    <w:rsid w:val="00EA5DF5"/>
    <w:rsid w:val="00EB3DBF"/>
    <w:rsid w:val="00EB6846"/>
    <w:rsid w:val="00EB792C"/>
    <w:rsid w:val="00EC42A7"/>
    <w:rsid w:val="00ED174C"/>
    <w:rsid w:val="00ED3C6D"/>
    <w:rsid w:val="00EE2B85"/>
    <w:rsid w:val="00EE32A5"/>
    <w:rsid w:val="00EF6E9D"/>
    <w:rsid w:val="00F054D7"/>
    <w:rsid w:val="00F05B41"/>
    <w:rsid w:val="00F05B5A"/>
    <w:rsid w:val="00F06E0D"/>
    <w:rsid w:val="00F15078"/>
    <w:rsid w:val="00F220AE"/>
    <w:rsid w:val="00F400F1"/>
    <w:rsid w:val="00F4375B"/>
    <w:rsid w:val="00F453B8"/>
    <w:rsid w:val="00F567BD"/>
    <w:rsid w:val="00F5748F"/>
    <w:rsid w:val="00F5792E"/>
    <w:rsid w:val="00F8029C"/>
    <w:rsid w:val="00FC3158"/>
    <w:rsid w:val="00FD05C3"/>
    <w:rsid w:val="00FD430C"/>
    <w:rsid w:val="00FD449C"/>
    <w:rsid w:val="00FD5A47"/>
    <w:rsid w:val="00FD6974"/>
    <w:rsid w:val="00FD7543"/>
    <w:rsid w:val="00FE4F97"/>
    <w:rsid w:val="00FF6419"/>
    <w:rsid w:val="532D6FCC"/>
    <w:rsid w:val="6B60260E"/>
    <w:rsid w:val="79173CFC"/>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52CE6E6E-564C-4FF2-B9A1-A291BC19A1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qFormat="1"/>
    <w:lsdException w:name="caption" w:semiHidden="1" w:unhideWhenUsed="1" w:qFormat="1"/>
    <w:lsdException w:name="annotation reference" w:qFormat="1"/>
    <w:lsdException w:name="Title" w:qFormat="1"/>
    <w:lsdException w:name="Default Paragraph Font" w:uiPriority="1" w:qFormat="1"/>
    <w:lsdException w:name="Subtitle" w:qFormat="1"/>
    <w:lsdException w:name="Hyperlink" w:qFormat="1"/>
    <w:lsdException w:name="Strong" w:qFormat="1"/>
    <w:lsdException w:name="Emphasis" w:qFormat="1"/>
    <w:lsdException w:name="HTML Top of Form" w:semiHidden="1" w:uiPriority="99" w:unhideWhenUsed="1"/>
    <w:lsdException w:name="HTML Bottom of Form" w:semiHidden="1" w:uiPriority="99" w:unhideWhenUsed="1"/>
    <w:lsdException w:name="HTML Keyboard"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2"/>
    </w:rPr>
  </w:style>
  <w:style w:type="paragraph" w:styleId="1">
    <w:name w:val="heading 1"/>
    <w:basedOn w:val="a"/>
    <w:next w:val="a"/>
    <w:link w:val="1Char"/>
    <w:qFormat/>
    <w:pPr>
      <w:widowControl/>
      <w:spacing w:before="100" w:beforeAutospacing="1" w:after="100" w:afterAutospacing="1"/>
      <w:jc w:val="left"/>
      <w:outlineLvl w:val="0"/>
    </w:pPr>
    <w:rPr>
      <w:rFonts w:ascii="宋体" w:hAnsi="宋体"/>
      <w:b/>
      <w:bCs/>
      <w:kern w:val="36"/>
      <w:sz w:val="48"/>
      <w:szCs w:val="48"/>
      <w:lang w:val="x-none" w:eastAsia="x-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qFormat/>
    <w:pPr>
      <w:jc w:val="left"/>
    </w:pPr>
    <w:rPr>
      <w:lang w:val="x-none" w:eastAsia="x-none"/>
    </w:rPr>
  </w:style>
  <w:style w:type="paragraph" w:styleId="a4">
    <w:name w:val="Balloon Text"/>
    <w:basedOn w:val="a"/>
    <w:link w:val="Char0"/>
    <w:rPr>
      <w:kern w:val="0"/>
      <w:sz w:val="18"/>
      <w:szCs w:val="18"/>
      <w:lang w:val="x-none" w:eastAsia="x-none"/>
    </w:rPr>
  </w:style>
  <w:style w:type="paragraph" w:styleId="a5">
    <w:name w:val="footer"/>
    <w:basedOn w:val="a"/>
    <w:link w:val="Char1"/>
    <w:pPr>
      <w:tabs>
        <w:tab w:val="center" w:pos="4153"/>
        <w:tab w:val="right" w:pos="8306"/>
      </w:tabs>
      <w:snapToGrid w:val="0"/>
      <w:jc w:val="left"/>
    </w:pPr>
    <w:rPr>
      <w:kern w:val="0"/>
      <w:sz w:val="18"/>
      <w:szCs w:val="18"/>
      <w:lang w:val="x-none" w:eastAsia="x-none"/>
    </w:rPr>
  </w:style>
  <w:style w:type="paragraph" w:styleId="a6">
    <w:name w:val="header"/>
    <w:basedOn w:val="a"/>
    <w:link w:val="Char2"/>
    <w:pPr>
      <w:pBdr>
        <w:bottom w:val="single" w:sz="6" w:space="1" w:color="auto"/>
      </w:pBdr>
      <w:tabs>
        <w:tab w:val="center" w:pos="4153"/>
        <w:tab w:val="right" w:pos="8306"/>
      </w:tabs>
      <w:snapToGrid w:val="0"/>
      <w:jc w:val="center"/>
    </w:pPr>
    <w:rPr>
      <w:kern w:val="0"/>
      <w:sz w:val="18"/>
      <w:szCs w:val="18"/>
      <w:lang w:val="x-none" w:eastAsia="x-none"/>
    </w:rPr>
  </w:style>
  <w:style w:type="paragraph" w:styleId="a7">
    <w:name w:val="annotation subject"/>
    <w:basedOn w:val="a3"/>
    <w:next w:val="a3"/>
    <w:link w:val="Char3"/>
    <w:rPr>
      <w:b/>
      <w:bCs/>
    </w:rPr>
  </w:style>
  <w:style w:type="table" w:styleId="a8">
    <w:name w:val="Table Grid"/>
    <w:basedOn w:val="a1"/>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9">
    <w:name w:val="FollowedHyperlink"/>
    <w:rPr>
      <w:color w:val="800080"/>
      <w:u w:val="single"/>
    </w:rPr>
  </w:style>
  <w:style w:type="character" w:styleId="aa">
    <w:name w:val="Emphasis"/>
    <w:qFormat/>
    <w:rPr>
      <w:i/>
      <w:iCs/>
    </w:rPr>
  </w:style>
  <w:style w:type="character" w:styleId="ab">
    <w:name w:val="Hyperlink"/>
    <w:qFormat/>
    <w:rPr>
      <w:color w:val="0000FF"/>
      <w:u w:val="single"/>
    </w:rPr>
  </w:style>
  <w:style w:type="character" w:styleId="ac">
    <w:name w:val="annotation reference"/>
    <w:qFormat/>
    <w:rPr>
      <w:sz w:val="21"/>
      <w:szCs w:val="21"/>
    </w:rPr>
  </w:style>
  <w:style w:type="character" w:customStyle="1" w:styleId="Char">
    <w:name w:val="批注文字 Char"/>
    <w:link w:val="a3"/>
    <w:rPr>
      <w:kern w:val="2"/>
      <w:sz w:val="21"/>
      <w:szCs w:val="22"/>
    </w:rPr>
  </w:style>
  <w:style w:type="character" w:customStyle="1" w:styleId="copied">
    <w:name w:val="copied"/>
    <w:basedOn w:val="a0"/>
  </w:style>
  <w:style w:type="character" w:customStyle="1" w:styleId="1Char">
    <w:name w:val="标题 1 Char"/>
    <w:link w:val="1"/>
    <w:rPr>
      <w:rFonts w:ascii="宋体" w:eastAsia="宋体" w:hAnsi="宋体" w:cs="宋体"/>
      <w:b/>
      <w:bCs/>
      <w:kern w:val="36"/>
      <w:sz w:val="48"/>
      <w:szCs w:val="48"/>
    </w:rPr>
  </w:style>
  <w:style w:type="character" w:customStyle="1" w:styleId="Char2">
    <w:name w:val="页眉 Char"/>
    <w:link w:val="a6"/>
    <w:rPr>
      <w:sz w:val="18"/>
      <w:szCs w:val="18"/>
    </w:rPr>
  </w:style>
  <w:style w:type="character" w:customStyle="1" w:styleId="Char1">
    <w:name w:val="页脚 Char"/>
    <w:link w:val="a5"/>
    <w:rPr>
      <w:sz w:val="18"/>
      <w:szCs w:val="18"/>
    </w:rPr>
  </w:style>
  <w:style w:type="character" w:customStyle="1" w:styleId="apple-converted-space">
    <w:name w:val="apple-converted-space"/>
    <w:basedOn w:val="a0"/>
  </w:style>
  <w:style w:type="paragraph" w:customStyle="1" w:styleId="src">
    <w:name w:val="src"/>
    <w:basedOn w:val="a"/>
    <w:pPr>
      <w:widowControl/>
      <w:spacing w:before="100" w:beforeAutospacing="1" w:after="100" w:afterAutospacing="1"/>
      <w:jc w:val="left"/>
    </w:pPr>
    <w:rPr>
      <w:rFonts w:ascii="宋体" w:hAnsi="宋体" w:cs="宋体"/>
      <w:kern w:val="0"/>
      <w:sz w:val="24"/>
      <w:szCs w:val="24"/>
    </w:rPr>
  </w:style>
  <w:style w:type="character" w:customStyle="1" w:styleId="transsent">
    <w:name w:val="transsent"/>
    <w:basedOn w:val="a0"/>
  </w:style>
  <w:style w:type="character" w:customStyle="1" w:styleId="tgt">
    <w:name w:val="tgt"/>
    <w:basedOn w:val="a0"/>
    <w:qFormat/>
  </w:style>
  <w:style w:type="paragraph" w:customStyle="1" w:styleId="content">
    <w:name w:val="content"/>
    <w:basedOn w:val="a"/>
    <w:pPr>
      <w:widowControl/>
      <w:spacing w:before="100" w:beforeAutospacing="1" w:after="100" w:afterAutospacing="1"/>
      <w:jc w:val="left"/>
    </w:pPr>
    <w:rPr>
      <w:rFonts w:ascii="宋体" w:hAnsi="宋体" w:cs="宋体"/>
      <w:kern w:val="0"/>
      <w:sz w:val="24"/>
      <w:szCs w:val="24"/>
    </w:rPr>
  </w:style>
  <w:style w:type="character" w:customStyle="1" w:styleId="Char0">
    <w:name w:val="批注框文本 Char"/>
    <w:link w:val="a4"/>
    <w:rPr>
      <w:sz w:val="18"/>
      <w:szCs w:val="18"/>
    </w:rPr>
  </w:style>
  <w:style w:type="character" w:customStyle="1" w:styleId="Char3">
    <w:name w:val="批注主题 Char"/>
    <w:link w:val="a7"/>
    <w:rPr>
      <w:b/>
      <w:bCs/>
      <w:kern w:val="2"/>
      <w:sz w:val="21"/>
      <w:szCs w:val="22"/>
    </w:rPr>
  </w:style>
  <w:style w:type="paragraph" w:customStyle="1" w:styleId="10">
    <w:name w:val="修订1"/>
    <w:rPr>
      <w:kern w:val="2"/>
      <w:sz w:val="21"/>
      <w:szCs w:val="22"/>
    </w:rPr>
  </w:style>
  <w:style w:type="character" w:customStyle="1" w:styleId="citation-doi">
    <w:name w:val="citation-doi"/>
    <w:basedOn w:val="a0"/>
    <w:rsid w:val="00371B4A"/>
  </w:style>
  <w:style w:type="character" w:styleId="ad">
    <w:name w:val="line number"/>
    <w:rsid w:val="00890D6C"/>
  </w:style>
  <w:style w:type="paragraph" w:styleId="ae">
    <w:name w:val="Revision"/>
    <w:hidden/>
    <w:uiPriority w:val="99"/>
    <w:semiHidden/>
    <w:rsid w:val="00890D6C"/>
    <w:rPr>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0157894">
      <w:bodyDiv w:val="1"/>
      <w:marLeft w:val="0"/>
      <w:marRight w:val="0"/>
      <w:marTop w:val="0"/>
      <w:marBottom w:val="0"/>
      <w:divBdr>
        <w:top w:val="none" w:sz="0" w:space="0" w:color="auto"/>
        <w:left w:val="none" w:sz="0" w:space="0" w:color="auto"/>
        <w:bottom w:val="none" w:sz="0" w:space="0" w:color="auto"/>
        <w:right w:val="none" w:sz="0" w:space="0" w:color="auto"/>
      </w:divBdr>
      <w:divsChild>
        <w:div w:id="612790142">
          <w:marLeft w:val="0"/>
          <w:marRight w:val="0"/>
          <w:marTop w:val="0"/>
          <w:marBottom w:val="0"/>
          <w:divBdr>
            <w:top w:val="none" w:sz="0" w:space="0" w:color="auto"/>
            <w:left w:val="none" w:sz="0" w:space="0" w:color="auto"/>
            <w:bottom w:val="none" w:sz="0" w:space="0" w:color="auto"/>
            <w:right w:val="none" w:sz="0" w:space="0" w:color="auto"/>
          </w:divBdr>
        </w:div>
        <w:div w:id="760101252">
          <w:marLeft w:val="0"/>
          <w:marRight w:val="0"/>
          <w:marTop w:val="0"/>
          <w:marBottom w:val="0"/>
          <w:divBdr>
            <w:top w:val="none" w:sz="0" w:space="0" w:color="auto"/>
            <w:left w:val="none" w:sz="0" w:space="0" w:color="auto"/>
            <w:bottom w:val="none" w:sz="0" w:space="0" w:color="auto"/>
            <w:right w:val="none" w:sz="0" w:space="0" w:color="auto"/>
          </w:divBdr>
        </w:div>
        <w:div w:id="803698130">
          <w:marLeft w:val="0"/>
          <w:marRight w:val="0"/>
          <w:marTop w:val="0"/>
          <w:marBottom w:val="0"/>
          <w:divBdr>
            <w:top w:val="none" w:sz="0" w:space="0" w:color="auto"/>
            <w:left w:val="none" w:sz="0" w:space="0" w:color="auto"/>
            <w:bottom w:val="none" w:sz="0" w:space="0" w:color="auto"/>
            <w:right w:val="none" w:sz="0" w:space="0" w:color="auto"/>
          </w:divBdr>
        </w:div>
        <w:div w:id="1631323636">
          <w:marLeft w:val="0"/>
          <w:marRight w:val="0"/>
          <w:marTop w:val="0"/>
          <w:marBottom w:val="0"/>
          <w:divBdr>
            <w:top w:val="none" w:sz="0" w:space="0" w:color="auto"/>
            <w:left w:val="none" w:sz="0" w:space="0" w:color="auto"/>
            <w:bottom w:val="none" w:sz="0" w:space="0" w:color="auto"/>
            <w:right w:val="none" w:sz="0" w:space="0" w:color="auto"/>
          </w:divBdr>
        </w:div>
      </w:divsChild>
    </w:div>
    <w:div w:id="94640440">
      <w:bodyDiv w:val="1"/>
      <w:marLeft w:val="0"/>
      <w:marRight w:val="0"/>
      <w:marTop w:val="0"/>
      <w:marBottom w:val="0"/>
      <w:divBdr>
        <w:top w:val="none" w:sz="0" w:space="0" w:color="auto"/>
        <w:left w:val="none" w:sz="0" w:space="0" w:color="auto"/>
        <w:bottom w:val="none" w:sz="0" w:space="0" w:color="auto"/>
        <w:right w:val="none" w:sz="0" w:space="0" w:color="auto"/>
      </w:divBdr>
      <w:divsChild>
        <w:div w:id="124736347">
          <w:marLeft w:val="0"/>
          <w:marRight w:val="0"/>
          <w:marTop w:val="0"/>
          <w:marBottom w:val="0"/>
          <w:divBdr>
            <w:top w:val="none" w:sz="0" w:space="0" w:color="auto"/>
            <w:left w:val="none" w:sz="0" w:space="0" w:color="auto"/>
            <w:bottom w:val="none" w:sz="0" w:space="0" w:color="auto"/>
            <w:right w:val="none" w:sz="0" w:space="0" w:color="auto"/>
          </w:divBdr>
        </w:div>
        <w:div w:id="308092771">
          <w:marLeft w:val="0"/>
          <w:marRight w:val="0"/>
          <w:marTop w:val="0"/>
          <w:marBottom w:val="0"/>
          <w:divBdr>
            <w:top w:val="none" w:sz="0" w:space="0" w:color="auto"/>
            <w:left w:val="none" w:sz="0" w:space="0" w:color="auto"/>
            <w:bottom w:val="none" w:sz="0" w:space="0" w:color="auto"/>
            <w:right w:val="none" w:sz="0" w:space="0" w:color="auto"/>
          </w:divBdr>
        </w:div>
        <w:div w:id="448934519">
          <w:marLeft w:val="0"/>
          <w:marRight w:val="0"/>
          <w:marTop w:val="0"/>
          <w:marBottom w:val="0"/>
          <w:divBdr>
            <w:top w:val="none" w:sz="0" w:space="0" w:color="auto"/>
            <w:left w:val="none" w:sz="0" w:space="0" w:color="auto"/>
            <w:bottom w:val="none" w:sz="0" w:space="0" w:color="auto"/>
            <w:right w:val="none" w:sz="0" w:space="0" w:color="auto"/>
          </w:divBdr>
        </w:div>
        <w:div w:id="484591192">
          <w:marLeft w:val="0"/>
          <w:marRight w:val="0"/>
          <w:marTop w:val="0"/>
          <w:marBottom w:val="0"/>
          <w:divBdr>
            <w:top w:val="none" w:sz="0" w:space="0" w:color="auto"/>
            <w:left w:val="none" w:sz="0" w:space="0" w:color="auto"/>
            <w:bottom w:val="none" w:sz="0" w:space="0" w:color="auto"/>
            <w:right w:val="none" w:sz="0" w:space="0" w:color="auto"/>
          </w:divBdr>
        </w:div>
        <w:div w:id="648903057">
          <w:marLeft w:val="0"/>
          <w:marRight w:val="0"/>
          <w:marTop w:val="0"/>
          <w:marBottom w:val="0"/>
          <w:divBdr>
            <w:top w:val="none" w:sz="0" w:space="0" w:color="auto"/>
            <w:left w:val="none" w:sz="0" w:space="0" w:color="auto"/>
            <w:bottom w:val="none" w:sz="0" w:space="0" w:color="auto"/>
            <w:right w:val="none" w:sz="0" w:space="0" w:color="auto"/>
          </w:divBdr>
        </w:div>
        <w:div w:id="772439731">
          <w:marLeft w:val="0"/>
          <w:marRight w:val="0"/>
          <w:marTop w:val="0"/>
          <w:marBottom w:val="0"/>
          <w:divBdr>
            <w:top w:val="none" w:sz="0" w:space="0" w:color="auto"/>
            <w:left w:val="none" w:sz="0" w:space="0" w:color="auto"/>
            <w:bottom w:val="none" w:sz="0" w:space="0" w:color="auto"/>
            <w:right w:val="none" w:sz="0" w:space="0" w:color="auto"/>
          </w:divBdr>
        </w:div>
        <w:div w:id="1076636513">
          <w:marLeft w:val="0"/>
          <w:marRight w:val="0"/>
          <w:marTop w:val="0"/>
          <w:marBottom w:val="0"/>
          <w:divBdr>
            <w:top w:val="none" w:sz="0" w:space="0" w:color="auto"/>
            <w:left w:val="none" w:sz="0" w:space="0" w:color="auto"/>
            <w:bottom w:val="none" w:sz="0" w:space="0" w:color="auto"/>
            <w:right w:val="none" w:sz="0" w:space="0" w:color="auto"/>
          </w:divBdr>
        </w:div>
        <w:div w:id="1223324874">
          <w:marLeft w:val="0"/>
          <w:marRight w:val="0"/>
          <w:marTop w:val="0"/>
          <w:marBottom w:val="0"/>
          <w:divBdr>
            <w:top w:val="none" w:sz="0" w:space="0" w:color="auto"/>
            <w:left w:val="none" w:sz="0" w:space="0" w:color="auto"/>
            <w:bottom w:val="none" w:sz="0" w:space="0" w:color="auto"/>
            <w:right w:val="none" w:sz="0" w:space="0" w:color="auto"/>
          </w:divBdr>
        </w:div>
        <w:div w:id="1434977100">
          <w:marLeft w:val="0"/>
          <w:marRight w:val="0"/>
          <w:marTop w:val="0"/>
          <w:marBottom w:val="0"/>
          <w:divBdr>
            <w:top w:val="none" w:sz="0" w:space="0" w:color="auto"/>
            <w:left w:val="none" w:sz="0" w:space="0" w:color="auto"/>
            <w:bottom w:val="none" w:sz="0" w:space="0" w:color="auto"/>
            <w:right w:val="none" w:sz="0" w:space="0" w:color="auto"/>
          </w:divBdr>
        </w:div>
        <w:div w:id="1607612152">
          <w:marLeft w:val="0"/>
          <w:marRight w:val="0"/>
          <w:marTop w:val="0"/>
          <w:marBottom w:val="0"/>
          <w:divBdr>
            <w:top w:val="none" w:sz="0" w:space="0" w:color="auto"/>
            <w:left w:val="none" w:sz="0" w:space="0" w:color="auto"/>
            <w:bottom w:val="none" w:sz="0" w:space="0" w:color="auto"/>
            <w:right w:val="none" w:sz="0" w:space="0" w:color="auto"/>
          </w:divBdr>
        </w:div>
        <w:div w:id="1965497266">
          <w:marLeft w:val="0"/>
          <w:marRight w:val="0"/>
          <w:marTop w:val="0"/>
          <w:marBottom w:val="0"/>
          <w:divBdr>
            <w:top w:val="none" w:sz="0" w:space="0" w:color="auto"/>
            <w:left w:val="none" w:sz="0" w:space="0" w:color="auto"/>
            <w:bottom w:val="none" w:sz="0" w:space="0" w:color="auto"/>
            <w:right w:val="none" w:sz="0" w:space="0" w:color="auto"/>
          </w:divBdr>
        </w:div>
        <w:div w:id="2062287449">
          <w:marLeft w:val="0"/>
          <w:marRight w:val="0"/>
          <w:marTop w:val="0"/>
          <w:marBottom w:val="0"/>
          <w:divBdr>
            <w:top w:val="none" w:sz="0" w:space="0" w:color="auto"/>
            <w:left w:val="none" w:sz="0" w:space="0" w:color="auto"/>
            <w:bottom w:val="none" w:sz="0" w:space="0" w:color="auto"/>
            <w:right w:val="none" w:sz="0" w:space="0" w:color="auto"/>
          </w:divBdr>
        </w:div>
      </w:divsChild>
    </w:div>
    <w:div w:id="132716293">
      <w:bodyDiv w:val="1"/>
      <w:marLeft w:val="0"/>
      <w:marRight w:val="0"/>
      <w:marTop w:val="0"/>
      <w:marBottom w:val="0"/>
      <w:divBdr>
        <w:top w:val="none" w:sz="0" w:space="0" w:color="auto"/>
        <w:left w:val="none" w:sz="0" w:space="0" w:color="auto"/>
        <w:bottom w:val="none" w:sz="0" w:space="0" w:color="auto"/>
        <w:right w:val="none" w:sz="0" w:space="0" w:color="auto"/>
      </w:divBdr>
    </w:div>
    <w:div w:id="174654309">
      <w:bodyDiv w:val="1"/>
      <w:marLeft w:val="0"/>
      <w:marRight w:val="0"/>
      <w:marTop w:val="0"/>
      <w:marBottom w:val="0"/>
      <w:divBdr>
        <w:top w:val="none" w:sz="0" w:space="0" w:color="auto"/>
        <w:left w:val="none" w:sz="0" w:space="0" w:color="auto"/>
        <w:bottom w:val="none" w:sz="0" w:space="0" w:color="auto"/>
        <w:right w:val="none" w:sz="0" w:space="0" w:color="auto"/>
      </w:divBdr>
    </w:div>
    <w:div w:id="413746792">
      <w:bodyDiv w:val="1"/>
      <w:marLeft w:val="0"/>
      <w:marRight w:val="0"/>
      <w:marTop w:val="0"/>
      <w:marBottom w:val="0"/>
      <w:divBdr>
        <w:top w:val="none" w:sz="0" w:space="0" w:color="auto"/>
        <w:left w:val="none" w:sz="0" w:space="0" w:color="auto"/>
        <w:bottom w:val="none" w:sz="0" w:space="0" w:color="auto"/>
        <w:right w:val="none" w:sz="0" w:space="0" w:color="auto"/>
      </w:divBdr>
      <w:divsChild>
        <w:div w:id="800541666">
          <w:marLeft w:val="0"/>
          <w:marRight w:val="0"/>
          <w:marTop w:val="0"/>
          <w:marBottom w:val="0"/>
          <w:divBdr>
            <w:top w:val="none" w:sz="0" w:space="0" w:color="auto"/>
            <w:left w:val="none" w:sz="0" w:space="0" w:color="auto"/>
            <w:bottom w:val="none" w:sz="0" w:space="0" w:color="auto"/>
            <w:right w:val="none" w:sz="0" w:space="0" w:color="auto"/>
          </w:divBdr>
        </w:div>
      </w:divsChild>
    </w:div>
    <w:div w:id="490682609">
      <w:bodyDiv w:val="1"/>
      <w:marLeft w:val="0"/>
      <w:marRight w:val="0"/>
      <w:marTop w:val="0"/>
      <w:marBottom w:val="0"/>
      <w:divBdr>
        <w:top w:val="none" w:sz="0" w:space="0" w:color="auto"/>
        <w:left w:val="none" w:sz="0" w:space="0" w:color="auto"/>
        <w:bottom w:val="none" w:sz="0" w:space="0" w:color="auto"/>
        <w:right w:val="none" w:sz="0" w:space="0" w:color="auto"/>
      </w:divBdr>
    </w:div>
    <w:div w:id="550504617">
      <w:bodyDiv w:val="1"/>
      <w:marLeft w:val="0"/>
      <w:marRight w:val="0"/>
      <w:marTop w:val="0"/>
      <w:marBottom w:val="0"/>
      <w:divBdr>
        <w:top w:val="none" w:sz="0" w:space="0" w:color="auto"/>
        <w:left w:val="none" w:sz="0" w:space="0" w:color="auto"/>
        <w:bottom w:val="none" w:sz="0" w:space="0" w:color="auto"/>
        <w:right w:val="none" w:sz="0" w:space="0" w:color="auto"/>
      </w:divBdr>
    </w:div>
    <w:div w:id="625894334">
      <w:bodyDiv w:val="1"/>
      <w:marLeft w:val="0"/>
      <w:marRight w:val="0"/>
      <w:marTop w:val="0"/>
      <w:marBottom w:val="0"/>
      <w:divBdr>
        <w:top w:val="none" w:sz="0" w:space="0" w:color="auto"/>
        <w:left w:val="none" w:sz="0" w:space="0" w:color="auto"/>
        <w:bottom w:val="none" w:sz="0" w:space="0" w:color="auto"/>
        <w:right w:val="none" w:sz="0" w:space="0" w:color="auto"/>
      </w:divBdr>
    </w:div>
    <w:div w:id="790786399">
      <w:bodyDiv w:val="1"/>
      <w:marLeft w:val="0"/>
      <w:marRight w:val="0"/>
      <w:marTop w:val="0"/>
      <w:marBottom w:val="0"/>
      <w:divBdr>
        <w:top w:val="none" w:sz="0" w:space="0" w:color="auto"/>
        <w:left w:val="none" w:sz="0" w:space="0" w:color="auto"/>
        <w:bottom w:val="none" w:sz="0" w:space="0" w:color="auto"/>
        <w:right w:val="none" w:sz="0" w:space="0" w:color="auto"/>
      </w:divBdr>
      <w:divsChild>
        <w:div w:id="2040928532">
          <w:marLeft w:val="0"/>
          <w:marRight w:val="0"/>
          <w:marTop w:val="0"/>
          <w:marBottom w:val="0"/>
          <w:divBdr>
            <w:top w:val="none" w:sz="0" w:space="0" w:color="auto"/>
            <w:left w:val="none" w:sz="0" w:space="0" w:color="auto"/>
            <w:bottom w:val="none" w:sz="0" w:space="0" w:color="auto"/>
            <w:right w:val="none" w:sz="0" w:space="0" w:color="auto"/>
          </w:divBdr>
          <w:divsChild>
            <w:div w:id="126045316">
              <w:marLeft w:val="0"/>
              <w:marRight w:val="0"/>
              <w:marTop w:val="100"/>
              <w:marBottom w:val="100"/>
              <w:divBdr>
                <w:top w:val="none" w:sz="0" w:space="0" w:color="auto"/>
                <w:left w:val="none" w:sz="0" w:space="0" w:color="auto"/>
                <w:bottom w:val="none" w:sz="0" w:space="0" w:color="auto"/>
                <w:right w:val="none" w:sz="0" w:space="0" w:color="auto"/>
              </w:divBdr>
              <w:divsChild>
                <w:div w:id="476729840">
                  <w:marLeft w:val="0"/>
                  <w:marRight w:val="0"/>
                  <w:marTop w:val="0"/>
                  <w:marBottom w:val="0"/>
                  <w:divBdr>
                    <w:top w:val="none" w:sz="0" w:space="0" w:color="auto"/>
                    <w:left w:val="none" w:sz="0" w:space="0" w:color="auto"/>
                    <w:bottom w:val="none" w:sz="0" w:space="0" w:color="auto"/>
                    <w:right w:val="none" w:sz="0" w:space="0" w:color="auto"/>
                  </w:divBdr>
                  <w:divsChild>
                    <w:div w:id="851266402">
                      <w:marLeft w:val="0"/>
                      <w:marRight w:val="0"/>
                      <w:marTop w:val="0"/>
                      <w:marBottom w:val="0"/>
                      <w:divBdr>
                        <w:top w:val="none" w:sz="0" w:space="0" w:color="auto"/>
                        <w:left w:val="none" w:sz="0" w:space="0" w:color="auto"/>
                        <w:bottom w:val="none" w:sz="0" w:space="0" w:color="auto"/>
                        <w:right w:val="none" w:sz="0" w:space="0" w:color="auto"/>
                      </w:divBdr>
                      <w:divsChild>
                        <w:div w:id="76876208">
                          <w:marLeft w:val="0"/>
                          <w:marRight w:val="0"/>
                          <w:marTop w:val="0"/>
                          <w:marBottom w:val="0"/>
                          <w:divBdr>
                            <w:top w:val="none" w:sz="0" w:space="0" w:color="auto"/>
                            <w:left w:val="none" w:sz="0" w:space="0" w:color="auto"/>
                            <w:bottom w:val="none" w:sz="0" w:space="0" w:color="auto"/>
                            <w:right w:val="none" w:sz="0" w:space="0" w:color="auto"/>
                          </w:divBdr>
                          <w:divsChild>
                            <w:div w:id="390887099">
                              <w:marLeft w:val="0"/>
                              <w:marRight w:val="0"/>
                              <w:marTop w:val="0"/>
                              <w:marBottom w:val="0"/>
                              <w:divBdr>
                                <w:top w:val="none" w:sz="0" w:space="0" w:color="auto"/>
                                <w:left w:val="none" w:sz="0" w:space="0" w:color="auto"/>
                                <w:bottom w:val="none" w:sz="0" w:space="0" w:color="auto"/>
                                <w:right w:val="none" w:sz="0" w:space="0" w:color="auto"/>
                              </w:divBdr>
                              <w:divsChild>
                                <w:div w:id="993409766">
                                  <w:marLeft w:val="0"/>
                                  <w:marRight w:val="0"/>
                                  <w:marTop w:val="100"/>
                                  <w:marBottom w:val="100"/>
                                  <w:divBdr>
                                    <w:top w:val="none" w:sz="0" w:space="0" w:color="auto"/>
                                    <w:left w:val="none" w:sz="0" w:space="0" w:color="auto"/>
                                    <w:bottom w:val="none" w:sz="0" w:space="0" w:color="auto"/>
                                    <w:right w:val="none" w:sz="0" w:space="0" w:color="auto"/>
                                  </w:divBdr>
                                  <w:divsChild>
                                    <w:div w:id="305163273">
                                      <w:marLeft w:val="0"/>
                                      <w:marRight w:val="0"/>
                                      <w:marTop w:val="0"/>
                                      <w:marBottom w:val="0"/>
                                      <w:divBdr>
                                        <w:top w:val="none" w:sz="0" w:space="0" w:color="auto"/>
                                        <w:left w:val="none" w:sz="0" w:space="0" w:color="auto"/>
                                        <w:bottom w:val="none" w:sz="0" w:space="0" w:color="auto"/>
                                        <w:right w:val="none" w:sz="0" w:space="0" w:color="auto"/>
                                      </w:divBdr>
                                      <w:divsChild>
                                        <w:div w:id="1875075529">
                                          <w:marLeft w:val="0"/>
                                          <w:marRight w:val="0"/>
                                          <w:marTop w:val="0"/>
                                          <w:marBottom w:val="0"/>
                                          <w:divBdr>
                                            <w:top w:val="none" w:sz="0" w:space="0" w:color="auto"/>
                                            <w:left w:val="none" w:sz="0" w:space="0" w:color="auto"/>
                                            <w:bottom w:val="none" w:sz="0" w:space="0" w:color="auto"/>
                                            <w:right w:val="none" w:sz="0" w:space="0" w:color="auto"/>
                                          </w:divBdr>
                                          <w:divsChild>
                                            <w:div w:id="824080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833958565">
      <w:bodyDiv w:val="1"/>
      <w:marLeft w:val="0"/>
      <w:marRight w:val="0"/>
      <w:marTop w:val="0"/>
      <w:marBottom w:val="0"/>
      <w:divBdr>
        <w:top w:val="none" w:sz="0" w:space="0" w:color="auto"/>
        <w:left w:val="none" w:sz="0" w:space="0" w:color="auto"/>
        <w:bottom w:val="none" w:sz="0" w:space="0" w:color="auto"/>
        <w:right w:val="none" w:sz="0" w:space="0" w:color="auto"/>
      </w:divBdr>
    </w:div>
    <w:div w:id="854803823">
      <w:bodyDiv w:val="1"/>
      <w:marLeft w:val="0"/>
      <w:marRight w:val="0"/>
      <w:marTop w:val="0"/>
      <w:marBottom w:val="0"/>
      <w:divBdr>
        <w:top w:val="none" w:sz="0" w:space="0" w:color="auto"/>
        <w:left w:val="none" w:sz="0" w:space="0" w:color="auto"/>
        <w:bottom w:val="none" w:sz="0" w:space="0" w:color="auto"/>
        <w:right w:val="none" w:sz="0" w:space="0" w:color="auto"/>
      </w:divBdr>
    </w:div>
    <w:div w:id="1081369802">
      <w:bodyDiv w:val="1"/>
      <w:marLeft w:val="0"/>
      <w:marRight w:val="0"/>
      <w:marTop w:val="0"/>
      <w:marBottom w:val="0"/>
      <w:divBdr>
        <w:top w:val="none" w:sz="0" w:space="0" w:color="auto"/>
        <w:left w:val="none" w:sz="0" w:space="0" w:color="auto"/>
        <w:bottom w:val="none" w:sz="0" w:space="0" w:color="auto"/>
        <w:right w:val="none" w:sz="0" w:space="0" w:color="auto"/>
      </w:divBdr>
    </w:div>
    <w:div w:id="1153522396">
      <w:bodyDiv w:val="1"/>
      <w:marLeft w:val="0"/>
      <w:marRight w:val="0"/>
      <w:marTop w:val="0"/>
      <w:marBottom w:val="0"/>
      <w:divBdr>
        <w:top w:val="none" w:sz="0" w:space="0" w:color="auto"/>
        <w:left w:val="none" w:sz="0" w:space="0" w:color="auto"/>
        <w:bottom w:val="none" w:sz="0" w:space="0" w:color="auto"/>
        <w:right w:val="none" w:sz="0" w:space="0" w:color="auto"/>
      </w:divBdr>
    </w:div>
    <w:div w:id="1198855949">
      <w:bodyDiv w:val="1"/>
      <w:marLeft w:val="0"/>
      <w:marRight w:val="0"/>
      <w:marTop w:val="0"/>
      <w:marBottom w:val="0"/>
      <w:divBdr>
        <w:top w:val="none" w:sz="0" w:space="0" w:color="auto"/>
        <w:left w:val="none" w:sz="0" w:space="0" w:color="auto"/>
        <w:bottom w:val="none" w:sz="0" w:space="0" w:color="auto"/>
        <w:right w:val="none" w:sz="0" w:space="0" w:color="auto"/>
      </w:divBdr>
    </w:div>
    <w:div w:id="1367877275">
      <w:bodyDiv w:val="1"/>
      <w:marLeft w:val="0"/>
      <w:marRight w:val="0"/>
      <w:marTop w:val="0"/>
      <w:marBottom w:val="0"/>
      <w:divBdr>
        <w:top w:val="none" w:sz="0" w:space="0" w:color="auto"/>
        <w:left w:val="none" w:sz="0" w:space="0" w:color="auto"/>
        <w:bottom w:val="none" w:sz="0" w:space="0" w:color="auto"/>
        <w:right w:val="none" w:sz="0" w:space="0" w:color="auto"/>
      </w:divBdr>
      <w:divsChild>
        <w:div w:id="136533831">
          <w:marLeft w:val="0"/>
          <w:marRight w:val="0"/>
          <w:marTop w:val="0"/>
          <w:marBottom w:val="0"/>
          <w:divBdr>
            <w:top w:val="none" w:sz="0" w:space="0" w:color="auto"/>
            <w:left w:val="none" w:sz="0" w:space="0" w:color="auto"/>
            <w:bottom w:val="none" w:sz="0" w:space="0" w:color="auto"/>
            <w:right w:val="none" w:sz="0" w:space="0" w:color="auto"/>
          </w:divBdr>
        </w:div>
        <w:div w:id="1423721416">
          <w:marLeft w:val="0"/>
          <w:marRight w:val="0"/>
          <w:marTop w:val="0"/>
          <w:marBottom w:val="0"/>
          <w:divBdr>
            <w:top w:val="none" w:sz="0" w:space="0" w:color="auto"/>
            <w:left w:val="none" w:sz="0" w:space="0" w:color="auto"/>
            <w:bottom w:val="none" w:sz="0" w:space="0" w:color="auto"/>
            <w:right w:val="none" w:sz="0" w:space="0" w:color="auto"/>
          </w:divBdr>
        </w:div>
        <w:div w:id="1768311642">
          <w:marLeft w:val="0"/>
          <w:marRight w:val="0"/>
          <w:marTop w:val="0"/>
          <w:marBottom w:val="0"/>
          <w:divBdr>
            <w:top w:val="none" w:sz="0" w:space="0" w:color="auto"/>
            <w:left w:val="none" w:sz="0" w:space="0" w:color="auto"/>
            <w:bottom w:val="none" w:sz="0" w:space="0" w:color="auto"/>
            <w:right w:val="none" w:sz="0" w:space="0" w:color="auto"/>
          </w:divBdr>
        </w:div>
        <w:div w:id="1791894974">
          <w:marLeft w:val="0"/>
          <w:marRight w:val="0"/>
          <w:marTop w:val="0"/>
          <w:marBottom w:val="0"/>
          <w:divBdr>
            <w:top w:val="none" w:sz="0" w:space="0" w:color="auto"/>
            <w:left w:val="none" w:sz="0" w:space="0" w:color="auto"/>
            <w:bottom w:val="none" w:sz="0" w:space="0" w:color="auto"/>
            <w:right w:val="none" w:sz="0" w:space="0" w:color="auto"/>
          </w:divBdr>
        </w:div>
        <w:div w:id="1806313661">
          <w:marLeft w:val="0"/>
          <w:marRight w:val="0"/>
          <w:marTop w:val="0"/>
          <w:marBottom w:val="0"/>
          <w:divBdr>
            <w:top w:val="none" w:sz="0" w:space="0" w:color="auto"/>
            <w:left w:val="none" w:sz="0" w:space="0" w:color="auto"/>
            <w:bottom w:val="none" w:sz="0" w:space="0" w:color="auto"/>
            <w:right w:val="none" w:sz="0" w:space="0" w:color="auto"/>
          </w:divBdr>
        </w:div>
      </w:divsChild>
    </w:div>
    <w:div w:id="1389110170">
      <w:bodyDiv w:val="1"/>
      <w:marLeft w:val="0"/>
      <w:marRight w:val="0"/>
      <w:marTop w:val="0"/>
      <w:marBottom w:val="0"/>
      <w:divBdr>
        <w:top w:val="none" w:sz="0" w:space="0" w:color="auto"/>
        <w:left w:val="none" w:sz="0" w:space="0" w:color="auto"/>
        <w:bottom w:val="none" w:sz="0" w:space="0" w:color="auto"/>
        <w:right w:val="none" w:sz="0" w:space="0" w:color="auto"/>
      </w:divBdr>
      <w:divsChild>
        <w:div w:id="2007322081">
          <w:marLeft w:val="0"/>
          <w:marRight w:val="0"/>
          <w:marTop w:val="0"/>
          <w:marBottom w:val="0"/>
          <w:divBdr>
            <w:top w:val="none" w:sz="0" w:space="0" w:color="auto"/>
            <w:left w:val="none" w:sz="0" w:space="0" w:color="auto"/>
            <w:bottom w:val="none" w:sz="0" w:space="0" w:color="auto"/>
            <w:right w:val="none" w:sz="0" w:space="0" w:color="auto"/>
          </w:divBdr>
        </w:div>
      </w:divsChild>
    </w:div>
    <w:div w:id="1733579933">
      <w:bodyDiv w:val="1"/>
      <w:marLeft w:val="0"/>
      <w:marRight w:val="0"/>
      <w:marTop w:val="0"/>
      <w:marBottom w:val="0"/>
      <w:divBdr>
        <w:top w:val="none" w:sz="0" w:space="0" w:color="auto"/>
        <w:left w:val="none" w:sz="0" w:space="0" w:color="auto"/>
        <w:bottom w:val="none" w:sz="0" w:space="0" w:color="auto"/>
        <w:right w:val="none" w:sz="0" w:space="0" w:color="auto"/>
      </w:divBdr>
      <w:divsChild>
        <w:div w:id="742529817">
          <w:marLeft w:val="0"/>
          <w:marRight w:val="0"/>
          <w:marTop w:val="0"/>
          <w:marBottom w:val="0"/>
          <w:divBdr>
            <w:top w:val="none" w:sz="0" w:space="0" w:color="auto"/>
            <w:left w:val="none" w:sz="0" w:space="0" w:color="auto"/>
            <w:bottom w:val="none" w:sz="0" w:space="0" w:color="auto"/>
            <w:right w:val="none" w:sz="0" w:space="0" w:color="auto"/>
          </w:divBdr>
        </w:div>
      </w:divsChild>
    </w:div>
    <w:div w:id="1842547688">
      <w:bodyDiv w:val="1"/>
      <w:marLeft w:val="0"/>
      <w:marRight w:val="0"/>
      <w:marTop w:val="0"/>
      <w:marBottom w:val="0"/>
      <w:divBdr>
        <w:top w:val="none" w:sz="0" w:space="0" w:color="auto"/>
        <w:left w:val="none" w:sz="0" w:space="0" w:color="auto"/>
        <w:bottom w:val="none" w:sz="0" w:space="0" w:color="auto"/>
        <w:right w:val="none" w:sz="0" w:space="0" w:color="auto"/>
      </w:divBdr>
      <w:divsChild>
        <w:div w:id="12655983">
          <w:marLeft w:val="0"/>
          <w:marRight w:val="0"/>
          <w:marTop w:val="0"/>
          <w:marBottom w:val="0"/>
          <w:divBdr>
            <w:top w:val="none" w:sz="0" w:space="0" w:color="auto"/>
            <w:left w:val="none" w:sz="0" w:space="0" w:color="auto"/>
            <w:bottom w:val="none" w:sz="0" w:space="0" w:color="auto"/>
            <w:right w:val="none" w:sz="0" w:space="0" w:color="auto"/>
          </w:divBdr>
        </w:div>
        <w:div w:id="55861743">
          <w:marLeft w:val="0"/>
          <w:marRight w:val="0"/>
          <w:marTop w:val="0"/>
          <w:marBottom w:val="0"/>
          <w:divBdr>
            <w:top w:val="none" w:sz="0" w:space="0" w:color="auto"/>
            <w:left w:val="none" w:sz="0" w:space="0" w:color="auto"/>
            <w:bottom w:val="none" w:sz="0" w:space="0" w:color="auto"/>
            <w:right w:val="none" w:sz="0" w:space="0" w:color="auto"/>
          </w:divBdr>
        </w:div>
        <w:div w:id="113445729">
          <w:marLeft w:val="0"/>
          <w:marRight w:val="0"/>
          <w:marTop w:val="0"/>
          <w:marBottom w:val="0"/>
          <w:divBdr>
            <w:top w:val="none" w:sz="0" w:space="0" w:color="auto"/>
            <w:left w:val="none" w:sz="0" w:space="0" w:color="auto"/>
            <w:bottom w:val="none" w:sz="0" w:space="0" w:color="auto"/>
            <w:right w:val="none" w:sz="0" w:space="0" w:color="auto"/>
          </w:divBdr>
        </w:div>
        <w:div w:id="137186193">
          <w:marLeft w:val="0"/>
          <w:marRight w:val="0"/>
          <w:marTop w:val="0"/>
          <w:marBottom w:val="0"/>
          <w:divBdr>
            <w:top w:val="none" w:sz="0" w:space="0" w:color="auto"/>
            <w:left w:val="none" w:sz="0" w:space="0" w:color="auto"/>
            <w:bottom w:val="none" w:sz="0" w:space="0" w:color="auto"/>
            <w:right w:val="none" w:sz="0" w:space="0" w:color="auto"/>
          </w:divBdr>
        </w:div>
        <w:div w:id="164826705">
          <w:marLeft w:val="0"/>
          <w:marRight w:val="0"/>
          <w:marTop w:val="0"/>
          <w:marBottom w:val="0"/>
          <w:divBdr>
            <w:top w:val="none" w:sz="0" w:space="0" w:color="auto"/>
            <w:left w:val="none" w:sz="0" w:space="0" w:color="auto"/>
            <w:bottom w:val="none" w:sz="0" w:space="0" w:color="auto"/>
            <w:right w:val="none" w:sz="0" w:space="0" w:color="auto"/>
          </w:divBdr>
        </w:div>
        <w:div w:id="198904043">
          <w:marLeft w:val="0"/>
          <w:marRight w:val="0"/>
          <w:marTop w:val="0"/>
          <w:marBottom w:val="0"/>
          <w:divBdr>
            <w:top w:val="none" w:sz="0" w:space="0" w:color="auto"/>
            <w:left w:val="none" w:sz="0" w:space="0" w:color="auto"/>
            <w:bottom w:val="none" w:sz="0" w:space="0" w:color="auto"/>
            <w:right w:val="none" w:sz="0" w:space="0" w:color="auto"/>
          </w:divBdr>
        </w:div>
        <w:div w:id="199172659">
          <w:marLeft w:val="0"/>
          <w:marRight w:val="0"/>
          <w:marTop w:val="0"/>
          <w:marBottom w:val="0"/>
          <w:divBdr>
            <w:top w:val="none" w:sz="0" w:space="0" w:color="auto"/>
            <w:left w:val="none" w:sz="0" w:space="0" w:color="auto"/>
            <w:bottom w:val="none" w:sz="0" w:space="0" w:color="auto"/>
            <w:right w:val="none" w:sz="0" w:space="0" w:color="auto"/>
          </w:divBdr>
        </w:div>
        <w:div w:id="261106744">
          <w:marLeft w:val="0"/>
          <w:marRight w:val="0"/>
          <w:marTop w:val="0"/>
          <w:marBottom w:val="0"/>
          <w:divBdr>
            <w:top w:val="none" w:sz="0" w:space="0" w:color="auto"/>
            <w:left w:val="none" w:sz="0" w:space="0" w:color="auto"/>
            <w:bottom w:val="none" w:sz="0" w:space="0" w:color="auto"/>
            <w:right w:val="none" w:sz="0" w:space="0" w:color="auto"/>
          </w:divBdr>
        </w:div>
        <w:div w:id="301889985">
          <w:marLeft w:val="0"/>
          <w:marRight w:val="0"/>
          <w:marTop w:val="0"/>
          <w:marBottom w:val="0"/>
          <w:divBdr>
            <w:top w:val="none" w:sz="0" w:space="0" w:color="auto"/>
            <w:left w:val="none" w:sz="0" w:space="0" w:color="auto"/>
            <w:bottom w:val="none" w:sz="0" w:space="0" w:color="auto"/>
            <w:right w:val="none" w:sz="0" w:space="0" w:color="auto"/>
          </w:divBdr>
        </w:div>
        <w:div w:id="337272958">
          <w:marLeft w:val="0"/>
          <w:marRight w:val="0"/>
          <w:marTop w:val="0"/>
          <w:marBottom w:val="0"/>
          <w:divBdr>
            <w:top w:val="none" w:sz="0" w:space="0" w:color="auto"/>
            <w:left w:val="none" w:sz="0" w:space="0" w:color="auto"/>
            <w:bottom w:val="none" w:sz="0" w:space="0" w:color="auto"/>
            <w:right w:val="none" w:sz="0" w:space="0" w:color="auto"/>
          </w:divBdr>
        </w:div>
        <w:div w:id="383918940">
          <w:marLeft w:val="0"/>
          <w:marRight w:val="0"/>
          <w:marTop w:val="0"/>
          <w:marBottom w:val="0"/>
          <w:divBdr>
            <w:top w:val="none" w:sz="0" w:space="0" w:color="auto"/>
            <w:left w:val="none" w:sz="0" w:space="0" w:color="auto"/>
            <w:bottom w:val="none" w:sz="0" w:space="0" w:color="auto"/>
            <w:right w:val="none" w:sz="0" w:space="0" w:color="auto"/>
          </w:divBdr>
        </w:div>
        <w:div w:id="395980257">
          <w:marLeft w:val="0"/>
          <w:marRight w:val="0"/>
          <w:marTop w:val="0"/>
          <w:marBottom w:val="0"/>
          <w:divBdr>
            <w:top w:val="none" w:sz="0" w:space="0" w:color="auto"/>
            <w:left w:val="none" w:sz="0" w:space="0" w:color="auto"/>
            <w:bottom w:val="none" w:sz="0" w:space="0" w:color="auto"/>
            <w:right w:val="none" w:sz="0" w:space="0" w:color="auto"/>
          </w:divBdr>
        </w:div>
        <w:div w:id="402263525">
          <w:marLeft w:val="0"/>
          <w:marRight w:val="0"/>
          <w:marTop w:val="0"/>
          <w:marBottom w:val="0"/>
          <w:divBdr>
            <w:top w:val="none" w:sz="0" w:space="0" w:color="auto"/>
            <w:left w:val="none" w:sz="0" w:space="0" w:color="auto"/>
            <w:bottom w:val="none" w:sz="0" w:space="0" w:color="auto"/>
            <w:right w:val="none" w:sz="0" w:space="0" w:color="auto"/>
          </w:divBdr>
        </w:div>
        <w:div w:id="424573492">
          <w:marLeft w:val="0"/>
          <w:marRight w:val="0"/>
          <w:marTop w:val="0"/>
          <w:marBottom w:val="0"/>
          <w:divBdr>
            <w:top w:val="none" w:sz="0" w:space="0" w:color="auto"/>
            <w:left w:val="none" w:sz="0" w:space="0" w:color="auto"/>
            <w:bottom w:val="none" w:sz="0" w:space="0" w:color="auto"/>
            <w:right w:val="none" w:sz="0" w:space="0" w:color="auto"/>
          </w:divBdr>
        </w:div>
        <w:div w:id="434444458">
          <w:marLeft w:val="0"/>
          <w:marRight w:val="0"/>
          <w:marTop w:val="0"/>
          <w:marBottom w:val="0"/>
          <w:divBdr>
            <w:top w:val="none" w:sz="0" w:space="0" w:color="auto"/>
            <w:left w:val="none" w:sz="0" w:space="0" w:color="auto"/>
            <w:bottom w:val="none" w:sz="0" w:space="0" w:color="auto"/>
            <w:right w:val="none" w:sz="0" w:space="0" w:color="auto"/>
          </w:divBdr>
        </w:div>
        <w:div w:id="533619259">
          <w:marLeft w:val="0"/>
          <w:marRight w:val="0"/>
          <w:marTop w:val="0"/>
          <w:marBottom w:val="0"/>
          <w:divBdr>
            <w:top w:val="none" w:sz="0" w:space="0" w:color="auto"/>
            <w:left w:val="none" w:sz="0" w:space="0" w:color="auto"/>
            <w:bottom w:val="none" w:sz="0" w:space="0" w:color="auto"/>
            <w:right w:val="none" w:sz="0" w:space="0" w:color="auto"/>
          </w:divBdr>
        </w:div>
        <w:div w:id="536547805">
          <w:marLeft w:val="0"/>
          <w:marRight w:val="0"/>
          <w:marTop w:val="0"/>
          <w:marBottom w:val="0"/>
          <w:divBdr>
            <w:top w:val="none" w:sz="0" w:space="0" w:color="auto"/>
            <w:left w:val="none" w:sz="0" w:space="0" w:color="auto"/>
            <w:bottom w:val="none" w:sz="0" w:space="0" w:color="auto"/>
            <w:right w:val="none" w:sz="0" w:space="0" w:color="auto"/>
          </w:divBdr>
        </w:div>
        <w:div w:id="547838786">
          <w:marLeft w:val="0"/>
          <w:marRight w:val="0"/>
          <w:marTop w:val="0"/>
          <w:marBottom w:val="0"/>
          <w:divBdr>
            <w:top w:val="none" w:sz="0" w:space="0" w:color="auto"/>
            <w:left w:val="none" w:sz="0" w:space="0" w:color="auto"/>
            <w:bottom w:val="none" w:sz="0" w:space="0" w:color="auto"/>
            <w:right w:val="none" w:sz="0" w:space="0" w:color="auto"/>
          </w:divBdr>
        </w:div>
        <w:div w:id="560603184">
          <w:marLeft w:val="0"/>
          <w:marRight w:val="0"/>
          <w:marTop w:val="0"/>
          <w:marBottom w:val="0"/>
          <w:divBdr>
            <w:top w:val="none" w:sz="0" w:space="0" w:color="auto"/>
            <w:left w:val="none" w:sz="0" w:space="0" w:color="auto"/>
            <w:bottom w:val="none" w:sz="0" w:space="0" w:color="auto"/>
            <w:right w:val="none" w:sz="0" w:space="0" w:color="auto"/>
          </w:divBdr>
        </w:div>
        <w:div w:id="638071097">
          <w:marLeft w:val="0"/>
          <w:marRight w:val="0"/>
          <w:marTop w:val="0"/>
          <w:marBottom w:val="0"/>
          <w:divBdr>
            <w:top w:val="none" w:sz="0" w:space="0" w:color="auto"/>
            <w:left w:val="none" w:sz="0" w:space="0" w:color="auto"/>
            <w:bottom w:val="none" w:sz="0" w:space="0" w:color="auto"/>
            <w:right w:val="none" w:sz="0" w:space="0" w:color="auto"/>
          </w:divBdr>
        </w:div>
        <w:div w:id="638539000">
          <w:marLeft w:val="0"/>
          <w:marRight w:val="0"/>
          <w:marTop w:val="0"/>
          <w:marBottom w:val="0"/>
          <w:divBdr>
            <w:top w:val="none" w:sz="0" w:space="0" w:color="auto"/>
            <w:left w:val="none" w:sz="0" w:space="0" w:color="auto"/>
            <w:bottom w:val="none" w:sz="0" w:space="0" w:color="auto"/>
            <w:right w:val="none" w:sz="0" w:space="0" w:color="auto"/>
          </w:divBdr>
        </w:div>
        <w:div w:id="698512241">
          <w:marLeft w:val="0"/>
          <w:marRight w:val="0"/>
          <w:marTop w:val="0"/>
          <w:marBottom w:val="0"/>
          <w:divBdr>
            <w:top w:val="none" w:sz="0" w:space="0" w:color="auto"/>
            <w:left w:val="none" w:sz="0" w:space="0" w:color="auto"/>
            <w:bottom w:val="none" w:sz="0" w:space="0" w:color="auto"/>
            <w:right w:val="none" w:sz="0" w:space="0" w:color="auto"/>
          </w:divBdr>
        </w:div>
        <w:div w:id="717054282">
          <w:marLeft w:val="0"/>
          <w:marRight w:val="0"/>
          <w:marTop w:val="0"/>
          <w:marBottom w:val="0"/>
          <w:divBdr>
            <w:top w:val="none" w:sz="0" w:space="0" w:color="auto"/>
            <w:left w:val="none" w:sz="0" w:space="0" w:color="auto"/>
            <w:bottom w:val="none" w:sz="0" w:space="0" w:color="auto"/>
            <w:right w:val="none" w:sz="0" w:space="0" w:color="auto"/>
          </w:divBdr>
        </w:div>
        <w:div w:id="720860854">
          <w:marLeft w:val="0"/>
          <w:marRight w:val="0"/>
          <w:marTop w:val="0"/>
          <w:marBottom w:val="0"/>
          <w:divBdr>
            <w:top w:val="none" w:sz="0" w:space="0" w:color="auto"/>
            <w:left w:val="none" w:sz="0" w:space="0" w:color="auto"/>
            <w:bottom w:val="none" w:sz="0" w:space="0" w:color="auto"/>
            <w:right w:val="none" w:sz="0" w:space="0" w:color="auto"/>
          </w:divBdr>
        </w:div>
        <w:div w:id="842086474">
          <w:marLeft w:val="0"/>
          <w:marRight w:val="0"/>
          <w:marTop w:val="0"/>
          <w:marBottom w:val="0"/>
          <w:divBdr>
            <w:top w:val="none" w:sz="0" w:space="0" w:color="auto"/>
            <w:left w:val="none" w:sz="0" w:space="0" w:color="auto"/>
            <w:bottom w:val="none" w:sz="0" w:space="0" w:color="auto"/>
            <w:right w:val="none" w:sz="0" w:space="0" w:color="auto"/>
          </w:divBdr>
        </w:div>
        <w:div w:id="847334501">
          <w:marLeft w:val="0"/>
          <w:marRight w:val="0"/>
          <w:marTop w:val="0"/>
          <w:marBottom w:val="0"/>
          <w:divBdr>
            <w:top w:val="none" w:sz="0" w:space="0" w:color="auto"/>
            <w:left w:val="none" w:sz="0" w:space="0" w:color="auto"/>
            <w:bottom w:val="none" w:sz="0" w:space="0" w:color="auto"/>
            <w:right w:val="none" w:sz="0" w:space="0" w:color="auto"/>
          </w:divBdr>
        </w:div>
        <w:div w:id="849611855">
          <w:marLeft w:val="0"/>
          <w:marRight w:val="0"/>
          <w:marTop w:val="0"/>
          <w:marBottom w:val="0"/>
          <w:divBdr>
            <w:top w:val="none" w:sz="0" w:space="0" w:color="auto"/>
            <w:left w:val="none" w:sz="0" w:space="0" w:color="auto"/>
            <w:bottom w:val="none" w:sz="0" w:space="0" w:color="auto"/>
            <w:right w:val="none" w:sz="0" w:space="0" w:color="auto"/>
          </w:divBdr>
        </w:div>
        <w:div w:id="964777208">
          <w:marLeft w:val="0"/>
          <w:marRight w:val="0"/>
          <w:marTop w:val="0"/>
          <w:marBottom w:val="0"/>
          <w:divBdr>
            <w:top w:val="none" w:sz="0" w:space="0" w:color="auto"/>
            <w:left w:val="none" w:sz="0" w:space="0" w:color="auto"/>
            <w:bottom w:val="none" w:sz="0" w:space="0" w:color="auto"/>
            <w:right w:val="none" w:sz="0" w:space="0" w:color="auto"/>
          </w:divBdr>
        </w:div>
        <w:div w:id="970016526">
          <w:marLeft w:val="0"/>
          <w:marRight w:val="0"/>
          <w:marTop w:val="0"/>
          <w:marBottom w:val="0"/>
          <w:divBdr>
            <w:top w:val="none" w:sz="0" w:space="0" w:color="auto"/>
            <w:left w:val="none" w:sz="0" w:space="0" w:color="auto"/>
            <w:bottom w:val="none" w:sz="0" w:space="0" w:color="auto"/>
            <w:right w:val="none" w:sz="0" w:space="0" w:color="auto"/>
          </w:divBdr>
        </w:div>
        <w:div w:id="1080830811">
          <w:marLeft w:val="0"/>
          <w:marRight w:val="0"/>
          <w:marTop w:val="0"/>
          <w:marBottom w:val="0"/>
          <w:divBdr>
            <w:top w:val="none" w:sz="0" w:space="0" w:color="auto"/>
            <w:left w:val="none" w:sz="0" w:space="0" w:color="auto"/>
            <w:bottom w:val="none" w:sz="0" w:space="0" w:color="auto"/>
            <w:right w:val="none" w:sz="0" w:space="0" w:color="auto"/>
          </w:divBdr>
        </w:div>
        <w:div w:id="1124886010">
          <w:marLeft w:val="0"/>
          <w:marRight w:val="0"/>
          <w:marTop w:val="0"/>
          <w:marBottom w:val="0"/>
          <w:divBdr>
            <w:top w:val="none" w:sz="0" w:space="0" w:color="auto"/>
            <w:left w:val="none" w:sz="0" w:space="0" w:color="auto"/>
            <w:bottom w:val="none" w:sz="0" w:space="0" w:color="auto"/>
            <w:right w:val="none" w:sz="0" w:space="0" w:color="auto"/>
          </w:divBdr>
        </w:div>
        <w:div w:id="1193542230">
          <w:marLeft w:val="0"/>
          <w:marRight w:val="0"/>
          <w:marTop w:val="0"/>
          <w:marBottom w:val="0"/>
          <w:divBdr>
            <w:top w:val="none" w:sz="0" w:space="0" w:color="auto"/>
            <w:left w:val="none" w:sz="0" w:space="0" w:color="auto"/>
            <w:bottom w:val="none" w:sz="0" w:space="0" w:color="auto"/>
            <w:right w:val="none" w:sz="0" w:space="0" w:color="auto"/>
          </w:divBdr>
        </w:div>
        <w:div w:id="1354526725">
          <w:marLeft w:val="0"/>
          <w:marRight w:val="0"/>
          <w:marTop w:val="0"/>
          <w:marBottom w:val="0"/>
          <w:divBdr>
            <w:top w:val="none" w:sz="0" w:space="0" w:color="auto"/>
            <w:left w:val="none" w:sz="0" w:space="0" w:color="auto"/>
            <w:bottom w:val="none" w:sz="0" w:space="0" w:color="auto"/>
            <w:right w:val="none" w:sz="0" w:space="0" w:color="auto"/>
          </w:divBdr>
        </w:div>
        <w:div w:id="1366785212">
          <w:marLeft w:val="0"/>
          <w:marRight w:val="0"/>
          <w:marTop w:val="0"/>
          <w:marBottom w:val="0"/>
          <w:divBdr>
            <w:top w:val="none" w:sz="0" w:space="0" w:color="auto"/>
            <w:left w:val="none" w:sz="0" w:space="0" w:color="auto"/>
            <w:bottom w:val="none" w:sz="0" w:space="0" w:color="auto"/>
            <w:right w:val="none" w:sz="0" w:space="0" w:color="auto"/>
          </w:divBdr>
        </w:div>
        <w:div w:id="1407459748">
          <w:marLeft w:val="0"/>
          <w:marRight w:val="0"/>
          <w:marTop w:val="0"/>
          <w:marBottom w:val="0"/>
          <w:divBdr>
            <w:top w:val="none" w:sz="0" w:space="0" w:color="auto"/>
            <w:left w:val="none" w:sz="0" w:space="0" w:color="auto"/>
            <w:bottom w:val="none" w:sz="0" w:space="0" w:color="auto"/>
            <w:right w:val="none" w:sz="0" w:space="0" w:color="auto"/>
          </w:divBdr>
        </w:div>
        <w:div w:id="1422989983">
          <w:marLeft w:val="0"/>
          <w:marRight w:val="0"/>
          <w:marTop w:val="0"/>
          <w:marBottom w:val="0"/>
          <w:divBdr>
            <w:top w:val="none" w:sz="0" w:space="0" w:color="auto"/>
            <w:left w:val="none" w:sz="0" w:space="0" w:color="auto"/>
            <w:bottom w:val="none" w:sz="0" w:space="0" w:color="auto"/>
            <w:right w:val="none" w:sz="0" w:space="0" w:color="auto"/>
          </w:divBdr>
        </w:div>
        <w:div w:id="1456438548">
          <w:marLeft w:val="0"/>
          <w:marRight w:val="0"/>
          <w:marTop w:val="0"/>
          <w:marBottom w:val="0"/>
          <w:divBdr>
            <w:top w:val="none" w:sz="0" w:space="0" w:color="auto"/>
            <w:left w:val="none" w:sz="0" w:space="0" w:color="auto"/>
            <w:bottom w:val="none" w:sz="0" w:space="0" w:color="auto"/>
            <w:right w:val="none" w:sz="0" w:space="0" w:color="auto"/>
          </w:divBdr>
        </w:div>
        <w:div w:id="1494175376">
          <w:marLeft w:val="0"/>
          <w:marRight w:val="0"/>
          <w:marTop w:val="0"/>
          <w:marBottom w:val="0"/>
          <w:divBdr>
            <w:top w:val="none" w:sz="0" w:space="0" w:color="auto"/>
            <w:left w:val="none" w:sz="0" w:space="0" w:color="auto"/>
            <w:bottom w:val="none" w:sz="0" w:space="0" w:color="auto"/>
            <w:right w:val="none" w:sz="0" w:space="0" w:color="auto"/>
          </w:divBdr>
        </w:div>
        <w:div w:id="1517118159">
          <w:marLeft w:val="0"/>
          <w:marRight w:val="0"/>
          <w:marTop w:val="0"/>
          <w:marBottom w:val="0"/>
          <w:divBdr>
            <w:top w:val="none" w:sz="0" w:space="0" w:color="auto"/>
            <w:left w:val="none" w:sz="0" w:space="0" w:color="auto"/>
            <w:bottom w:val="none" w:sz="0" w:space="0" w:color="auto"/>
            <w:right w:val="none" w:sz="0" w:space="0" w:color="auto"/>
          </w:divBdr>
        </w:div>
        <w:div w:id="1529682525">
          <w:marLeft w:val="0"/>
          <w:marRight w:val="0"/>
          <w:marTop w:val="0"/>
          <w:marBottom w:val="0"/>
          <w:divBdr>
            <w:top w:val="none" w:sz="0" w:space="0" w:color="auto"/>
            <w:left w:val="none" w:sz="0" w:space="0" w:color="auto"/>
            <w:bottom w:val="none" w:sz="0" w:space="0" w:color="auto"/>
            <w:right w:val="none" w:sz="0" w:space="0" w:color="auto"/>
          </w:divBdr>
        </w:div>
        <w:div w:id="1652368023">
          <w:marLeft w:val="0"/>
          <w:marRight w:val="0"/>
          <w:marTop w:val="0"/>
          <w:marBottom w:val="0"/>
          <w:divBdr>
            <w:top w:val="none" w:sz="0" w:space="0" w:color="auto"/>
            <w:left w:val="none" w:sz="0" w:space="0" w:color="auto"/>
            <w:bottom w:val="none" w:sz="0" w:space="0" w:color="auto"/>
            <w:right w:val="none" w:sz="0" w:space="0" w:color="auto"/>
          </w:divBdr>
        </w:div>
        <w:div w:id="1660618531">
          <w:marLeft w:val="0"/>
          <w:marRight w:val="0"/>
          <w:marTop w:val="0"/>
          <w:marBottom w:val="0"/>
          <w:divBdr>
            <w:top w:val="none" w:sz="0" w:space="0" w:color="auto"/>
            <w:left w:val="none" w:sz="0" w:space="0" w:color="auto"/>
            <w:bottom w:val="none" w:sz="0" w:space="0" w:color="auto"/>
            <w:right w:val="none" w:sz="0" w:space="0" w:color="auto"/>
          </w:divBdr>
        </w:div>
        <w:div w:id="1708411895">
          <w:marLeft w:val="0"/>
          <w:marRight w:val="0"/>
          <w:marTop w:val="0"/>
          <w:marBottom w:val="0"/>
          <w:divBdr>
            <w:top w:val="none" w:sz="0" w:space="0" w:color="auto"/>
            <w:left w:val="none" w:sz="0" w:space="0" w:color="auto"/>
            <w:bottom w:val="none" w:sz="0" w:space="0" w:color="auto"/>
            <w:right w:val="none" w:sz="0" w:space="0" w:color="auto"/>
          </w:divBdr>
        </w:div>
        <w:div w:id="1741438229">
          <w:marLeft w:val="0"/>
          <w:marRight w:val="0"/>
          <w:marTop w:val="0"/>
          <w:marBottom w:val="0"/>
          <w:divBdr>
            <w:top w:val="none" w:sz="0" w:space="0" w:color="auto"/>
            <w:left w:val="none" w:sz="0" w:space="0" w:color="auto"/>
            <w:bottom w:val="none" w:sz="0" w:space="0" w:color="auto"/>
            <w:right w:val="none" w:sz="0" w:space="0" w:color="auto"/>
          </w:divBdr>
        </w:div>
        <w:div w:id="1771050980">
          <w:marLeft w:val="0"/>
          <w:marRight w:val="0"/>
          <w:marTop w:val="0"/>
          <w:marBottom w:val="0"/>
          <w:divBdr>
            <w:top w:val="none" w:sz="0" w:space="0" w:color="auto"/>
            <w:left w:val="none" w:sz="0" w:space="0" w:color="auto"/>
            <w:bottom w:val="none" w:sz="0" w:space="0" w:color="auto"/>
            <w:right w:val="none" w:sz="0" w:space="0" w:color="auto"/>
          </w:divBdr>
        </w:div>
        <w:div w:id="1780025946">
          <w:marLeft w:val="0"/>
          <w:marRight w:val="0"/>
          <w:marTop w:val="0"/>
          <w:marBottom w:val="0"/>
          <w:divBdr>
            <w:top w:val="none" w:sz="0" w:space="0" w:color="auto"/>
            <w:left w:val="none" w:sz="0" w:space="0" w:color="auto"/>
            <w:bottom w:val="none" w:sz="0" w:space="0" w:color="auto"/>
            <w:right w:val="none" w:sz="0" w:space="0" w:color="auto"/>
          </w:divBdr>
        </w:div>
        <w:div w:id="1799257120">
          <w:marLeft w:val="0"/>
          <w:marRight w:val="0"/>
          <w:marTop w:val="0"/>
          <w:marBottom w:val="0"/>
          <w:divBdr>
            <w:top w:val="none" w:sz="0" w:space="0" w:color="auto"/>
            <w:left w:val="none" w:sz="0" w:space="0" w:color="auto"/>
            <w:bottom w:val="none" w:sz="0" w:space="0" w:color="auto"/>
            <w:right w:val="none" w:sz="0" w:space="0" w:color="auto"/>
          </w:divBdr>
        </w:div>
        <w:div w:id="1831603286">
          <w:marLeft w:val="0"/>
          <w:marRight w:val="0"/>
          <w:marTop w:val="0"/>
          <w:marBottom w:val="0"/>
          <w:divBdr>
            <w:top w:val="none" w:sz="0" w:space="0" w:color="auto"/>
            <w:left w:val="none" w:sz="0" w:space="0" w:color="auto"/>
            <w:bottom w:val="none" w:sz="0" w:space="0" w:color="auto"/>
            <w:right w:val="none" w:sz="0" w:space="0" w:color="auto"/>
          </w:divBdr>
        </w:div>
        <w:div w:id="1832789879">
          <w:marLeft w:val="0"/>
          <w:marRight w:val="0"/>
          <w:marTop w:val="0"/>
          <w:marBottom w:val="0"/>
          <w:divBdr>
            <w:top w:val="none" w:sz="0" w:space="0" w:color="auto"/>
            <w:left w:val="none" w:sz="0" w:space="0" w:color="auto"/>
            <w:bottom w:val="none" w:sz="0" w:space="0" w:color="auto"/>
            <w:right w:val="none" w:sz="0" w:space="0" w:color="auto"/>
          </w:divBdr>
        </w:div>
        <w:div w:id="1886526165">
          <w:marLeft w:val="0"/>
          <w:marRight w:val="0"/>
          <w:marTop w:val="0"/>
          <w:marBottom w:val="0"/>
          <w:divBdr>
            <w:top w:val="none" w:sz="0" w:space="0" w:color="auto"/>
            <w:left w:val="none" w:sz="0" w:space="0" w:color="auto"/>
            <w:bottom w:val="none" w:sz="0" w:space="0" w:color="auto"/>
            <w:right w:val="none" w:sz="0" w:space="0" w:color="auto"/>
          </w:divBdr>
        </w:div>
        <w:div w:id="1980112511">
          <w:marLeft w:val="0"/>
          <w:marRight w:val="0"/>
          <w:marTop w:val="0"/>
          <w:marBottom w:val="0"/>
          <w:divBdr>
            <w:top w:val="none" w:sz="0" w:space="0" w:color="auto"/>
            <w:left w:val="none" w:sz="0" w:space="0" w:color="auto"/>
            <w:bottom w:val="none" w:sz="0" w:space="0" w:color="auto"/>
            <w:right w:val="none" w:sz="0" w:space="0" w:color="auto"/>
          </w:divBdr>
        </w:div>
        <w:div w:id="2003242600">
          <w:marLeft w:val="0"/>
          <w:marRight w:val="0"/>
          <w:marTop w:val="0"/>
          <w:marBottom w:val="0"/>
          <w:divBdr>
            <w:top w:val="none" w:sz="0" w:space="0" w:color="auto"/>
            <w:left w:val="none" w:sz="0" w:space="0" w:color="auto"/>
            <w:bottom w:val="none" w:sz="0" w:space="0" w:color="auto"/>
            <w:right w:val="none" w:sz="0" w:space="0" w:color="auto"/>
          </w:divBdr>
        </w:div>
      </w:divsChild>
    </w:div>
    <w:div w:id="1953628947">
      <w:bodyDiv w:val="1"/>
      <w:marLeft w:val="0"/>
      <w:marRight w:val="0"/>
      <w:marTop w:val="0"/>
      <w:marBottom w:val="0"/>
      <w:divBdr>
        <w:top w:val="none" w:sz="0" w:space="0" w:color="auto"/>
        <w:left w:val="none" w:sz="0" w:space="0" w:color="auto"/>
        <w:bottom w:val="none" w:sz="0" w:space="0" w:color="auto"/>
        <w:right w:val="none" w:sz="0" w:space="0" w:color="auto"/>
      </w:divBdr>
      <w:divsChild>
        <w:div w:id="77023994">
          <w:marLeft w:val="0"/>
          <w:marRight w:val="0"/>
          <w:marTop w:val="0"/>
          <w:marBottom w:val="0"/>
          <w:divBdr>
            <w:top w:val="none" w:sz="0" w:space="0" w:color="auto"/>
            <w:left w:val="none" w:sz="0" w:space="0" w:color="auto"/>
            <w:bottom w:val="none" w:sz="0" w:space="0" w:color="auto"/>
            <w:right w:val="none" w:sz="0" w:space="0" w:color="auto"/>
          </w:divBdr>
        </w:div>
        <w:div w:id="283923240">
          <w:marLeft w:val="0"/>
          <w:marRight w:val="0"/>
          <w:marTop w:val="0"/>
          <w:marBottom w:val="0"/>
          <w:divBdr>
            <w:top w:val="none" w:sz="0" w:space="0" w:color="auto"/>
            <w:left w:val="none" w:sz="0" w:space="0" w:color="auto"/>
            <w:bottom w:val="none" w:sz="0" w:space="0" w:color="auto"/>
            <w:right w:val="none" w:sz="0" w:space="0" w:color="auto"/>
          </w:divBdr>
        </w:div>
        <w:div w:id="320231611">
          <w:marLeft w:val="0"/>
          <w:marRight w:val="0"/>
          <w:marTop w:val="0"/>
          <w:marBottom w:val="0"/>
          <w:divBdr>
            <w:top w:val="none" w:sz="0" w:space="0" w:color="auto"/>
            <w:left w:val="none" w:sz="0" w:space="0" w:color="auto"/>
            <w:bottom w:val="none" w:sz="0" w:space="0" w:color="auto"/>
            <w:right w:val="none" w:sz="0" w:space="0" w:color="auto"/>
          </w:divBdr>
        </w:div>
        <w:div w:id="362754753">
          <w:marLeft w:val="0"/>
          <w:marRight w:val="0"/>
          <w:marTop w:val="0"/>
          <w:marBottom w:val="0"/>
          <w:divBdr>
            <w:top w:val="none" w:sz="0" w:space="0" w:color="auto"/>
            <w:left w:val="none" w:sz="0" w:space="0" w:color="auto"/>
            <w:bottom w:val="none" w:sz="0" w:space="0" w:color="auto"/>
            <w:right w:val="none" w:sz="0" w:space="0" w:color="auto"/>
          </w:divBdr>
        </w:div>
        <w:div w:id="478696729">
          <w:marLeft w:val="0"/>
          <w:marRight w:val="0"/>
          <w:marTop w:val="0"/>
          <w:marBottom w:val="0"/>
          <w:divBdr>
            <w:top w:val="none" w:sz="0" w:space="0" w:color="auto"/>
            <w:left w:val="none" w:sz="0" w:space="0" w:color="auto"/>
            <w:bottom w:val="none" w:sz="0" w:space="0" w:color="auto"/>
            <w:right w:val="none" w:sz="0" w:space="0" w:color="auto"/>
          </w:divBdr>
        </w:div>
        <w:div w:id="481503405">
          <w:marLeft w:val="0"/>
          <w:marRight w:val="0"/>
          <w:marTop w:val="0"/>
          <w:marBottom w:val="0"/>
          <w:divBdr>
            <w:top w:val="none" w:sz="0" w:space="0" w:color="auto"/>
            <w:left w:val="none" w:sz="0" w:space="0" w:color="auto"/>
            <w:bottom w:val="none" w:sz="0" w:space="0" w:color="auto"/>
            <w:right w:val="none" w:sz="0" w:space="0" w:color="auto"/>
          </w:divBdr>
        </w:div>
        <w:div w:id="639724269">
          <w:marLeft w:val="0"/>
          <w:marRight w:val="0"/>
          <w:marTop w:val="0"/>
          <w:marBottom w:val="0"/>
          <w:divBdr>
            <w:top w:val="none" w:sz="0" w:space="0" w:color="auto"/>
            <w:left w:val="none" w:sz="0" w:space="0" w:color="auto"/>
            <w:bottom w:val="none" w:sz="0" w:space="0" w:color="auto"/>
            <w:right w:val="none" w:sz="0" w:space="0" w:color="auto"/>
          </w:divBdr>
        </w:div>
        <w:div w:id="655643966">
          <w:marLeft w:val="0"/>
          <w:marRight w:val="0"/>
          <w:marTop w:val="0"/>
          <w:marBottom w:val="0"/>
          <w:divBdr>
            <w:top w:val="none" w:sz="0" w:space="0" w:color="auto"/>
            <w:left w:val="none" w:sz="0" w:space="0" w:color="auto"/>
            <w:bottom w:val="none" w:sz="0" w:space="0" w:color="auto"/>
            <w:right w:val="none" w:sz="0" w:space="0" w:color="auto"/>
          </w:divBdr>
        </w:div>
        <w:div w:id="733705035">
          <w:marLeft w:val="0"/>
          <w:marRight w:val="0"/>
          <w:marTop w:val="0"/>
          <w:marBottom w:val="0"/>
          <w:divBdr>
            <w:top w:val="none" w:sz="0" w:space="0" w:color="auto"/>
            <w:left w:val="none" w:sz="0" w:space="0" w:color="auto"/>
            <w:bottom w:val="none" w:sz="0" w:space="0" w:color="auto"/>
            <w:right w:val="none" w:sz="0" w:space="0" w:color="auto"/>
          </w:divBdr>
        </w:div>
        <w:div w:id="804007333">
          <w:marLeft w:val="0"/>
          <w:marRight w:val="0"/>
          <w:marTop w:val="0"/>
          <w:marBottom w:val="0"/>
          <w:divBdr>
            <w:top w:val="none" w:sz="0" w:space="0" w:color="auto"/>
            <w:left w:val="none" w:sz="0" w:space="0" w:color="auto"/>
            <w:bottom w:val="none" w:sz="0" w:space="0" w:color="auto"/>
            <w:right w:val="none" w:sz="0" w:space="0" w:color="auto"/>
          </w:divBdr>
        </w:div>
        <w:div w:id="866410864">
          <w:marLeft w:val="0"/>
          <w:marRight w:val="0"/>
          <w:marTop w:val="0"/>
          <w:marBottom w:val="0"/>
          <w:divBdr>
            <w:top w:val="none" w:sz="0" w:space="0" w:color="auto"/>
            <w:left w:val="none" w:sz="0" w:space="0" w:color="auto"/>
            <w:bottom w:val="none" w:sz="0" w:space="0" w:color="auto"/>
            <w:right w:val="none" w:sz="0" w:space="0" w:color="auto"/>
          </w:divBdr>
        </w:div>
        <w:div w:id="890116882">
          <w:marLeft w:val="0"/>
          <w:marRight w:val="0"/>
          <w:marTop w:val="0"/>
          <w:marBottom w:val="0"/>
          <w:divBdr>
            <w:top w:val="none" w:sz="0" w:space="0" w:color="auto"/>
            <w:left w:val="none" w:sz="0" w:space="0" w:color="auto"/>
            <w:bottom w:val="none" w:sz="0" w:space="0" w:color="auto"/>
            <w:right w:val="none" w:sz="0" w:space="0" w:color="auto"/>
          </w:divBdr>
        </w:div>
        <w:div w:id="981080261">
          <w:marLeft w:val="0"/>
          <w:marRight w:val="0"/>
          <w:marTop w:val="0"/>
          <w:marBottom w:val="0"/>
          <w:divBdr>
            <w:top w:val="none" w:sz="0" w:space="0" w:color="auto"/>
            <w:left w:val="none" w:sz="0" w:space="0" w:color="auto"/>
            <w:bottom w:val="none" w:sz="0" w:space="0" w:color="auto"/>
            <w:right w:val="none" w:sz="0" w:space="0" w:color="auto"/>
          </w:divBdr>
        </w:div>
        <w:div w:id="984578412">
          <w:marLeft w:val="0"/>
          <w:marRight w:val="0"/>
          <w:marTop w:val="0"/>
          <w:marBottom w:val="0"/>
          <w:divBdr>
            <w:top w:val="none" w:sz="0" w:space="0" w:color="auto"/>
            <w:left w:val="none" w:sz="0" w:space="0" w:color="auto"/>
            <w:bottom w:val="none" w:sz="0" w:space="0" w:color="auto"/>
            <w:right w:val="none" w:sz="0" w:space="0" w:color="auto"/>
          </w:divBdr>
        </w:div>
        <w:div w:id="1062482258">
          <w:marLeft w:val="0"/>
          <w:marRight w:val="0"/>
          <w:marTop w:val="0"/>
          <w:marBottom w:val="0"/>
          <w:divBdr>
            <w:top w:val="none" w:sz="0" w:space="0" w:color="auto"/>
            <w:left w:val="none" w:sz="0" w:space="0" w:color="auto"/>
            <w:bottom w:val="none" w:sz="0" w:space="0" w:color="auto"/>
            <w:right w:val="none" w:sz="0" w:space="0" w:color="auto"/>
          </w:divBdr>
        </w:div>
        <w:div w:id="1062558813">
          <w:marLeft w:val="0"/>
          <w:marRight w:val="0"/>
          <w:marTop w:val="0"/>
          <w:marBottom w:val="0"/>
          <w:divBdr>
            <w:top w:val="none" w:sz="0" w:space="0" w:color="auto"/>
            <w:left w:val="none" w:sz="0" w:space="0" w:color="auto"/>
            <w:bottom w:val="none" w:sz="0" w:space="0" w:color="auto"/>
            <w:right w:val="none" w:sz="0" w:space="0" w:color="auto"/>
          </w:divBdr>
        </w:div>
        <w:div w:id="1088112388">
          <w:marLeft w:val="0"/>
          <w:marRight w:val="0"/>
          <w:marTop w:val="0"/>
          <w:marBottom w:val="0"/>
          <w:divBdr>
            <w:top w:val="none" w:sz="0" w:space="0" w:color="auto"/>
            <w:left w:val="none" w:sz="0" w:space="0" w:color="auto"/>
            <w:bottom w:val="none" w:sz="0" w:space="0" w:color="auto"/>
            <w:right w:val="none" w:sz="0" w:space="0" w:color="auto"/>
          </w:divBdr>
        </w:div>
        <w:div w:id="1186749740">
          <w:marLeft w:val="0"/>
          <w:marRight w:val="0"/>
          <w:marTop w:val="0"/>
          <w:marBottom w:val="0"/>
          <w:divBdr>
            <w:top w:val="none" w:sz="0" w:space="0" w:color="auto"/>
            <w:left w:val="none" w:sz="0" w:space="0" w:color="auto"/>
            <w:bottom w:val="none" w:sz="0" w:space="0" w:color="auto"/>
            <w:right w:val="none" w:sz="0" w:space="0" w:color="auto"/>
          </w:divBdr>
        </w:div>
        <w:div w:id="1991858624">
          <w:marLeft w:val="0"/>
          <w:marRight w:val="0"/>
          <w:marTop w:val="0"/>
          <w:marBottom w:val="0"/>
          <w:divBdr>
            <w:top w:val="none" w:sz="0" w:space="0" w:color="auto"/>
            <w:left w:val="none" w:sz="0" w:space="0" w:color="auto"/>
            <w:bottom w:val="none" w:sz="0" w:space="0" w:color="auto"/>
            <w:right w:val="none" w:sz="0" w:space="0" w:color="auto"/>
          </w:divBdr>
        </w:div>
        <w:div w:id="2001999160">
          <w:marLeft w:val="0"/>
          <w:marRight w:val="0"/>
          <w:marTop w:val="0"/>
          <w:marBottom w:val="0"/>
          <w:divBdr>
            <w:top w:val="none" w:sz="0" w:space="0" w:color="auto"/>
            <w:left w:val="none" w:sz="0" w:space="0" w:color="auto"/>
            <w:bottom w:val="none" w:sz="0" w:space="0" w:color="auto"/>
            <w:right w:val="none" w:sz="0" w:space="0" w:color="auto"/>
          </w:divBdr>
        </w:div>
        <w:div w:id="2057386409">
          <w:marLeft w:val="0"/>
          <w:marRight w:val="0"/>
          <w:marTop w:val="0"/>
          <w:marBottom w:val="0"/>
          <w:divBdr>
            <w:top w:val="none" w:sz="0" w:space="0" w:color="auto"/>
            <w:left w:val="none" w:sz="0" w:space="0" w:color="auto"/>
            <w:bottom w:val="none" w:sz="0" w:space="0" w:color="auto"/>
            <w:right w:val="none" w:sz="0" w:space="0" w:color="auto"/>
          </w:divBdr>
        </w:div>
      </w:divsChild>
    </w:div>
    <w:div w:id="1963417867">
      <w:bodyDiv w:val="1"/>
      <w:marLeft w:val="0"/>
      <w:marRight w:val="0"/>
      <w:marTop w:val="0"/>
      <w:marBottom w:val="0"/>
      <w:divBdr>
        <w:top w:val="none" w:sz="0" w:space="0" w:color="auto"/>
        <w:left w:val="none" w:sz="0" w:space="0" w:color="auto"/>
        <w:bottom w:val="none" w:sz="0" w:space="0" w:color="auto"/>
        <w:right w:val="none" w:sz="0" w:space="0" w:color="auto"/>
      </w:divBdr>
    </w:div>
    <w:div w:id="1979605171">
      <w:bodyDiv w:val="1"/>
      <w:marLeft w:val="0"/>
      <w:marRight w:val="0"/>
      <w:marTop w:val="0"/>
      <w:marBottom w:val="0"/>
      <w:divBdr>
        <w:top w:val="none" w:sz="0" w:space="0" w:color="auto"/>
        <w:left w:val="none" w:sz="0" w:space="0" w:color="auto"/>
        <w:bottom w:val="none" w:sz="0" w:space="0" w:color="auto"/>
        <w:right w:val="none" w:sz="0" w:space="0" w:color="auto"/>
      </w:divBdr>
      <w:divsChild>
        <w:div w:id="60058546">
          <w:marLeft w:val="0"/>
          <w:marRight w:val="0"/>
          <w:marTop w:val="0"/>
          <w:marBottom w:val="0"/>
          <w:divBdr>
            <w:top w:val="none" w:sz="0" w:space="0" w:color="auto"/>
            <w:left w:val="none" w:sz="0" w:space="0" w:color="auto"/>
            <w:bottom w:val="none" w:sz="0" w:space="0" w:color="auto"/>
            <w:right w:val="none" w:sz="0" w:space="0" w:color="auto"/>
          </w:divBdr>
        </w:div>
        <w:div w:id="271517129">
          <w:marLeft w:val="0"/>
          <w:marRight w:val="0"/>
          <w:marTop w:val="0"/>
          <w:marBottom w:val="0"/>
          <w:divBdr>
            <w:top w:val="none" w:sz="0" w:space="0" w:color="auto"/>
            <w:left w:val="none" w:sz="0" w:space="0" w:color="auto"/>
            <w:bottom w:val="none" w:sz="0" w:space="0" w:color="auto"/>
            <w:right w:val="none" w:sz="0" w:space="0" w:color="auto"/>
          </w:divBdr>
        </w:div>
        <w:div w:id="520584620">
          <w:marLeft w:val="0"/>
          <w:marRight w:val="0"/>
          <w:marTop w:val="0"/>
          <w:marBottom w:val="0"/>
          <w:divBdr>
            <w:top w:val="none" w:sz="0" w:space="0" w:color="auto"/>
            <w:left w:val="none" w:sz="0" w:space="0" w:color="auto"/>
            <w:bottom w:val="none" w:sz="0" w:space="0" w:color="auto"/>
            <w:right w:val="none" w:sz="0" w:space="0" w:color="auto"/>
          </w:divBdr>
        </w:div>
        <w:div w:id="525871223">
          <w:marLeft w:val="0"/>
          <w:marRight w:val="0"/>
          <w:marTop w:val="0"/>
          <w:marBottom w:val="0"/>
          <w:divBdr>
            <w:top w:val="none" w:sz="0" w:space="0" w:color="auto"/>
            <w:left w:val="none" w:sz="0" w:space="0" w:color="auto"/>
            <w:bottom w:val="none" w:sz="0" w:space="0" w:color="auto"/>
            <w:right w:val="none" w:sz="0" w:space="0" w:color="auto"/>
          </w:divBdr>
        </w:div>
        <w:div w:id="995374591">
          <w:marLeft w:val="0"/>
          <w:marRight w:val="0"/>
          <w:marTop w:val="0"/>
          <w:marBottom w:val="0"/>
          <w:divBdr>
            <w:top w:val="none" w:sz="0" w:space="0" w:color="auto"/>
            <w:left w:val="none" w:sz="0" w:space="0" w:color="auto"/>
            <w:bottom w:val="none" w:sz="0" w:space="0" w:color="auto"/>
            <w:right w:val="none" w:sz="0" w:space="0" w:color="auto"/>
          </w:divBdr>
        </w:div>
        <w:div w:id="1101682389">
          <w:marLeft w:val="0"/>
          <w:marRight w:val="0"/>
          <w:marTop w:val="0"/>
          <w:marBottom w:val="0"/>
          <w:divBdr>
            <w:top w:val="none" w:sz="0" w:space="0" w:color="auto"/>
            <w:left w:val="none" w:sz="0" w:space="0" w:color="auto"/>
            <w:bottom w:val="none" w:sz="0" w:space="0" w:color="auto"/>
            <w:right w:val="none" w:sz="0" w:space="0" w:color="auto"/>
          </w:divBdr>
        </w:div>
        <w:div w:id="1229145031">
          <w:marLeft w:val="0"/>
          <w:marRight w:val="0"/>
          <w:marTop w:val="0"/>
          <w:marBottom w:val="0"/>
          <w:divBdr>
            <w:top w:val="none" w:sz="0" w:space="0" w:color="auto"/>
            <w:left w:val="none" w:sz="0" w:space="0" w:color="auto"/>
            <w:bottom w:val="none" w:sz="0" w:space="0" w:color="auto"/>
            <w:right w:val="none" w:sz="0" w:space="0" w:color="auto"/>
          </w:divBdr>
        </w:div>
        <w:div w:id="1332872405">
          <w:marLeft w:val="0"/>
          <w:marRight w:val="0"/>
          <w:marTop w:val="0"/>
          <w:marBottom w:val="0"/>
          <w:divBdr>
            <w:top w:val="none" w:sz="0" w:space="0" w:color="auto"/>
            <w:left w:val="none" w:sz="0" w:space="0" w:color="auto"/>
            <w:bottom w:val="none" w:sz="0" w:space="0" w:color="auto"/>
            <w:right w:val="none" w:sz="0" w:space="0" w:color="auto"/>
          </w:divBdr>
        </w:div>
        <w:div w:id="1385761728">
          <w:marLeft w:val="0"/>
          <w:marRight w:val="0"/>
          <w:marTop w:val="0"/>
          <w:marBottom w:val="0"/>
          <w:divBdr>
            <w:top w:val="none" w:sz="0" w:space="0" w:color="auto"/>
            <w:left w:val="none" w:sz="0" w:space="0" w:color="auto"/>
            <w:bottom w:val="none" w:sz="0" w:space="0" w:color="auto"/>
            <w:right w:val="none" w:sz="0" w:space="0" w:color="auto"/>
          </w:divBdr>
        </w:div>
        <w:div w:id="1440830347">
          <w:marLeft w:val="0"/>
          <w:marRight w:val="0"/>
          <w:marTop w:val="0"/>
          <w:marBottom w:val="0"/>
          <w:divBdr>
            <w:top w:val="none" w:sz="0" w:space="0" w:color="auto"/>
            <w:left w:val="none" w:sz="0" w:space="0" w:color="auto"/>
            <w:bottom w:val="none" w:sz="0" w:space="0" w:color="auto"/>
            <w:right w:val="none" w:sz="0" w:space="0" w:color="auto"/>
          </w:divBdr>
        </w:div>
        <w:div w:id="2023974798">
          <w:marLeft w:val="0"/>
          <w:marRight w:val="0"/>
          <w:marTop w:val="0"/>
          <w:marBottom w:val="0"/>
          <w:divBdr>
            <w:top w:val="none" w:sz="0" w:space="0" w:color="auto"/>
            <w:left w:val="none" w:sz="0" w:space="0" w:color="auto"/>
            <w:bottom w:val="none" w:sz="0" w:space="0" w:color="auto"/>
            <w:right w:val="none" w:sz="0" w:space="0" w:color="auto"/>
          </w:divBdr>
        </w:div>
      </w:divsChild>
    </w:div>
    <w:div w:id="2023126379">
      <w:bodyDiv w:val="1"/>
      <w:marLeft w:val="0"/>
      <w:marRight w:val="0"/>
      <w:marTop w:val="0"/>
      <w:marBottom w:val="0"/>
      <w:divBdr>
        <w:top w:val="none" w:sz="0" w:space="0" w:color="auto"/>
        <w:left w:val="none" w:sz="0" w:space="0" w:color="auto"/>
        <w:bottom w:val="none" w:sz="0" w:space="0" w:color="auto"/>
        <w:right w:val="none" w:sz="0" w:space="0" w:color="auto"/>
      </w:divBdr>
    </w:div>
    <w:div w:id="2044548227">
      <w:bodyDiv w:val="1"/>
      <w:marLeft w:val="0"/>
      <w:marRight w:val="0"/>
      <w:marTop w:val="0"/>
      <w:marBottom w:val="0"/>
      <w:divBdr>
        <w:top w:val="none" w:sz="0" w:space="0" w:color="auto"/>
        <w:left w:val="none" w:sz="0" w:space="0" w:color="auto"/>
        <w:bottom w:val="none" w:sz="0" w:space="0" w:color="auto"/>
        <w:right w:val="none" w:sz="0" w:space="0" w:color="auto"/>
      </w:divBdr>
      <w:divsChild>
        <w:div w:id="36394489">
          <w:marLeft w:val="0"/>
          <w:marRight w:val="0"/>
          <w:marTop w:val="0"/>
          <w:marBottom w:val="0"/>
          <w:divBdr>
            <w:top w:val="none" w:sz="0" w:space="0" w:color="auto"/>
            <w:left w:val="none" w:sz="0" w:space="0" w:color="auto"/>
            <w:bottom w:val="none" w:sz="0" w:space="0" w:color="auto"/>
            <w:right w:val="none" w:sz="0" w:space="0" w:color="auto"/>
          </w:divBdr>
        </w:div>
        <w:div w:id="80225940">
          <w:marLeft w:val="0"/>
          <w:marRight w:val="0"/>
          <w:marTop w:val="0"/>
          <w:marBottom w:val="0"/>
          <w:divBdr>
            <w:top w:val="none" w:sz="0" w:space="0" w:color="auto"/>
            <w:left w:val="none" w:sz="0" w:space="0" w:color="auto"/>
            <w:bottom w:val="none" w:sz="0" w:space="0" w:color="auto"/>
            <w:right w:val="none" w:sz="0" w:space="0" w:color="auto"/>
          </w:divBdr>
        </w:div>
        <w:div w:id="424421917">
          <w:marLeft w:val="0"/>
          <w:marRight w:val="0"/>
          <w:marTop w:val="0"/>
          <w:marBottom w:val="0"/>
          <w:divBdr>
            <w:top w:val="none" w:sz="0" w:space="0" w:color="auto"/>
            <w:left w:val="none" w:sz="0" w:space="0" w:color="auto"/>
            <w:bottom w:val="none" w:sz="0" w:space="0" w:color="auto"/>
            <w:right w:val="none" w:sz="0" w:space="0" w:color="auto"/>
          </w:divBdr>
        </w:div>
        <w:div w:id="477890085">
          <w:marLeft w:val="0"/>
          <w:marRight w:val="0"/>
          <w:marTop w:val="0"/>
          <w:marBottom w:val="0"/>
          <w:divBdr>
            <w:top w:val="none" w:sz="0" w:space="0" w:color="auto"/>
            <w:left w:val="none" w:sz="0" w:space="0" w:color="auto"/>
            <w:bottom w:val="none" w:sz="0" w:space="0" w:color="auto"/>
            <w:right w:val="none" w:sz="0" w:space="0" w:color="auto"/>
          </w:divBdr>
        </w:div>
        <w:div w:id="504900952">
          <w:marLeft w:val="0"/>
          <w:marRight w:val="0"/>
          <w:marTop w:val="0"/>
          <w:marBottom w:val="0"/>
          <w:divBdr>
            <w:top w:val="none" w:sz="0" w:space="0" w:color="auto"/>
            <w:left w:val="none" w:sz="0" w:space="0" w:color="auto"/>
            <w:bottom w:val="none" w:sz="0" w:space="0" w:color="auto"/>
            <w:right w:val="none" w:sz="0" w:space="0" w:color="auto"/>
          </w:divBdr>
        </w:div>
        <w:div w:id="541669635">
          <w:marLeft w:val="0"/>
          <w:marRight w:val="0"/>
          <w:marTop w:val="0"/>
          <w:marBottom w:val="0"/>
          <w:divBdr>
            <w:top w:val="none" w:sz="0" w:space="0" w:color="auto"/>
            <w:left w:val="none" w:sz="0" w:space="0" w:color="auto"/>
            <w:bottom w:val="none" w:sz="0" w:space="0" w:color="auto"/>
            <w:right w:val="none" w:sz="0" w:space="0" w:color="auto"/>
          </w:divBdr>
        </w:div>
        <w:div w:id="740299774">
          <w:marLeft w:val="0"/>
          <w:marRight w:val="0"/>
          <w:marTop w:val="0"/>
          <w:marBottom w:val="0"/>
          <w:divBdr>
            <w:top w:val="none" w:sz="0" w:space="0" w:color="auto"/>
            <w:left w:val="none" w:sz="0" w:space="0" w:color="auto"/>
            <w:bottom w:val="none" w:sz="0" w:space="0" w:color="auto"/>
            <w:right w:val="none" w:sz="0" w:space="0" w:color="auto"/>
          </w:divBdr>
        </w:div>
        <w:div w:id="765810862">
          <w:marLeft w:val="0"/>
          <w:marRight w:val="0"/>
          <w:marTop w:val="0"/>
          <w:marBottom w:val="0"/>
          <w:divBdr>
            <w:top w:val="none" w:sz="0" w:space="0" w:color="auto"/>
            <w:left w:val="none" w:sz="0" w:space="0" w:color="auto"/>
            <w:bottom w:val="none" w:sz="0" w:space="0" w:color="auto"/>
            <w:right w:val="none" w:sz="0" w:space="0" w:color="auto"/>
          </w:divBdr>
        </w:div>
        <w:div w:id="860432791">
          <w:marLeft w:val="0"/>
          <w:marRight w:val="0"/>
          <w:marTop w:val="0"/>
          <w:marBottom w:val="0"/>
          <w:divBdr>
            <w:top w:val="none" w:sz="0" w:space="0" w:color="auto"/>
            <w:left w:val="none" w:sz="0" w:space="0" w:color="auto"/>
            <w:bottom w:val="none" w:sz="0" w:space="0" w:color="auto"/>
            <w:right w:val="none" w:sz="0" w:space="0" w:color="auto"/>
          </w:divBdr>
        </w:div>
        <w:div w:id="889150296">
          <w:marLeft w:val="0"/>
          <w:marRight w:val="0"/>
          <w:marTop w:val="0"/>
          <w:marBottom w:val="0"/>
          <w:divBdr>
            <w:top w:val="none" w:sz="0" w:space="0" w:color="auto"/>
            <w:left w:val="none" w:sz="0" w:space="0" w:color="auto"/>
            <w:bottom w:val="none" w:sz="0" w:space="0" w:color="auto"/>
            <w:right w:val="none" w:sz="0" w:space="0" w:color="auto"/>
          </w:divBdr>
        </w:div>
        <w:div w:id="1169100740">
          <w:marLeft w:val="0"/>
          <w:marRight w:val="0"/>
          <w:marTop w:val="0"/>
          <w:marBottom w:val="0"/>
          <w:divBdr>
            <w:top w:val="none" w:sz="0" w:space="0" w:color="auto"/>
            <w:left w:val="none" w:sz="0" w:space="0" w:color="auto"/>
            <w:bottom w:val="none" w:sz="0" w:space="0" w:color="auto"/>
            <w:right w:val="none" w:sz="0" w:space="0" w:color="auto"/>
          </w:divBdr>
        </w:div>
        <w:div w:id="1202744985">
          <w:marLeft w:val="0"/>
          <w:marRight w:val="0"/>
          <w:marTop w:val="0"/>
          <w:marBottom w:val="0"/>
          <w:divBdr>
            <w:top w:val="none" w:sz="0" w:space="0" w:color="auto"/>
            <w:left w:val="none" w:sz="0" w:space="0" w:color="auto"/>
            <w:bottom w:val="none" w:sz="0" w:space="0" w:color="auto"/>
            <w:right w:val="none" w:sz="0" w:space="0" w:color="auto"/>
          </w:divBdr>
        </w:div>
        <w:div w:id="1217813970">
          <w:marLeft w:val="0"/>
          <w:marRight w:val="0"/>
          <w:marTop w:val="0"/>
          <w:marBottom w:val="0"/>
          <w:divBdr>
            <w:top w:val="none" w:sz="0" w:space="0" w:color="auto"/>
            <w:left w:val="none" w:sz="0" w:space="0" w:color="auto"/>
            <w:bottom w:val="none" w:sz="0" w:space="0" w:color="auto"/>
            <w:right w:val="none" w:sz="0" w:space="0" w:color="auto"/>
          </w:divBdr>
        </w:div>
        <w:div w:id="1293905290">
          <w:marLeft w:val="0"/>
          <w:marRight w:val="0"/>
          <w:marTop w:val="0"/>
          <w:marBottom w:val="0"/>
          <w:divBdr>
            <w:top w:val="none" w:sz="0" w:space="0" w:color="auto"/>
            <w:left w:val="none" w:sz="0" w:space="0" w:color="auto"/>
            <w:bottom w:val="none" w:sz="0" w:space="0" w:color="auto"/>
            <w:right w:val="none" w:sz="0" w:space="0" w:color="auto"/>
          </w:divBdr>
        </w:div>
        <w:div w:id="1491212083">
          <w:marLeft w:val="0"/>
          <w:marRight w:val="0"/>
          <w:marTop w:val="0"/>
          <w:marBottom w:val="0"/>
          <w:divBdr>
            <w:top w:val="none" w:sz="0" w:space="0" w:color="auto"/>
            <w:left w:val="none" w:sz="0" w:space="0" w:color="auto"/>
            <w:bottom w:val="none" w:sz="0" w:space="0" w:color="auto"/>
            <w:right w:val="none" w:sz="0" w:space="0" w:color="auto"/>
          </w:divBdr>
        </w:div>
        <w:div w:id="1500123071">
          <w:marLeft w:val="0"/>
          <w:marRight w:val="0"/>
          <w:marTop w:val="0"/>
          <w:marBottom w:val="0"/>
          <w:divBdr>
            <w:top w:val="none" w:sz="0" w:space="0" w:color="auto"/>
            <w:left w:val="none" w:sz="0" w:space="0" w:color="auto"/>
            <w:bottom w:val="none" w:sz="0" w:space="0" w:color="auto"/>
            <w:right w:val="none" w:sz="0" w:space="0" w:color="auto"/>
          </w:divBdr>
        </w:div>
        <w:div w:id="1679309203">
          <w:marLeft w:val="0"/>
          <w:marRight w:val="0"/>
          <w:marTop w:val="0"/>
          <w:marBottom w:val="0"/>
          <w:divBdr>
            <w:top w:val="none" w:sz="0" w:space="0" w:color="auto"/>
            <w:left w:val="none" w:sz="0" w:space="0" w:color="auto"/>
            <w:bottom w:val="none" w:sz="0" w:space="0" w:color="auto"/>
            <w:right w:val="none" w:sz="0" w:space="0" w:color="auto"/>
          </w:divBdr>
        </w:div>
        <w:div w:id="1765371787">
          <w:marLeft w:val="0"/>
          <w:marRight w:val="0"/>
          <w:marTop w:val="0"/>
          <w:marBottom w:val="0"/>
          <w:divBdr>
            <w:top w:val="none" w:sz="0" w:space="0" w:color="auto"/>
            <w:left w:val="none" w:sz="0" w:space="0" w:color="auto"/>
            <w:bottom w:val="none" w:sz="0" w:space="0" w:color="auto"/>
            <w:right w:val="none" w:sz="0" w:space="0" w:color="auto"/>
          </w:divBdr>
        </w:div>
        <w:div w:id="1933539372">
          <w:marLeft w:val="0"/>
          <w:marRight w:val="0"/>
          <w:marTop w:val="0"/>
          <w:marBottom w:val="0"/>
          <w:divBdr>
            <w:top w:val="none" w:sz="0" w:space="0" w:color="auto"/>
            <w:left w:val="none" w:sz="0" w:space="0" w:color="auto"/>
            <w:bottom w:val="none" w:sz="0" w:space="0" w:color="auto"/>
            <w:right w:val="none" w:sz="0" w:space="0" w:color="auto"/>
          </w:divBdr>
        </w:div>
        <w:div w:id="1966883589">
          <w:marLeft w:val="0"/>
          <w:marRight w:val="0"/>
          <w:marTop w:val="0"/>
          <w:marBottom w:val="0"/>
          <w:divBdr>
            <w:top w:val="none" w:sz="0" w:space="0" w:color="auto"/>
            <w:left w:val="none" w:sz="0" w:space="0" w:color="auto"/>
            <w:bottom w:val="none" w:sz="0" w:space="0" w:color="auto"/>
            <w:right w:val="none" w:sz="0" w:space="0" w:color="auto"/>
          </w:divBdr>
        </w:div>
        <w:div w:id="2044863247">
          <w:marLeft w:val="0"/>
          <w:marRight w:val="0"/>
          <w:marTop w:val="0"/>
          <w:marBottom w:val="0"/>
          <w:divBdr>
            <w:top w:val="none" w:sz="0" w:space="0" w:color="auto"/>
            <w:left w:val="none" w:sz="0" w:space="0" w:color="auto"/>
            <w:bottom w:val="none" w:sz="0" w:space="0" w:color="auto"/>
            <w:right w:val="none" w:sz="0" w:space="0" w:color="auto"/>
          </w:divBdr>
        </w:div>
      </w:divsChild>
    </w:div>
    <w:div w:id="2091343903">
      <w:bodyDiv w:val="1"/>
      <w:marLeft w:val="0"/>
      <w:marRight w:val="0"/>
      <w:marTop w:val="0"/>
      <w:marBottom w:val="0"/>
      <w:divBdr>
        <w:top w:val="none" w:sz="0" w:space="0" w:color="auto"/>
        <w:left w:val="none" w:sz="0" w:space="0" w:color="auto"/>
        <w:bottom w:val="none" w:sz="0" w:space="0" w:color="auto"/>
        <w:right w:val="none" w:sz="0" w:space="0" w:color="auto"/>
      </w:divBdr>
      <w:divsChild>
        <w:div w:id="1488933320">
          <w:marLeft w:val="0"/>
          <w:marRight w:val="0"/>
          <w:marTop w:val="0"/>
          <w:marBottom w:val="0"/>
          <w:divBdr>
            <w:top w:val="none" w:sz="0" w:space="0" w:color="auto"/>
            <w:left w:val="none" w:sz="0" w:space="0" w:color="auto"/>
            <w:bottom w:val="none" w:sz="0" w:space="0" w:color="auto"/>
            <w:right w:val="none" w:sz="0" w:space="0" w:color="auto"/>
          </w:divBdr>
        </w:div>
      </w:divsChild>
    </w:div>
  </w:divs>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3.png"/><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image" Target="media/image2.png"/><Relationship Id="rId17" Type="http://schemas.openxmlformats.org/officeDocument/2006/relationships/image" Target="media/image7.png"/><Relationship Id="rId2" Type="http://schemas.openxmlformats.org/officeDocument/2006/relationships/customXml" Target="../customXml/item2.xml"/><Relationship Id="rId16" Type="http://schemas.openxmlformats.org/officeDocument/2006/relationships/image" Target="media/image6.png"/><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image" Target="media/image5.png"/><Relationship Id="rId10" Type="http://schemas.openxmlformats.org/officeDocument/2006/relationships/endnotes" Target="end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4.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mcd:customData xmlns="http://www.wps.cn/android/officeDocument/2013/mofficeCustomData" xmlns:mcd="http://www.wps.cn/android/officeDocument/2013/mofficeCustomData" version="2">
  <mcd:comments/>
</mcd:customData>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28790AB3-C36F-46E8-8D4E-693A14F2292F}">
  <ds:schemaRefs>
    <ds:schemaRef ds:uri="http://www.wps.cn/android/officeDocument/2013/mofficeCustomData"/>
  </ds:schemaRefs>
</ds:datastoreItem>
</file>

<file path=customXml/itemProps3.xml><?xml version="1.0" encoding="utf-8"?>
<ds:datastoreItem xmlns:ds="http://schemas.openxmlformats.org/officeDocument/2006/customXml" ds:itemID="{68DF9C80-7A1D-48A8-8279-4E43711DD4D3}">
  <ds:schemaRefs>
    <ds:schemaRef ds:uri="http://schemas.openxmlformats.org/officeDocument/2006/bibliography"/>
  </ds:schemaRefs>
</ds:datastoreItem>
</file>

<file path=customXml/itemProps4.xml><?xml version="1.0" encoding="utf-8"?>
<ds:datastoreItem xmlns:ds="http://schemas.openxmlformats.org/officeDocument/2006/customXml" ds:itemID="{62082C88-6A7D-4626-A64D-70FCBF909C6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35</TotalTime>
  <Pages>13</Pages>
  <Words>2007</Words>
  <Characters>11444</Characters>
  <Application>Microsoft Office Word</Application>
  <DocSecurity>0</DocSecurity>
  <Lines>95</Lines>
  <Paragraphs>26</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13425</CharactersWithSpaces>
  <SharedDoc>false</SharedDoc>
  <HLinks>
    <vt:vector size="12" baseType="variant">
      <vt:variant>
        <vt:i4>6291564</vt:i4>
      </vt:variant>
      <vt:variant>
        <vt:i4>138</vt:i4>
      </vt:variant>
      <vt:variant>
        <vt:i4>0</vt:i4>
      </vt:variant>
      <vt:variant>
        <vt:i4>5</vt:i4>
      </vt:variant>
      <vt:variant>
        <vt:lpwstr>javascript:void(0);</vt:lpwstr>
      </vt:variant>
      <vt:variant>
        <vt:lpwstr/>
      </vt:variant>
      <vt:variant>
        <vt:i4>6291564</vt:i4>
      </vt:variant>
      <vt:variant>
        <vt:i4>135</vt:i4>
      </vt:variant>
      <vt:variant>
        <vt:i4>0</vt:i4>
      </vt:variant>
      <vt:variant>
        <vt:i4>5</vt:i4>
      </vt:variant>
      <vt:variant>
        <vt:lpwstr>javascript:void(0);</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LQ</dc:creator>
  <cp:keywords/>
  <dc:description>NE.Ref</dc:description>
  <cp:lastModifiedBy>pc</cp:lastModifiedBy>
  <cp:revision>4</cp:revision>
  <dcterms:created xsi:type="dcterms:W3CDTF">2021-07-12T07:37:00Z</dcterms:created>
  <dcterms:modified xsi:type="dcterms:W3CDTF">2021-07-12T08:54:00Z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2052-11.1.0.9192</vt:lpwstr>
  </property>
</Properties>
</file>