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C40AF1">
      <w:pPr>
        <w:snapToGrid w:val="0"/>
        <w:spacing w:after="160" w:line="480" w:lineRule="auto"/>
        <w:jc w:val="center"/>
        <w:rPr>
          <w:rFonts w:ascii="Times New Roman" w:hAnsi="Times New Roman"/>
          <w:b/>
          <w:sz w:val="32"/>
          <w:szCs w:val="32"/>
        </w:rPr>
      </w:pPr>
      <w:bookmarkStart w:id="0" w:name="_Hlk203399058"/>
      <w:bookmarkEnd w:id="0"/>
      <w:r>
        <w:rPr>
          <w:rFonts w:hint="eastAsia" w:ascii="Times New Roman" w:hAnsi="Times New Roman"/>
          <w:b/>
          <w:sz w:val="32"/>
          <w:szCs w:val="32"/>
        </w:rPr>
        <w:t xml:space="preserve">Molecular characterization of </w:t>
      </w:r>
      <w:r>
        <w:rPr>
          <w:rFonts w:hint="eastAsia" w:ascii="Times New Roman" w:hAnsi="Times New Roman"/>
          <w:b/>
          <w:i/>
          <w:iCs/>
          <w:sz w:val="32"/>
          <w:szCs w:val="32"/>
        </w:rPr>
        <w:t>Tetragonia tetragonoides</w:t>
      </w:r>
      <w:r>
        <w:rPr>
          <w:rFonts w:hint="eastAsia" w:ascii="Times New Roman" w:hAnsi="Times New Roman"/>
          <w:b/>
          <w:sz w:val="32"/>
          <w:szCs w:val="32"/>
        </w:rPr>
        <w:t xml:space="preserve"> (Pall.) </w:t>
      </w:r>
      <w:r>
        <w:rPr>
          <w:rFonts w:hint="eastAsia" w:ascii="Times New Roman" w:hAnsi="Times New Roman" w:eastAsia="Times New Roman" w:cs="Times New Roman"/>
          <w:b/>
          <w:snapToGrid w:val="0"/>
          <w:color w:val="000000"/>
          <w:sz w:val="32"/>
          <w:szCs w:val="32"/>
          <w:lang w:bidi="en-US"/>
        </w:rPr>
        <w:t>aquaporin</w:t>
      </w:r>
      <w:r>
        <w:rPr>
          <w:rFonts w:hint="eastAsia" w:ascii="Times New Roman" w:hAnsi="Times New Roman" w:cs="Times New Roman"/>
          <w:b/>
          <w:snapToGrid w:val="0"/>
          <w:color w:val="000000"/>
          <w:sz w:val="32"/>
          <w:szCs w:val="32"/>
          <w:lang w:bidi="en-US"/>
        </w:rPr>
        <w:t xml:space="preserve"> (AQP)</w:t>
      </w:r>
      <w:r>
        <w:rPr>
          <w:rFonts w:hint="eastAsia" w:ascii="Times New Roman" w:hAnsi="Times New Roman" w:eastAsia="Times New Roman" w:cs="Times New Roman"/>
          <w:b/>
          <w:snapToGrid w:val="0"/>
          <w:color w:val="000000"/>
          <w:sz w:val="32"/>
          <w:szCs w:val="32"/>
          <w:lang w:bidi="en-US"/>
        </w:rPr>
        <w:t xml:space="preserve"> members</w:t>
      </w:r>
      <w:r>
        <w:rPr>
          <w:rFonts w:hint="eastAsia" w:ascii="Times New Roman" w:hAnsi="Times New Roman"/>
          <w:b/>
          <w:sz w:val="32"/>
          <w:szCs w:val="32"/>
        </w:rPr>
        <w:t xml:space="preserve"> and </w:t>
      </w:r>
      <w:r>
        <w:rPr>
          <w:rFonts w:hint="eastAsia" w:ascii="Times New Roman" w:hAnsi="Times New Roman" w:eastAsia="Times New Roman" w:cs="Times New Roman"/>
          <w:b/>
          <w:snapToGrid w:val="0"/>
          <w:color w:val="000000"/>
          <w:sz w:val="32"/>
          <w:szCs w:val="32"/>
          <w:lang w:bidi="en-US"/>
        </w:rPr>
        <w:t xml:space="preserve">their roles </w:t>
      </w:r>
      <w:r>
        <w:rPr>
          <w:rFonts w:ascii="Times New Roman" w:hAnsi="Times New Roman" w:eastAsia="Times New Roman" w:cs="Times New Roman"/>
          <w:b/>
          <w:snapToGrid w:val="0"/>
          <w:color w:val="000000"/>
          <w:sz w:val="32"/>
          <w:szCs w:val="32"/>
          <w:lang w:bidi="en-US"/>
        </w:rPr>
        <w:t xml:space="preserve">in the </w:t>
      </w:r>
      <w:r>
        <w:rPr>
          <w:rFonts w:hint="eastAsia" w:ascii="Times New Roman" w:hAnsi="Times New Roman" w:eastAsia="Times New Roman" w:cs="Times New Roman"/>
          <w:b/>
          <w:snapToGrid w:val="0"/>
          <w:color w:val="000000"/>
          <w:sz w:val="32"/>
          <w:szCs w:val="32"/>
          <w:lang w:bidi="en-US"/>
        </w:rPr>
        <w:t>respon</w:t>
      </w:r>
      <w:r>
        <w:rPr>
          <w:rFonts w:ascii="Times New Roman" w:hAnsi="Times New Roman" w:eastAsia="Times New Roman" w:cs="Times New Roman"/>
          <w:b/>
          <w:snapToGrid w:val="0"/>
          <w:color w:val="000000"/>
          <w:sz w:val="32"/>
          <w:szCs w:val="32"/>
          <w:lang w:bidi="en-US"/>
        </w:rPr>
        <w:t>se</w:t>
      </w:r>
      <w:r>
        <w:rPr>
          <w:rFonts w:hint="eastAsia" w:ascii="Times New Roman" w:hAnsi="Times New Roman" w:eastAsia="Times New Roman" w:cs="Times New Roman"/>
          <w:b/>
          <w:snapToGrid w:val="0"/>
          <w:color w:val="000000"/>
          <w:sz w:val="32"/>
          <w:szCs w:val="32"/>
          <w:lang w:bidi="en-US"/>
        </w:rPr>
        <w:t xml:space="preserve"> to</w:t>
      </w:r>
      <w:r>
        <w:rPr>
          <w:rFonts w:hint="eastAsia" w:ascii="Times New Roman" w:hAnsi="Times New Roman" w:cs="Times New Roman"/>
          <w:b/>
          <w:snapToGrid w:val="0"/>
          <w:color w:val="000000"/>
          <w:sz w:val="32"/>
          <w:szCs w:val="32"/>
          <w:lang w:bidi="en-US"/>
        </w:rPr>
        <w:t xml:space="preserve"> combined high </w:t>
      </w:r>
      <w:r>
        <w:rPr>
          <w:rFonts w:ascii="Times New Roman" w:hAnsi="Times New Roman" w:eastAsia="Times New Roman" w:cs="Times New Roman"/>
          <w:b/>
          <w:snapToGrid w:val="0"/>
          <w:color w:val="000000"/>
          <w:sz w:val="32"/>
          <w:szCs w:val="32"/>
          <w:lang w:bidi="en-US"/>
        </w:rPr>
        <w:t>salin</w:t>
      </w:r>
      <w:r>
        <w:rPr>
          <w:rFonts w:ascii="Times New Roman" w:hAnsi="Times New Roman" w:cs="Times New Roman"/>
          <w:b/>
          <w:snapToGrid w:val="0"/>
          <w:color w:val="000000"/>
          <w:sz w:val="32"/>
          <w:szCs w:val="32"/>
          <w:lang w:bidi="en-US"/>
        </w:rPr>
        <w:t>ity–</w:t>
      </w:r>
      <w:r>
        <w:rPr>
          <w:rFonts w:ascii="Times New Roman" w:hAnsi="Times New Roman" w:eastAsia="Times New Roman" w:cs="Times New Roman"/>
          <w:b/>
          <w:snapToGrid w:val="0"/>
          <w:color w:val="000000"/>
          <w:sz w:val="32"/>
          <w:szCs w:val="32"/>
          <w:lang w:bidi="en-US"/>
        </w:rPr>
        <w:t>alkalinity–drought</w:t>
      </w:r>
      <w:r>
        <w:rPr>
          <w:rFonts w:hint="eastAsia" w:ascii="Times New Roman" w:hAnsi="Times New Roman" w:eastAsia="Times New Roman" w:cs="Times New Roman"/>
          <w:b/>
          <w:snapToGrid w:val="0"/>
          <w:color w:val="000000"/>
          <w:sz w:val="32"/>
          <w:szCs w:val="32"/>
          <w:lang w:bidi="en-US"/>
        </w:rPr>
        <w:t xml:space="preserve"> </w:t>
      </w:r>
      <w:r>
        <w:rPr>
          <w:rFonts w:ascii="Times New Roman" w:hAnsi="Times New Roman" w:eastAsia="Times New Roman" w:cs="Times New Roman"/>
          <w:b/>
          <w:snapToGrid w:val="0"/>
          <w:color w:val="000000"/>
          <w:sz w:val="32"/>
          <w:szCs w:val="32"/>
          <w:lang w:bidi="en-US"/>
        </w:rPr>
        <w:t xml:space="preserve">and heat </w:t>
      </w:r>
      <w:r>
        <w:rPr>
          <w:rFonts w:hint="eastAsia" w:ascii="Times New Roman" w:hAnsi="Times New Roman" w:eastAsia="Times New Roman" w:cs="Times New Roman"/>
          <w:b/>
          <w:snapToGrid w:val="0"/>
          <w:color w:val="000000"/>
          <w:sz w:val="32"/>
          <w:szCs w:val="32"/>
          <w:lang w:bidi="en-US"/>
        </w:rPr>
        <w:t>stress</w:t>
      </w:r>
    </w:p>
    <w:p w14:paraId="1CEDB1FD">
      <w:pPr>
        <w:widowControl/>
        <w:adjustRightInd w:val="0"/>
        <w:snapToGrid w:val="0"/>
        <w:spacing w:after="120" w:line="480" w:lineRule="auto"/>
        <w:jc w:val="center"/>
        <w:rPr>
          <w:rFonts w:ascii="Calibri" w:hAnsi="Calibri" w:cs="Calibri"/>
          <w:b/>
          <w:color w:val="000000"/>
          <w:kern w:val="0"/>
          <w:sz w:val="20"/>
          <w:szCs w:val="20"/>
          <w:lang w:bidi="en-US"/>
        </w:rPr>
      </w:pPr>
      <w:r>
        <w:rPr>
          <w:rFonts w:ascii="Calibri" w:hAnsi="Calibri" w:cs="Calibri"/>
          <w:b/>
          <w:color w:val="000000"/>
          <w:kern w:val="0"/>
          <w:sz w:val="20"/>
          <w:szCs w:val="20"/>
          <w:highlight w:val="none"/>
          <w:lang w:bidi="en-US"/>
        </w:rPr>
        <w:t>Lisha</w:t>
      </w:r>
      <w:r>
        <w:rPr>
          <w:rFonts w:hint="eastAsia" w:ascii="Calibri" w:hAnsi="Calibri" w:cs="Calibri"/>
          <w:b/>
          <w:color w:val="000000"/>
          <w:kern w:val="0"/>
          <w:sz w:val="20"/>
          <w:szCs w:val="20"/>
          <w:highlight w:val="none"/>
          <w:lang w:val="en-US" w:eastAsia="zh-CN" w:bidi="en-US"/>
        </w:rPr>
        <w:t xml:space="preserve"> Cao</w:t>
      </w:r>
      <w:r>
        <w:rPr>
          <w:rFonts w:ascii="Calibri" w:hAnsi="Calibri" w:eastAsia="Times New Roman" w:cs="Calibri"/>
          <w:b/>
          <w:color w:val="000000"/>
          <w:kern w:val="0"/>
          <w:sz w:val="20"/>
          <w:szCs w:val="20"/>
          <w:vertAlign w:val="superscript"/>
          <w:lang w:eastAsia="de-DE" w:bidi="en-US"/>
        </w:rPr>
        <w:t xml:space="preserve">1, </w:t>
      </w:r>
      <w:r>
        <w:rPr>
          <w:rFonts w:ascii="Calibri" w:hAnsi="Calibri" w:eastAsia="宋体" w:cs="Calibri"/>
          <w:b/>
          <w:color w:val="000000"/>
          <w:kern w:val="0"/>
          <w:sz w:val="20"/>
          <w:szCs w:val="20"/>
          <w:vertAlign w:val="superscript"/>
          <w:lang w:bidi="en-US"/>
        </w:rPr>
        <w:t>2, 3</w:t>
      </w:r>
      <w:r>
        <w:rPr>
          <w:rFonts w:ascii="Calibri" w:hAnsi="Calibri" w:cs="Calibri"/>
          <w:b/>
          <w:color w:val="000000"/>
          <w:kern w:val="0"/>
          <w:sz w:val="20"/>
          <w:szCs w:val="20"/>
          <w:lang w:bidi="en-US"/>
        </w:rPr>
        <w:t>, Fuying</w:t>
      </w:r>
      <w:r>
        <w:rPr>
          <w:rFonts w:hint="eastAsia" w:ascii="Calibri" w:hAnsi="Calibri" w:cs="Calibri"/>
          <w:b/>
          <w:color w:val="000000"/>
          <w:kern w:val="0"/>
          <w:sz w:val="20"/>
          <w:szCs w:val="20"/>
          <w:lang w:val="en-US" w:eastAsia="zh-CN" w:bidi="en-US"/>
        </w:rPr>
        <w:t xml:space="preserve"> Xie</w:t>
      </w:r>
      <w:r>
        <w:rPr>
          <w:rFonts w:ascii="Calibri" w:hAnsi="Calibri" w:eastAsia="Times New Roman" w:cs="Calibri"/>
          <w:b/>
          <w:color w:val="000000"/>
          <w:kern w:val="0"/>
          <w:sz w:val="20"/>
          <w:szCs w:val="20"/>
          <w:vertAlign w:val="superscript"/>
          <w:lang w:eastAsia="de-DE" w:bidi="en-US"/>
        </w:rPr>
        <w:t xml:space="preserve">1, </w:t>
      </w:r>
      <w:r>
        <w:rPr>
          <w:rFonts w:ascii="Calibri" w:hAnsi="Calibri" w:eastAsia="宋体" w:cs="Calibri"/>
          <w:b/>
          <w:color w:val="000000"/>
          <w:kern w:val="0"/>
          <w:sz w:val="20"/>
          <w:szCs w:val="20"/>
          <w:vertAlign w:val="superscript"/>
          <w:lang w:bidi="en-US"/>
        </w:rPr>
        <w:t>2, 3</w:t>
      </w:r>
      <w:r>
        <w:rPr>
          <w:rFonts w:ascii="Calibri" w:hAnsi="Calibri" w:cs="Calibri"/>
          <w:b/>
          <w:color w:val="000000"/>
          <w:kern w:val="0"/>
          <w:sz w:val="20"/>
          <w:szCs w:val="20"/>
          <w:lang w:bidi="en-US"/>
        </w:rPr>
        <w:t xml:space="preserve">, </w:t>
      </w:r>
      <w:r>
        <w:rPr>
          <w:rFonts w:hint="eastAsia" w:ascii="Calibri" w:hAnsi="Calibri" w:cs="Calibri"/>
          <w:b/>
          <w:color w:val="000000"/>
          <w:kern w:val="0"/>
          <w:sz w:val="20"/>
          <w:szCs w:val="20"/>
          <w:lang w:val="en-US" w:eastAsia="zh-CN" w:bidi="en-US"/>
        </w:rPr>
        <w:t>Lihua Chen</w:t>
      </w:r>
      <w:r>
        <w:rPr>
          <w:rFonts w:ascii="Calibri" w:hAnsi="Calibri" w:eastAsia="Times New Roman" w:cs="Calibri"/>
          <w:b/>
          <w:color w:val="000000"/>
          <w:kern w:val="0"/>
          <w:sz w:val="20"/>
          <w:szCs w:val="20"/>
          <w:vertAlign w:val="superscript"/>
          <w:lang w:eastAsia="de-DE" w:bidi="en-US"/>
        </w:rPr>
        <w:t xml:space="preserve">1, </w:t>
      </w:r>
      <w:r>
        <w:rPr>
          <w:rFonts w:ascii="Calibri" w:hAnsi="Calibri" w:eastAsia="宋体" w:cs="Calibri"/>
          <w:b/>
          <w:color w:val="000000"/>
          <w:kern w:val="0"/>
          <w:sz w:val="20"/>
          <w:szCs w:val="20"/>
          <w:vertAlign w:val="superscript"/>
          <w:lang w:bidi="en-US"/>
        </w:rPr>
        <w:t>2, 3</w:t>
      </w:r>
      <w:r>
        <w:rPr>
          <w:rFonts w:ascii="Calibri" w:hAnsi="Calibri" w:cs="Calibri"/>
          <w:b/>
          <w:color w:val="000000"/>
          <w:kern w:val="0"/>
          <w:sz w:val="20"/>
          <w:szCs w:val="20"/>
          <w:lang w:bidi="en-US"/>
        </w:rPr>
        <w:t>, Zhengfeng</w:t>
      </w:r>
      <w:r>
        <w:rPr>
          <w:rFonts w:hint="eastAsia" w:ascii="Calibri" w:hAnsi="Calibri" w:cs="Calibri"/>
          <w:b/>
          <w:color w:val="000000"/>
          <w:kern w:val="0"/>
          <w:sz w:val="20"/>
          <w:szCs w:val="20"/>
          <w:lang w:val="en-US" w:eastAsia="zh-CN" w:bidi="en-US"/>
        </w:rPr>
        <w:t xml:space="preserve"> Wang</w:t>
      </w:r>
      <w:r>
        <w:rPr>
          <w:rFonts w:ascii="Calibri" w:hAnsi="Calibri" w:eastAsia="Times New Roman" w:cs="Calibri"/>
          <w:b/>
          <w:color w:val="000000"/>
          <w:kern w:val="0"/>
          <w:sz w:val="20"/>
          <w:szCs w:val="20"/>
          <w:vertAlign w:val="superscript"/>
          <w:lang w:eastAsia="de-DE" w:bidi="en-US"/>
        </w:rPr>
        <w:t xml:space="preserve">1, </w:t>
      </w:r>
      <w:r>
        <w:rPr>
          <w:rFonts w:ascii="Calibri" w:hAnsi="Calibri" w:cs="Calibri"/>
          <w:b/>
          <w:color w:val="000000"/>
          <w:kern w:val="0"/>
          <w:sz w:val="20"/>
          <w:szCs w:val="20"/>
          <w:vertAlign w:val="superscript"/>
          <w:lang w:bidi="en-US"/>
        </w:rPr>
        <w:t>5</w:t>
      </w:r>
      <w:r>
        <w:rPr>
          <w:rFonts w:ascii="Calibri" w:hAnsi="Calibri" w:cs="Calibri"/>
          <w:b/>
          <w:color w:val="000000"/>
          <w:kern w:val="0"/>
          <w:sz w:val="20"/>
          <w:szCs w:val="20"/>
          <w:lang w:bidi="en-US"/>
        </w:rPr>
        <w:t>,</w:t>
      </w:r>
    </w:p>
    <w:p w14:paraId="65D1FEC4">
      <w:pPr>
        <w:widowControl/>
        <w:adjustRightInd w:val="0"/>
        <w:snapToGrid w:val="0"/>
        <w:spacing w:after="120" w:line="480" w:lineRule="auto"/>
        <w:jc w:val="center"/>
        <w:rPr>
          <w:rFonts w:ascii="Calibri" w:hAnsi="Calibri" w:cs="Calibri"/>
          <w:b/>
          <w:color w:val="000000"/>
          <w:kern w:val="0"/>
          <w:sz w:val="20"/>
          <w:szCs w:val="20"/>
          <w:lang w:bidi="en-US"/>
        </w:rPr>
      </w:pPr>
      <w:r>
        <w:rPr>
          <w:rFonts w:ascii="Calibri" w:hAnsi="Calibri" w:cs="Calibri"/>
          <w:b/>
          <w:color w:val="000000"/>
          <w:kern w:val="0"/>
          <w:sz w:val="20"/>
          <w:szCs w:val="20"/>
          <w:lang w:bidi="en-US"/>
        </w:rPr>
        <w:t xml:space="preserve"> Mei </w:t>
      </w:r>
      <w:r>
        <w:rPr>
          <w:rFonts w:hint="eastAsia" w:ascii="Calibri" w:hAnsi="Calibri" w:cs="Calibri"/>
          <w:b/>
          <w:color w:val="000000"/>
          <w:kern w:val="0"/>
          <w:sz w:val="20"/>
          <w:szCs w:val="20"/>
          <w:lang w:val="en-US" w:eastAsia="zh-CN" w:bidi="en-US"/>
        </w:rPr>
        <w:t>Zhang</w:t>
      </w:r>
      <w:r>
        <w:rPr>
          <w:rFonts w:ascii="Calibri" w:hAnsi="Calibri" w:eastAsia="Times New Roman" w:cs="Calibri"/>
          <w:b/>
          <w:color w:val="000000"/>
          <w:kern w:val="0"/>
          <w:sz w:val="20"/>
          <w:szCs w:val="20"/>
          <w:vertAlign w:val="superscript"/>
          <w:lang w:eastAsia="de-DE" w:bidi="en-US"/>
        </w:rPr>
        <w:t xml:space="preserve">1, </w:t>
      </w:r>
      <w:r>
        <w:rPr>
          <w:rFonts w:ascii="Calibri" w:hAnsi="Calibri" w:eastAsia="宋体" w:cs="Calibri"/>
          <w:b/>
          <w:color w:val="000000"/>
          <w:kern w:val="0"/>
          <w:sz w:val="20"/>
          <w:szCs w:val="20"/>
          <w:vertAlign w:val="superscript"/>
          <w:lang w:bidi="en-US"/>
        </w:rPr>
        <w:t>3</w:t>
      </w:r>
      <w:r>
        <w:rPr>
          <w:rFonts w:ascii="Calibri" w:hAnsi="Calibri" w:cs="Calibri"/>
          <w:b/>
          <w:color w:val="000000"/>
          <w:kern w:val="0"/>
          <w:sz w:val="20"/>
          <w:szCs w:val="20"/>
          <w:vertAlign w:val="superscript"/>
          <w:lang w:bidi="en-US"/>
        </w:rPr>
        <w:t>,</w:t>
      </w:r>
      <w:r>
        <w:rPr>
          <w:rFonts w:ascii="Calibri" w:hAnsi="Calibri" w:eastAsia="Times New Roman" w:cs="Calibri"/>
          <w:b/>
          <w:color w:val="000000"/>
          <w:kern w:val="0"/>
          <w:sz w:val="20"/>
          <w:szCs w:val="20"/>
          <w:vertAlign w:val="superscript"/>
          <w:lang w:eastAsia="de-DE" w:bidi="en-US"/>
        </w:rPr>
        <w:t xml:space="preserve"> *</w:t>
      </w:r>
      <w:r>
        <w:rPr>
          <w:rFonts w:ascii="Calibri" w:hAnsi="Calibri" w:cs="Calibri"/>
          <w:b/>
          <w:color w:val="000000"/>
          <w:kern w:val="0"/>
          <w:sz w:val="20"/>
          <w:szCs w:val="20"/>
          <w:lang w:bidi="en-US"/>
        </w:rPr>
        <w:t xml:space="preserve">, Shuguang </w:t>
      </w:r>
      <w:r>
        <w:rPr>
          <w:rFonts w:hint="eastAsia" w:ascii="Calibri" w:hAnsi="Calibri" w:cs="Calibri"/>
          <w:b/>
          <w:color w:val="000000"/>
          <w:kern w:val="0"/>
          <w:sz w:val="20"/>
          <w:szCs w:val="20"/>
          <w:lang w:val="en-US" w:eastAsia="zh-CN" w:bidi="en-US"/>
        </w:rPr>
        <w:t>Jian</w:t>
      </w:r>
      <w:r>
        <w:rPr>
          <w:rFonts w:ascii="Calibri" w:hAnsi="Calibri" w:eastAsia="Times New Roman" w:cs="Calibri"/>
          <w:b/>
          <w:color w:val="000000"/>
          <w:kern w:val="0"/>
          <w:sz w:val="20"/>
          <w:szCs w:val="20"/>
          <w:vertAlign w:val="superscript"/>
          <w:lang w:eastAsia="de-DE" w:bidi="en-US"/>
        </w:rPr>
        <w:t xml:space="preserve">1, </w:t>
      </w:r>
      <w:r>
        <w:rPr>
          <w:rFonts w:hint="eastAsia" w:ascii="Calibri" w:hAnsi="Calibri" w:eastAsia="宋体" w:cs="Calibri"/>
          <w:b/>
          <w:color w:val="000000"/>
          <w:kern w:val="0"/>
          <w:sz w:val="20"/>
          <w:szCs w:val="20"/>
          <w:vertAlign w:val="superscript"/>
          <w:lang w:bidi="en-US"/>
        </w:rPr>
        <w:t>2</w:t>
      </w:r>
      <w:r>
        <w:rPr>
          <w:rFonts w:ascii="Calibri" w:hAnsi="Calibri" w:cs="Calibri"/>
          <w:b/>
          <w:color w:val="000000"/>
          <w:kern w:val="0"/>
          <w:sz w:val="20"/>
          <w:szCs w:val="20"/>
          <w:vertAlign w:val="superscript"/>
          <w:lang w:bidi="en-US"/>
        </w:rPr>
        <w:t xml:space="preserve">, </w:t>
      </w:r>
      <w:r>
        <w:rPr>
          <w:rFonts w:ascii="Calibri" w:hAnsi="Calibri" w:eastAsia="Times New Roman" w:cs="Calibri"/>
          <w:b/>
          <w:color w:val="000000"/>
          <w:kern w:val="0"/>
          <w:sz w:val="20"/>
          <w:szCs w:val="20"/>
          <w:vertAlign w:val="superscript"/>
          <w:lang w:eastAsia="de-DE" w:bidi="en-US"/>
        </w:rPr>
        <w:t>*</w:t>
      </w:r>
    </w:p>
    <w:p w14:paraId="44278676">
      <w:pPr>
        <w:widowControl/>
        <w:adjustRightInd w:val="0"/>
        <w:snapToGrid w:val="0"/>
        <w:spacing w:after="160" w:line="480" w:lineRule="auto"/>
        <w:ind w:left="113"/>
        <w:rPr>
          <w:rFonts w:ascii="Calibri" w:hAnsi="Calibri" w:cs="Calibri"/>
          <w:color w:val="000000"/>
          <w:kern w:val="0"/>
          <w:sz w:val="16"/>
          <w:szCs w:val="16"/>
          <w:lang w:bidi="en-US"/>
        </w:rPr>
      </w:pPr>
      <w:r>
        <w:rPr>
          <w:rFonts w:ascii="Calibri" w:hAnsi="Calibri" w:eastAsia="Times New Roman" w:cs="Calibri"/>
          <w:b/>
          <w:color w:val="000000"/>
          <w:kern w:val="0"/>
          <w:sz w:val="16"/>
          <w:szCs w:val="16"/>
          <w:lang w:eastAsia="de-DE" w:bidi="en-US"/>
        </w:rPr>
        <w:t>1</w:t>
      </w:r>
      <w:r>
        <w:rPr>
          <w:rFonts w:ascii="Calibri" w:hAnsi="Calibri" w:eastAsia="Times New Roman" w:cs="Calibri"/>
          <w:color w:val="000000"/>
          <w:kern w:val="0"/>
          <w:sz w:val="16"/>
          <w:szCs w:val="16"/>
          <w:lang w:eastAsia="de-DE" w:bidi="en-US"/>
        </w:rPr>
        <w:t xml:space="preserve"> Guangdong Provincial Key Laboratory of Applied Botany, South China Botanical Garden, Chinese Academy of Sciences, Guangzhou 510650, China.</w:t>
      </w:r>
    </w:p>
    <w:p w14:paraId="3B5E2DDE">
      <w:pPr>
        <w:widowControl/>
        <w:adjustRightInd w:val="0"/>
        <w:snapToGrid w:val="0"/>
        <w:spacing w:after="160" w:line="480" w:lineRule="auto"/>
        <w:ind w:left="199" w:leftChars="50" w:hanging="94" w:hangingChars="59"/>
        <w:rPr>
          <w:rFonts w:ascii="Calibri" w:hAnsi="Calibri" w:cs="Calibri"/>
          <w:color w:val="000000"/>
          <w:kern w:val="0"/>
          <w:sz w:val="16"/>
          <w:szCs w:val="16"/>
          <w:lang w:bidi="en-US"/>
        </w:rPr>
      </w:pPr>
      <w:r>
        <w:rPr>
          <w:rFonts w:ascii="Calibri" w:hAnsi="Calibri" w:eastAsia="Times New Roman" w:cs="Calibri"/>
          <w:b/>
          <w:color w:val="000000"/>
          <w:kern w:val="0"/>
          <w:sz w:val="16"/>
          <w:szCs w:val="16"/>
          <w:lang w:eastAsia="de-DE" w:bidi="en-US"/>
        </w:rPr>
        <w:t>2</w:t>
      </w:r>
      <w:r>
        <w:rPr>
          <w:rFonts w:ascii="Calibri" w:hAnsi="Calibri" w:cs="Calibri"/>
          <w:color w:val="000000"/>
          <w:kern w:val="0"/>
          <w:sz w:val="16"/>
          <w:szCs w:val="16"/>
          <w:lang w:bidi="en-US"/>
        </w:rPr>
        <w:t xml:space="preserve"> </w:t>
      </w:r>
      <w:r>
        <w:rPr>
          <w:rFonts w:ascii="Calibri" w:hAnsi="Calibri" w:eastAsia="Times New Roman" w:cs="Calibri"/>
          <w:color w:val="000000"/>
          <w:kern w:val="0"/>
          <w:sz w:val="16"/>
          <w:szCs w:val="16"/>
          <w:lang w:eastAsia="de-DE" w:bidi="en-US"/>
        </w:rPr>
        <w:t>University of the Chinese Academy of Sciences, Beijing 100039, China.</w:t>
      </w:r>
    </w:p>
    <w:p w14:paraId="27125EB0">
      <w:pPr>
        <w:widowControl/>
        <w:adjustRightInd w:val="0"/>
        <w:snapToGrid w:val="0"/>
        <w:spacing w:after="160" w:line="480" w:lineRule="auto"/>
        <w:ind w:left="113"/>
        <w:rPr>
          <w:rFonts w:ascii="Calibri" w:hAnsi="Calibri" w:cs="Calibri"/>
          <w:color w:val="000000"/>
          <w:kern w:val="0"/>
          <w:sz w:val="16"/>
          <w:szCs w:val="16"/>
          <w:lang w:bidi="en-US"/>
        </w:rPr>
      </w:pPr>
      <w:r>
        <w:rPr>
          <w:rFonts w:ascii="Calibri" w:hAnsi="Calibri" w:cs="Calibri"/>
          <w:b/>
          <w:color w:val="000000"/>
          <w:kern w:val="0"/>
          <w:sz w:val="16"/>
          <w:szCs w:val="16"/>
          <w:lang w:bidi="en-US"/>
        </w:rPr>
        <w:t xml:space="preserve">3 </w:t>
      </w:r>
      <w:r>
        <w:rPr>
          <w:rFonts w:ascii="Calibri" w:hAnsi="Calibri" w:eastAsia="Times New Roman" w:cs="Calibri"/>
          <w:color w:val="000000"/>
          <w:kern w:val="0"/>
          <w:sz w:val="16"/>
          <w:szCs w:val="16"/>
          <w:lang w:eastAsia="de-DE" w:bidi="en-US"/>
        </w:rPr>
        <w:t>Center of Economic Botany, Core Botanical Gardens, Chinese Academy of Sciences, Guangzhou,</w:t>
      </w:r>
      <w:r>
        <w:rPr>
          <w:rFonts w:ascii="Calibri" w:hAnsi="Calibri" w:cs="Calibri"/>
          <w:color w:val="000000"/>
          <w:kern w:val="0"/>
          <w:sz w:val="16"/>
          <w:szCs w:val="16"/>
          <w:lang w:bidi="en-US"/>
        </w:rPr>
        <w:t xml:space="preserve"> </w:t>
      </w:r>
      <w:r>
        <w:rPr>
          <w:rFonts w:ascii="Calibri" w:hAnsi="Calibri" w:eastAsia="Times New Roman" w:cs="Calibri"/>
          <w:color w:val="000000"/>
          <w:kern w:val="0"/>
          <w:sz w:val="16"/>
          <w:szCs w:val="16"/>
          <w:lang w:eastAsia="de-DE" w:bidi="en-US"/>
        </w:rPr>
        <w:t>510650, China.</w:t>
      </w:r>
    </w:p>
    <w:p w14:paraId="27C3BD36">
      <w:pPr>
        <w:widowControl/>
        <w:adjustRightInd w:val="0"/>
        <w:snapToGrid w:val="0"/>
        <w:spacing w:after="160" w:line="480" w:lineRule="auto"/>
        <w:ind w:left="113"/>
        <w:rPr>
          <w:rFonts w:ascii="Calibri" w:hAnsi="Calibri" w:cs="Calibri"/>
          <w:color w:val="000000"/>
          <w:kern w:val="0"/>
          <w:sz w:val="16"/>
          <w:szCs w:val="16"/>
          <w:lang w:bidi="en-US"/>
        </w:rPr>
      </w:pPr>
      <w:r>
        <w:rPr>
          <w:rFonts w:ascii="Calibri" w:hAnsi="Calibri" w:cs="Calibri"/>
          <w:b/>
          <w:color w:val="000000"/>
          <w:kern w:val="0"/>
          <w:sz w:val="16"/>
          <w:szCs w:val="16"/>
          <w:lang w:bidi="en-US"/>
        </w:rPr>
        <w:t>4</w:t>
      </w:r>
      <w:r>
        <w:rPr>
          <w:rFonts w:hint="eastAsia" w:ascii="Calibri" w:hAnsi="Calibri" w:cs="Calibri"/>
          <w:b/>
          <w:color w:val="000000"/>
          <w:kern w:val="0"/>
          <w:sz w:val="16"/>
          <w:szCs w:val="16"/>
          <w:lang w:val="en-US" w:eastAsia="zh-CN" w:bidi="en-US"/>
        </w:rPr>
        <w:t xml:space="preserve"> </w:t>
      </w:r>
      <w:r>
        <w:rPr>
          <w:rFonts w:ascii="Calibri" w:hAnsi="Calibri" w:eastAsia="Times New Roman" w:cs="Calibri"/>
          <w:color w:val="000000"/>
          <w:kern w:val="0"/>
          <w:sz w:val="16"/>
          <w:szCs w:val="16"/>
          <w:lang w:eastAsia="de-DE" w:bidi="en-US"/>
        </w:rPr>
        <w:t>Southern Marine Science and Engineering Guangdong Laboratory (Guangzhou), Guangzhou, China</w:t>
      </w:r>
    </w:p>
    <w:p w14:paraId="017609E5">
      <w:pPr>
        <w:adjustRightInd w:val="0"/>
        <w:snapToGrid w:val="0"/>
        <w:spacing w:after="160" w:line="480" w:lineRule="auto"/>
        <w:ind w:left="113"/>
        <w:rPr>
          <w:rFonts w:hint="default" w:ascii="Times New Roman" w:hAnsi="Times New Roman" w:cs="Times New Roman"/>
          <w:bCs/>
          <w:color w:val="000000"/>
          <w:kern w:val="0"/>
          <w:sz w:val="20"/>
          <w:szCs w:val="20"/>
          <w:lang w:bidi="en-US"/>
        </w:rPr>
      </w:pPr>
      <w:r>
        <w:rPr>
          <w:rFonts w:ascii="Calibri" w:hAnsi="Calibri" w:cs="Calibri"/>
          <w:b/>
          <w:color w:val="000000"/>
          <w:kern w:val="0"/>
          <w:sz w:val="16"/>
          <w:szCs w:val="16"/>
          <w:lang w:bidi="en-US"/>
        </w:rPr>
        <w:t>*</w:t>
      </w:r>
      <w:r>
        <w:rPr>
          <w:rFonts w:ascii="Calibri" w:hAnsi="Calibri" w:eastAsia="Times New Roman" w:cs="Calibri"/>
          <w:b/>
          <w:color w:val="000000"/>
          <w:kern w:val="0"/>
          <w:sz w:val="16"/>
          <w:szCs w:val="16"/>
          <w:lang w:eastAsia="de-DE" w:bidi="en-US"/>
        </w:rPr>
        <w:t xml:space="preserve"> </w:t>
      </w:r>
      <w:r>
        <w:rPr>
          <w:rFonts w:ascii="Calibri" w:hAnsi="Calibri" w:eastAsia="Times New Roman" w:cs="Calibri"/>
          <w:color w:val="000000"/>
          <w:kern w:val="0"/>
          <w:sz w:val="16"/>
          <w:szCs w:val="16"/>
          <w:lang w:eastAsia="de-DE" w:bidi="en-US"/>
        </w:rPr>
        <w:t>Correspondence and requests for materials should be addressed to</w:t>
      </w:r>
      <w:r>
        <w:rPr>
          <w:rFonts w:ascii="Calibri" w:hAnsi="Calibri" w:eastAsia="宋体" w:cs="Calibri"/>
          <w:color w:val="000000"/>
          <w:kern w:val="0"/>
          <w:sz w:val="16"/>
          <w:szCs w:val="16"/>
          <w:lang w:bidi="en-US"/>
        </w:rPr>
        <w:t xml:space="preserve"> Mei</w:t>
      </w:r>
      <w:r>
        <w:rPr>
          <w:rFonts w:ascii="Calibri" w:hAnsi="Calibri" w:eastAsia="Times New Roman" w:cs="Calibri"/>
          <w:color w:val="000000"/>
          <w:kern w:val="0"/>
          <w:sz w:val="16"/>
          <w:szCs w:val="16"/>
          <w:lang w:eastAsia="de-DE" w:bidi="en-US"/>
        </w:rPr>
        <w:t xml:space="preserve"> </w:t>
      </w:r>
      <w:r>
        <w:rPr>
          <w:rFonts w:ascii="Calibri" w:hAnsi="Calibri" w:eastAsia="宋体" w:cs="Calibri"/>
          <w:color w:val="000000"/>
          <w:kern w:val="0"/>
          <w:sz w:val="16"/>
          <w:szCs w:val="16"/>
          <w:lang w:bidi="en-US"/>
        </w:rPr>
        <w:t>Zhang</w:t>
      </w:r>
      <w:r>
        <w:rPr>
          <w:rFonts w:ascii="Calibri" w:hAnsi="Calibri" w:cs="Calibri"/>
          <w:color w:val="000000"/>
          <w:kern w:val="0"/>
          <w:sz w:val="16"/>
          <w:szCs w:val="16"/>
          <w:lang w:bidi="en-US"/>
        </w:rPr>
        <w:t xml:space="preserve"> (zhangmei@scbg.ac.cn) and Shuguang Jian (jiansg@scbg.ac.cn)</w:t>
      </w:r>
      <w:r>
        <w:rPr>
          <w:rFonts w:ascii="Calibri" w:hAnsi="Calibri" w:eastAsia="Times New Roman" w:cs="Calibri"/>
          <w:color w:val="000000"/>
          <w:kern w:val="0"/>
          <w:sz w:val="16"/>
          <w:szCs w:val="16"/>
          <w:lang w:eastAsia="de-DE" w:bidi="en-US"/>
        </w:rPr>
        <w:t>.</w:t>
      </w:r>
      <w:r>
        <w:rPr>
          <w:rFonts w:hint="default" w:ascii="Times New Roman" w:hAnsi="Times New Roman" w:cs="Times New Roman"/>
          <w:bCs/>
          <w:color w:val="000000"/>
          <w:kern w:val="0"/>
          <w:sz w:val="20"/>
          <w:szCs w:val="20"/>
          <w:lang w:bidi="en-US"/>
        </w:rPr>
        <w:br w:type="page"/>
      </w:r>
    </w:p>
    <w:p w14:paraId="0C092B4B">
      <w:pPr>
        <w:adjustRightInd w:val="0"/>
        <w:snapToGrid w:val="0"/>
        <w:spacing w:line="360" w:lineRule="auto"/>
        <w:ind w:left="113"/>
        <w:rPr>
          <w:rFonts w:hint="default" w:ascii="Times New Roman" w:hAnsi="Times New Roman" w:cs="Times New Roman"/>
          <w:bCs/>
          <w:color w:val="000000"/>
          <w:kern w:val="0"/>
          <w:sz w:val="20"/>
          <w:szCs w:val="20"/>
          <w:lang w:bidi="en-US"/>
        </w:rPr>
      </w:pPr>
      <w:r>
        <w:rPr>
          <w:rFonts w:hint="default" w:ascii="Times New Roman" w:hAnsi="Times New Roman" w:cs="Times New Roman"/>
          <w:sz w:val="20"/>
          <w:szCs w:val="20"/>
        </w:rPr>
        <w:drawing>
          <wp:inline distT="0" distB="0" distL="0" distR="0">
            <wp:extent cx="5274310" cy="7416800"/>
            <wp:effectExtent l="0" t="0" r="2540" b="0"/>
            <wp:docPr id="15464130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413026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0"/>
          <w:szCs w:val="20"/>
        </w:rPr>
        <w:drawing>
          <wp:inline distT="0" distB="0" distL="0" distR="0">
            <wp:extent cx="5274310" cy="7425690"/>
            <wp:effectExtent l="0" t="0" r="2540" b="3810"/>
            <wp:docPr id="5581271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127143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0"/>
          <w:szCs w:val="20"/>
        </w:rPr>
        <w:drawing>
          <wp:inline distT="0" distB="0" distL="0" distR="0">
            <wp:extent cx="5274310" cy="7406640"/>
            <wp:effectExtent l="0" t="0" r="2540" b="3810"/>
            <wp:docPr id="170237029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370295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0"/>
          <w:szCs w:val="20"/>
        </w:rPr>
        <w:drawing>
          <wp:inline distT="0" distB="0" distL="0" distR="0">
            <wp:extent cx="5274310" cy="7438390"/>
            <wp:effectExtent l="0" t="0" r="2540" b="0"/>
            <wp:docPr id="11699282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928274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0"/>
          <w:szCs w:val="20"/>
        </w:rPr>
        <w:drawing>
          <wp:inline distT="0" distB="0" distL="0" distR="0">
            <wp:extent cx="5274310" cy="7501255"/>
            <wp:effectExtent l="0" t="0" r="2540" b="4445"/>
            <wp:docPr id="2264980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498019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0"/>
          <w:szCs w:val="20"/>
        </w:rPr>
        <w:drawing>
          <wp:inline distT="0" distB="0" distL="0" distR="0">
            <wp:extent cx="5274310" cy="7490460"/>
            <wp:effectExtent l="0" t="0" r="2540" b="0"/>
            <wp:docPr id="63090636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906366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0"/>
          <w:szCs w:val="20"/>
        </w:rPr>
        <w:drawing>
          <wp:inline distT="0" distB="0" distL="0" distR="0">
            <wp:extent cx="5274310" cy="7441565"/>
            <wp:effectExtent l="0" t="0" r="2540" b="6985"/>
            <wp:docPr id="82450034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500348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0"/>
          <w:szCs w:val="20"/>
        </w:rPr>
        <w:drawing>
          <wp:inline distT="0" distB="0" distL="0" distR="0">
            <wp:extent cx="5274310" cy="7399020"/>
            <wp:effectExtent l="0" t="0" r="2540" b="0"/>
            <wp:docPr id="19629261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926120" name="图片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0"/>
          <w:szCs w:val="20"/>
        </w:rPr>
        <w:drawing>
          <wp:inline distT="0" distB="0" distL="0" distR="0">
            <wp:extent cx="5274310" cy="7419975"/>
            <wp:effectExtent l="0" t="0" r="2540" b="9525"/>
            <wp:docPr id="15574990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499043" name="图片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0"/>
          <w:szCs w:val="20"/>
        </w:rPr>
        <w:drawing>
          <wp:inline distT="0" distB="0" distL="0" distR="0">
            <wp:extent cx="5274310" cy="4918075"/>
            <wp:effectExtent l="0" t="0" r="2540" b="0"/>
            <wp:docPr id="109384375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843754" name="图片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1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A26F9">
      <w:pPr>
        <w:adjustRightInd w:val="0"/>
        <w:snapToGrid w:val="0"/>
        <w:spacing w:line="360" w:lineRule="auto"/>
        <w:ind w:left="113"/>
        <w:rPr>
          <w:rFonts w:hint="default" w:ascii="Calibri" w:hAnsi="Calibri" w:cs="Calibri"/>
          <w:bCs/>
          <w:color w:val="000000"/>
          <w:kern w:val="0"/>
          <w:sz w:val="20"/>
          <w:szCs w:val="20"/>
          <w:lang w:bidi="en-US"/>
        </w:rPr>
      </w:pPr>
      <w:r>
        <w:rPr>
          <w:rFonts w:hint="default" w:ascii="Calibri" w:hAnsi="Calibri" w:cs="Calibri"/>
          <w:b/>
          <w:color w:val="000000"/>
          <w:kern w:val="0"/>
          <w:sz w:val="20"/>
          <w:szCs w:val="20"/>
          <w:lang w:bidi="en-US"/>
        </w:rPr>
        <w:t xml:space="preserve">Fig. S1. </w:t>
      </w:r>
      <w:r>
        <w:rPr>
          <w:rFonts w:hint="default" w:ascii="Calibri" w:hAnsi="Calibri" w:cs="Calibri"/>
          <w:bCs/>
          <w:color w:val="000000"/>
          <w:kern w:val="0"/>
          <w:sz w:val="20"/>
          <w:szCs w:val="20"/>
          <w:lang w:bidi="en-US"/>
        </w:rPr>
        <w:t>The transmembrane region and 3D structure of TtAQPs predicted with Phyre2 server (</w:t>
      </w:r>
      <w:r>
        <w:rPr>
          <w:rFonts w:hint="default" w:ascii="Calibri" w:hAnsi="Calibri" w:cs="Calibri"/>
          <w:bCs/>
          <w:color w:val="000000"/>
          <w:kern w:val="0"/>
          <w:sz w:val="20"/>
          <w:szCs w:val="20"/>
          <w:u w:val="single"/>
          <w:lang w:bidi="en-US"/>
        </w:rPr>
        <w:t>https://www.sbg.bio.ic.ac.uk/phyre2/html/page.cgi?id=contact</w:t>
      </w:r>
      <w:r>
        <w:rPr>
          <w:rFonts w:hint="default" w:ascii="Calibri" w:hAnsi="Calibri" w:cs="Calibri"/>
          <w:bCs/>
          <w:color w:val="000000"/>
          <w:kern w:val="0"/>
          <w:sz w:val="20"/>
          <w:szCs w:val="20"/>
          <w:lang w:bidi="en-US"/>
        </w:rPr>
        <w:t>). Transmembrane topology (a) and 3D structure (b) of 58 TtAQPs were constructed using the Phyre2 and color-coded with a rainbow scheme (N- to C-terminus). Pore morphology (c) and dimensions (d) were analyzed using PoreWalker software, providing cross-sectional views and pore size measurements.</w:t>
      </w:r>
    </w:p>
    <w:p w14:paraId="2D14AD3C">
      <w:pPr>
        <w:adjustRightInd w:val="0"/>
        <w:snapToGrid w:val="0"/>
        <w:spacing w:line="360" w:lineRule="auto"/>
        <w:ind w:left="113"/>
        <w:rPr>
          <w:rFonts w:hint="default" w:ascii="Calibri" w:hAnsi="Calibri" w:cs="Calibri"/>
          <w:bCs/>
          <w:color w:val="000000"/>
          <w:kern w:val="0"/>
          <w:sz w:val="20"/>
          <w:szCs w:val="20"/>
          <w:lang w:bidi="en-US"/>
        </w:rPr>
      </w:pPr>
      <w:r>
        <w:rPr>
          <w:rFonts w:hint="default" w:ascii="Calibri" w:hAnsi="Calibri" w:cs="Calibri"/>
          <w:bCs/>
          <w:color w:val="000000"/>
          <w:kern w:val="0"/>
          <w:sz w:val="20"/>
          <w:szCs w:val="20"/>
          <w:lang w:bidi="en-US"/>
        </w:rPr>
        <w:br w:type="page"/>
      </w:r>
    </w:p>
    <w:p w14:paraId="5DCC0647">
      <w:pPr>
        <w:adjustRightInd w:val="0"/>
        <w:snapToGrid w:val="0"/>
        <w:spacing w:line="360" w:lineRule="auto"/>
        <w:ind w:left="113"/>
        <w:rPr>
          <w:rFonts w:hint="default" w:ascii="Calibri" w:hAnsi="Calibri" w:cs="Calibri"/>
          <w:bCs/>
          <w:color w:val="000000"/>
          <w:kern w:val="0"/>
          <w:sz w:val="20"/>
          <w:szCs w:val="20"/>
          <w:lang w:bidi="en-US"/>
        </w:rPr>
      </w:pPr>
      <w:r>
        <w:rPr>
          <w:rFonts w:hint="default" w:ascii="Calibri" w:hAnsi="Calibri" w:cs="Calibri"/>
          <w:sz w:val="20"/>
          <w:szCs w:val="20"/>
        </w:rPr>
        <w:drawing>
          <wp:inline distT="0" distB="0" distL="0" distR="0">
            <wp:extent cx="5274310" cy="8670925"/>
            <wp:effectExtent l="0" t="0" r="2540" b="0"/>
            <wp:docPr id="92033545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33545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7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cs="Calibri"/>
          <w:sz w:val="20"/>
          <w:szCs w:val="20"/>
        </w:rPr>
        <w:drawing>
          <wp:inline distT="0" distB="0" distL="0" distR="0">
            <wp:extent cx="5274310" cy="8807450"/>
            <wp:effectExtent l="0" t="0" r="2540" b="0"/>
            <wp:docPr id="10950793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079340" name="图片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0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cs="Calibri"/>
          <w:sz w:val="20"/>
          <w:szCs w:val="20"/>
        </w:rPr>
        <w:drawing>
          <wp:inline distT="0" distB="0" distL="0" distR="0">
            <wp:extent cx="5274310" cy="8849360"/>
            <wp:effectExtent l="0" t="0" r="2540" b="8890"/>
            <wp:docPr id="14357482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748246" name="图片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4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cs="Calibri"/>
          <w:sz w:val="20"/>
          <w:szCs w:val="20"/>
        </w:rPr>
        <w:drawing>
          <wp:inline distT="0" distB="0" distL="0" distR="0">
            <wp:extent cx="5274310" cy="8832850"/>
            <wp:effectExtent l="0" t="0" r="2540" b="6350"/>
            <wp:docPr id="16254956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495634" name="图片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3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cs="Calibri"/>
          <w:sz w:val="20"/>
          <w:szCs w:val="20"/>
        </w:rPr>
        <w:drawing>
          <wp:inline distT="0" distB="0" distL="0" distR="0">
            <wp:extent cx="5247640" cy="8863330"/>
            <wp:effectExtent l="0" t="0" r="0" b="0"/>
            <wp:docPr id="38835418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354181" name="图片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cs="Calibri"/>
          <w:sz w:val="20"/>
          <w:szCs w:val="20"/>
        </w:rPr>
        <w:drawing>
          <wp:inline distT="0" distB="0" distL="0" distR="0">
            <wp:extent cx="5237480" cy="8863330"/>
            <wp:effectExtent l="0" t="0" r="1270" b="0"/>
            <wp:docPr id="4443382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338218" name="图片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cs="Calibri"/>
          <w:sz w:val="20"/>
          <w:szCs w:val="20"/>
        </w:rPr>
        <w:drawing>
          <wp:inline distT="0" distB="0" distL="0" distR="0">
            <wp:extent cx="5274310" cy="3705225"/>
            <wp:effectExtent l="0" t="0" r="2540" b="9525"/>
            <wp:docPr id="38647825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478250" name="图片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88501">
      <w:pPr>
        <w:adjustRightInd w:val="0"/>
        <w:snapToGrid w:val="0"/>
        <w:spacing w:line="360" w:lineRule="auto"/>
        <w:ind w:left="113"/>
        <w:rPr>
          <w:rFonts w:hint="default" w:ascii="Calibri" w:hAnsi="Calibri" w:cs="Calibri"/>
          <w:bCs/>
          <w:color w:val="000000"/>
          <w:kern w:val="0"/>
          <w:sz w:val="20"/>
          <w:szCs w:val="20"/>
          <w:lang w:bidi="en-US"/>
        </w:rPr>
      </w:pPr>
      <w:r>
        <w:rPr>
          <w:rFonts w:hint="default" w:ascii="Calibri" w:hAnsi="Calibri" w:cs="Calibri"/>
          <w:b/>
          <w:color w:val="000000"/>
          <w:kern w:val="0"/>
          <w:sz w:val="20"/>
          <w:szCs w:val="20"/>
          <w:lang w:bidi="en-US"/>
        </w:rPr>
        <w:t xml:space="preserve">Fig. S2. </w:t>
      </w:r>
      <w:r>
        <w:rPr>
          <w:rFonts w:hint="default" w:ascii="Calibri" w:hAnsi="Calibri" w:cs="Calibri"/>
          <w:bCs/>
          <w:color w:val="000000"/>
          <w:kern w:val="0"/>
          <w:sz w:val="20"/>
          <w:szCs w:val="20"/>
          <w:lang w:bidi="en-US"/>
        </w:rPr>
        <w:t xml:space="preserve">The TtAQPs conserved domains predicted with InterProscan </w:t>
      </w:r>
      <w:r>
        <w:rPr>
          <w:rFonts w:hint="default" w:ascii="Calibri" w:hAnsi="Calibri" w:cs="Calibri"/>
          <w:bCs/>
          <w:color w:val="000000"/>
          <w:kern w:val="0"/>
          <w:sz w:val="20"/>
          <w:szCs w:val="20"/>
          <w:u w:val="single"/>
          <w:lang w:bidi="en-US"/>
        </w:rPr>
        <w:t>(https://www.ebi.ac.uk/interpro/search/sequence/)</w:t>
      </w:r>
      <w:r>
        <w:rPr>
          <w:rFonts w:hint="default" w:ascii="Calibri" w:hAnsi="Calibri" w:cs="Calibri"/>
          <w:bCs/>
          <w:color w:val="000000"/>
          <w:kern w:val="0"/>
          <w:sz w:val="20"/>
          <w:szCs w:val="20"/>
          <w:lang w:bidi="en-US"/>
        </w:rPr>
        <w:t>.</w:t>
      </w:r>
      <w:r>
        <w:rPr>
          <w:rFonts w:hint="default" w:ascii="Calibri" w:hAnsi="Calibri" w:cs="Calibri"/>
          <w:bCs/>
          <w:sz w:val="20"/>
          <w:szCs w:val="20"/>
        </w:rPr>
        <w:t xml:space="preserve"> </w:t>
      </w:r>
      <w:r>
        <w:rPr>
          <w:rFonts w:hint="default" w:ascii="Calibri" w:hAnsi="Calibri" w:cs="Calibri"/>
          <w:bCs/>
          <w:color w:val="000000"/>
          <w:kern w:val="0"/>
          <w:sz w:val="20"/>
          <w:szCs w:val="20"/>
          <w:lang w:bidi="en-US"/>
        </w:rPr>
        <w:t>The predicted conserved domains of TtAQP family are presented here. All members have predicted domains including Aquaporin-like (grey) and Glycerol uptake facilitator protein (purple) within their amino acid sequences.</w:t>
      </w:r>
    </w:p>
    <w:p w14:paraId="2097A170">
      <w:pPr>
        <w:adjustRightInd w:val="0"/>
        <w:snapToGrid w:val="0"/>
        <w:spacing w:line="360" w:lineRule="auto"/>
        <w:ind w:left="113"/>
        <w:rPr>
          <w:rFonts w:hint="default" w:ascii="Calibri" w:hAnsi="Calibri" w:cs="Calibri"/>
          <w:b/>
          <w:color w:val="000000"/>
          <w:kern w:val="0"/>
          <w:sz w:val="20"/>
          <w:szCs w:val="20"/>
          <w:lang w:bidi="en-US"/>
        </w:rPr>
      </w:pPr>
      <w:r>
        <w:rPr>
          <w:rFonts w:hint="default" w:ascii="Calibri" w:hAnsi="Calibri" w:cs="Calibri"/>
          <w:b/>
          <w:color w:val="000000"/>
          <w:kern w:val="0"/>
          <w:sz w:val="20"/>
          <w:szCs w:val="20"/>
          <w:lang w:bidi="en-US"/>
        </w:rPr>
        <w:br w:type="page"/>
      </w:r>
    </w:p>
    <w:p w14:paraId="3AC51ABC">
      <w:pPr>
        <w:adjustRightInd w:val="0"/>
        <w:snapToGrid w:val="0"/>
        <w:spacing w:line="360" w:lineRule="auto"/>
        <w:ind w:left="113"/>
        <w:rPr>
          <w:rFonts w:hint="default" w:ascii="Calibri" w:hAnsi="Calibri" w:cs="Calibri"/>
          <w:bCs/>
          <w:color w:val="000000"/>
          <w:kern w:val="0"/>
          <w:sz w:val="20"/>
          <w:szCs w:val="20"/>
          <w:lang w:bidi="en-US"/>
        </w:rPr>
      </w:pPr>
      <w:r>
        <w:rPr>
          <w:rFonts w:hint="default" w:ascii="Calibri" w:hAnsi="Calibri" w:cs="Calibri"/>
          <w:bCs/>
          <w:color w:val="000000"/>
          <w:kern w:val="0"/>
          <w:sz w:val="20"/>
          <w:szCs w:val="20"/>
          <w:lang w:bidi="en-US"/>
        </w:rPr>
        <w:drawing>
          <wp:inline distT="0" distB="0" distL="0" distR="0">
            <wp:extent cx="5267325" cy="1138555"/>
            <wp:effectExtent l="0" t="0" r="9525" b="4445"/>
            <wp:docPr id="132980368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803689" name="图片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8C675">
      <w:pPr>
        <w:adjustRightInd w:val="0"/>
        <w:snapToGrid w:val="0"/>
        <w:spacing w:line="360" w:lineRule="auto"/>
        <w:ind w:left="113"/>
        <w:rPr>
          <w:rFonts w:hint="default" w:ascii="Calibri" w:hAnsi="Calibri" w:cs="Calibri"/>
          <w:bCs/>
          <w:color w:val="000000"/>
          <w:kern w:val="0"/>
          <w:sz w:val="20"/>
          <w:szCs w:val="20"/>
          <w:lang w:bidi="en-US"/>
        </w:rPr>
      </w:pPr>
      <w:r>
        <w:rPr>
          <w:rFonts w:hint="default" w:ascii="Calibri" w:hAnsi="Calibri" w:cs="Calibri"/>
          <w:b/>
          <w:color w:val="000000"/>
          <w:kern w:val="0"/>
          <w:sz w:val="20"/>
          <w:szCs w:val="20"/>
          <w:lang w:bidi="en-US"/>
        </w:rPr>
        <w:t xml:space="preserve">Fig. S3. </w:t>
      </w:r>
      <w:r>
        <w:rPr>
          <w:rFonts w:hint="default" w:ascii="Calibri" w:hAnsi="Calibri" w:cs="Calibri"/>
          <w:bCs/>
          <w:color w:val="000000"/>
          <w:kern w:val="0"/>
          <w:sz w:val="20"/>
          <w:szCs w:val="20"/>
          <w:lang w:bidi="en-US"/>
        </w:rPr>
        <w:t xml:space="preserve">The histogram showing the relative expression (FPKM values with RNA-seq) of 58 TtAQPs in the root, vine, leaf, flower bud, and young fruit of </w:t>
      </w:r>
      <w:r>
        <w:rPr>
          <w:rFonts w:hint="default" w:ascii="Calibri" w:hAnsi="Calibri" w:cs="Calibri"/>
          <w:bCs/>
          <w:i/>
          <w:iCs/>
          <w:color w:val="000000"/>
          <w:kern w:val="0"/>
          <w:sz w:val="20"/>
          <w:szCs w:val="20"/>
          <w:lang w:bidi="en-US"/>
        </w:rPr>
        <w:t>T. tetragonoides</w:t>
      </w:r>
      <w:r>
        <w:rPr>
          <w:rFonts w:hint="default" w:ascii="Calibri" w:hAnsi="Calibri" w:cs="Calibri"/>
          <w:bCs/>
          <w:color w:val="000000"/>
          <w:kern w:val="0"/>
          <w:sz w:val="20"/>
          <w:szCs w:val="20"/>
          <w:lang w:bidi="en-US"/>
        </w:rPr>
        <w:t xml:space="preserve"> plants.</w:t>
      </w:r>
    </w:p>
    <w:p w14:paraId="46B99F24">
      <w:pPr>
        <w:adjustRightInd w:val="0"/>
        <w:snapToGrid w:val="0"/>
        <w:spacing w:line="360" w:lineRule="auto"/>
        <w:ind w:left="113"/>
        <w:rPr>
          <w:rFonts w:hint="default" w:ascii="Calibri" w:hAnsi="Calibri" w:cs="Calibri"/>
          <w:bCs/>
          <w:color w:val="000000"/>
          <w:kern w:val="0"/>
          <w:sz w:val="20"/>
          <w:szCs w:val="20"/>
          <w:lang w:bidi="en-US"/>
        </w:rPr>
      </w:pPr>
      <w:r>
        <w:rPr>
          <w:rFonts w:hint="default" w:ascii="Calibri" w:hAnsi="Calibri" w:cs="Calibri"/>
          <w:bCs/>
          <w:color w:val="000000"/>
          <w:kern w:val="0"/>
          <w:sz w:val="20"/>
          <w:szCs w:val="20"/>
          <w:lang w:bidi="en-US"/>
        </w:rPr>
        <w:br w:type="page"/>
      </w:r>
    </w:p>
    <w:p w14:paraId="30F6ECE6">
      <w:pPr>
        <w:adjustRightInd w:val="0"/>
        <w:snapToGrid w:val="0"/>
        <w:spacing w:line="360" w:lineRule="auto"/>
        <w:ind w:left="113"/>
        <w:rPr>
          <w:rFonts w:hint="default" w:ascii="Calibri" w:hAnsi="Calibri" w:cs="Calibri"/>
          <w:bCs/>
          <w:color w:val="000000"/>
          <w:kern w:val="0"/>
          <w:sz w:val="20"/>
          <w:szCs w:val="20"/>
          <w:lang w:bidi="en-US"/>
        </w:rPr>
      </w:pPr>
      <w:r>
        <w:rPr>
          <w:rFonts w:hint="default" w:ascii="Calibri" w:hAnsi="Calibri" w:cs="Calibri"/>
          <w:bCs/>
          <w:color w:val="000000"/>
          <w:kern w:val="0"/>
          <w:sz w:val="20"/>
          <w:szCs w:val="20"/>
          <w:lang w:bidi="en-US"/>
        </w:rPr>
        <w:drawing>
          <wp:inline distT="0" distB="0" distL="0" distR="0">
            <wp:extent cx="5264150" cy="5655310"/>
            <wp:effectExtent l="0" t="0" r="0" b="2540"/>
            <wp:docPr id="155337549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375490" name="图片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65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4651E">
      <w:pPr>
        <w:widowControl/>
        <w:adjustRightInd w:val="0"/>
        <w:snapToGrid w:val="0"/>
        <w:spacing w:line="360" w:lineRule="auto"/>
        <w:rPr>
          <w:rFonts w:hint="default" w:ascii="Calibri" w:hAnsi="Calibri" w:eastAsia="宋体" w:cs="Calibri"/>
          <w:bCs/>
          <w:snapToGrid w:val="0"/>
          <w:color w:val="000000"/>
          <w:kern w:val="0"/>
          <w:sz w:val="20"/>
          <w:szCs w:val="20"/>
          <w:lang w:bidi="en-US"/>
        </w:rPr>
      </w:pPr>
      <w:r>
        <w:rPr>
          <w:rFonts w:hint="default" w:ascii="Calibri" w:hAnsi="Calibri" w:eastAsia="宋体" w:cs="Calibri"/>
          <w:b/>
          <w:snapToGrid w:val="0"/>
          <w:color w:val="000000"/>
          <w:kern w:val="0"/>
          <w:sz w:val="20"/>
          <w:szCs w:val="20"/>
          <w:lang w:bidi="en-US"/>
        </w:rPr>
        <w:t xml:space="preserve">Fig. S4. </w:t>
      </w:r>
      <w:r>
        <w:rPr>
          <w:rFonts w:hint="default" w:ascii="Calibri" w:hAnsi="Calibri" w:eastAsia="宋体" w:cs="Calibri"/>
          <w:bCs/>
          <w:snapToGrid w:val="0"/>
          <w:color w:val="000000"/>
          <w:kern w:val="0"/>
          <w:sz w:val="20"/>
          <w:szCs w:val="20"/>
          <w:lang w:bidi="en-US"/>
        </w:rPr>
        <w:t xml:space="preserve">10 The tolerance confirmations of the eight </w:t>
      </w:r>
      <w:r>
        <w:rPr>
          <w:rFonts w:hint="default" w:ascii="Calibri" w:hAnsi="Calibri" w:eastAsia="宋体" w:cs="Calibri"/>
          <w:bCs/>
          <w:i/>
          <w:iCs/>
          <w:snapToGrid w:val="0"/>
          <w:color w:val="000000"/>
          <w:kern w:val="0"/>
          <w:sz w:val="20"/>
          <w:szCs w:val="20"/>
          <w:lang w:bidi="en-US"/>
        </w:rPr>
        <w:t>TtAQPs</w:t>
      </w:r>
      <w:r>
        <w:rPr>
          <w:rFonts w:hint="default" w:ascii="Calibri" w:hAnsi="Calibri" w:eastAsia="宋体" w:cs="Calibri"/>
          <w:bCs/>
          <w:snapToGrid w:val="0"/>
          <w:color w:val="000000"/>
          <w:kern w:val="0"/>
          <w:sz w:val="20"/>
          <w:szCs w:val="20"/>
          <w:lang w:bidi="en-US"/>
        </w:rPr>
        <w:t>’ heteroexpression in WT and H</w:t>
      </w:r>
      <w:r>
        <w:rPr>
          <w:rFonts w:hint="default" w:ascii="Calibri" w:hAnsi="Calibri" w:eastAsia="宋体" w:cs="Calibri"/>
          <w:bCs/>
          <w:snapToGrid w:val="0"/>
          <w:color w:val="000000"/>
          <w:kern w:val="0"/>
          <w:sz w:val="20"/>
          <w:szCs w:val="20"/>
          <w:vertAlign w:val="subscript"/>
          <w:lang w:bidi="en-US"/>
        </w:rPr>
        <w:t>2</w:t>
      </w:r>
      <w:r>
        <w:rPr>
          <w:rFonts w:hint="default" w:ascii="Calibri" w:hAnsi="Calibri" w:eastAsia="宋体" w:cs="Calibri"/>
          <w:bCs/>
          <w:snapToGrid w:val="0"/>
          <w:color w:val="000000"/>
          <w:kern w:val="0"/>
          <w:sz w:val="20"/>
          <w:szCs w:val="20"/>
          <w:lang w:bidi="en-US"/>
        </w:rPr>
        <w:t>O</w:t>
      </w:r>
      <w:r>
        <w:rPr>
          <w:rFonts w:hint="default" w:ascii="Calibri" w:hAnsi="Calibri" w:eastAsia="宋体" w:cs="Calibri"/>
          <w:bCs/>
          <w:snapToGrid w:val="0"/>
          <w:color w:val="000000"/>
          <w:kern w:val="0"/>
          <w:sz w:val="20"/>
          <w:szCs w:val="20"/>
          <w:vertAlign w:val="subscript"/>
          <w:lang w:bidi="en-US"/>
        </w:rPr>
        <w:t>2</w:t>
      </w:r>
      <w:r>
        <w:rPr>
          <w:rFonts w:hint="default" w:ascii="Calibri" w:hAnsi="Calibri" w:eastAsia="宋体" w:cs="Calibri"/>
          <w:bCs/>
          <w:snapToGrid w:val="0"/>
          <w:color w:val="000000"/>
          <w:kern w:val="0"/>
          <w:sz w:val="20"/>
          <w:szCs w:val="20"/>
          <w:lang w:bidi="en-US"/>
        </w:rPr>
        <w:t>-sensitive mutant strain (</w:t>
      </w:r>
      <w:r>
        <w:rPr>
          <w:rFonts w:hint="default" w:ascii="Calibri" w:hAnsi="Calibri" w:eastAsia="宋体" w:cs="Calibri"/>
          <w:bCs/>
          <w:i/>
          <w:iCs/>
          <w:snapToGrid w:val="0"/>
          <w:color w:val="000000"/>
          <w:kern w:val="0"/>
          <w:sz w:val="20"/>
          <w:szCs w:val="20"/>
          <w:lang w:bidi="en-US"/>
        </w:rPr>
        <w:t>yap1Δ</w:t>
      </w:r>
      <w:r>
        <w:rPr>
          <w:rFonts w:hint="default" w:ascii="Calibri" w:hAnsi="Calibri" w:eastAsia="宋体" w:cs="Calibri"/>
          <w:bCs/>
          <w:snapToGrid w:val="0"/>
          <w:color w:val="000000"/>
          <w:kern w:val="0"/>
          <w:sz w:val="20"/>
          <w:szCs w:val="20"/>
          <w:lang w:bidi="en-US"/>
        </w:rPr>
        <w:t>) yeast. (A) Alkaline stress (NaHCO</w:t>
      </w:r>
      <w:r>
        <w:rPr>
          <w:rFonts w:hint="default" w:ascii="Calibri" w:hAnsi="Calibri" w:eastAsia="宋体" w:cs="Calibri"/>
          <w:bCs/>
          <w:snapToGrid w:val="0"/>
          <w:color w:val="000000"/>
          <w:kern w:val="0"/>
          <w:sz w:val="20"/>
          <w:szCs w:val="20"/>
          <w:vertAlign w:val="subscript"/>
          <w:lang w:bidi="en-US"/>
        </w:rPr>
        <w:t>3</w:t>
      </w:r>
      <w:r>
        <w:rPr>
          <w:rFonts w:hint="default" w:ascii="Calibri" w:hAnsi="Calibri" w:eastAsia="宋体" w:cs="Calibri"/>
          <w:bCs/>
          <w:snapToGrid w:val="0"/>
          <w:color w:val="000000"/>
          <w:kern w:val="0"/>
          <w:sz w:val="20"/>
          <w:szCs w:val="20"/>
          <w:lang w:bidi="en-US"/>
        </w:rPr>
        <w:t>, pH8.2) tolerance confirmations in WT; and (B) Oxidative stress (H</w:t>
      </w:r>
      <w:r>
        <w:rPr>
          <w:rFonts w:hint="default" w:ascii="Calibri" w:hAnsi="Calibri" w:eastAsia="宋体" w:cs="Calibri"/>
          <w:bCs/>
          <w:snapToGrid w:val="0"/>
          <w:color w:val="000000"/>
          <w:kern w:val="0"/>
          <w:sz w:val="20"/>
          <w:szCs w:val="20"/>
          <w:vertAlign w:val="subscript"/>
          <w:lang w:bidi="en-US"/>
        </w:rPr>
        <w:t>2</w:t>
      </w:r>
      <w:r>
        <w:rPr>
          <w:rFonts w:hint="default" w:ascii="Calibri" w:hAnsi="Calibri" w:eastAsia="宋体" w:cs="Calibri"/>
          <w:bCs/>
          <w:snapToGrid w:val="0"/>
          <w:color w:val="000000"/>
          <w:kern w:val="0"/>
          <w:sz w:val="20"/>
          <w:szCs w:val="20"/>
          <w:lang w:bidi="en-US"/>
        </w:rPr>
        <w:t>O</w:t>
      </w:r>
      <w:r>
        <w:rPr>
          <w:rFonts w:hint="default" w:ascii="Calibri" w:hAnsi="Calibri" w:eastAsia="宋体" w:cs="Calibri"/>
          <w:bCs/>
          <w:snapToGrid w:val="0"/>
          <w:color w:val="000000"/>
          <w:kern w:val="0"/>
          <w:sz w:val="20"/>
          <w:szCs w:val="20"/>
          <w:vertAlign w:val="subscript"/>
          <w:lang w:bidi="en-US"/>
        </w:rPr>
        <w:t>2</w:t>
      </w:r>
      <w:r>
        <w:rPr>
          <w:rFonts w:hint="default" w:ascii="Calibri" w:hAnsi="Calibri" w:eastAsia="宋体" w:cs="Calibri"/>
          <w:bCs/>
          <w:snapToGrid w:val="0"/>
          <w:color w:val="000000"/>
          <w:kern w:val="0"/>
          <w:sz w:val="20"/>
          <w:szCs w:val="20"/>
          <w:lang w:bidi="en-US"/>
        </w:rPr>
        <w:t xml:space="preserve">) tolerance confirmations in </w:t>
      </w:r>
      <w:r>
        <w:rPr>
          <w:rFonts w:hint="default" w:ascii="Calibri" w:hAnsi="Calibri" w:eastAsia="宋体" w:cs="Calibri"/>
          <w:bCs/>
          <w:i/>
          <w:iCs/>
          <w:snapToGrid w:val="0"/>
          <w:color w:val="000000"/>
          <w:kern w:val="0"/>
          <w:sz w:val="20"/>
          <w:szCs w:val="20"/>
          <w:lang w:bidi="en-US"/>
        </w:rPr>
        <w:t>yap1Δ</w:t>
      </w:r>
      <w:r>
        <w:rPr>
          <w:rFonts w:hint="default" w:ascii="Calibri" w:hAnsi="Calibri" w:eastAsia="宋体" w:cs="Calibri"/>
          <w:bCs/>
          <w:snapToGrid w:val="0"/>
          <w:color w:val="000000"/>
          <w:kern w:val="0"/>
          <w:sz w:val="20"/>
          <w:szCs w:val="20"/>
          <w:lang w:bidi="en-US"/>
        </w:rPr>
        <w:t>. WT was used as control.</w:t>
      </w:r>
    </w:p>
    <w:p w14:paraId="3697A340">
      <w:pPr>
        <w:widowControl/>
        <w:adjustRightInd w:val="0"/>
        <w:snapToGrid w:val="0"/>
        <w:spacing w:line="360" w:lineRule="auto"/>
        <w:rPr>
          <w:rFonts w:hint="default" w:ascii="Calibri" w:hAnsi="Calibri" w:eastAsia="宋体" w:cs="Calibri"/>
          <w:bCs/>
          <w:snapToGrid w:val="0"/>
          <w:color w:val="000000"/>
          <w:kern w:val="0"/>
          <w:sz w:val="20"/>
          <w:szCs w:val="20"/>
          <w:lang w:bidi="en-US"/>
        </w:rPr>
      </w:pPr>
      <w:r>
        <w:rPr>
          <w:rFonts w:hint="default" w:ascii="Calibri" w:hAnsi="Calibri" w:eastAsia="宋体" w:cs="Calibri"/>
          <w:bCs/>
          <w:snapToGrid w:val="0"/>
          <w:color w:val="000000"/>
          <w:kern w:val="0"/>
          <w:sz w:val="20"/>
          <w:szCs w:val="20"/>
          <w:lang w:bidi="en-US"/>
        </w:rPr>
        <w:br w:type="page"/>
      </w:r>
    </w:p>
    <w:p w14:paraId="4C3B2551">
      <w:pPr>
        <w:widowControl/>
        <w:adjustRightInd w:val="0"/>
        <w:snapToGrid w:val="0"/>
        <w:spacing w:line="360" w:lineRule="auto"/>
        <w:rPr>
          <w:rFonts w:hint="default" w:ascii="Calibri" w:hAnsi="Calibri" w:eastAsia="宋体" w:cs="Calibri"/>
          <w:bCs/>
          <w:snapToGrid w:val="0"/>
          <w:color w:val="000000"/>
          <w:kern w:val="0"/>
          <w:sz w:val="20"/>
          <w:szCs w:val="20"/>
          <w:lang w:bidi="en-US"/>
        </w:rPr>
      </w:pPr>
      <w:r>
        <w:rPr>
          <w:rFonts w:hint="default" w:ascii="Calibri" w:hAnsi="Calibri" w:eastAsia="宋体" w:cs="Calibri"/>
          <w:b/>
          <w:snapToGrid w:val="0"/>
          <w:color w:val="000000"/>
          <w:kern w:val="0"/>
          <w:sz w:val="20"/>
          <w:szCs w:val="20"/>
          <w:lang w:bidi="en-US"/>
        </w:rPr>
        <w:t>Table S1.</w:t>
      </w:r>
      <w:r>
        <w:rPr>
          <w:rFonts w:hint="default" w:ascii="Calibri" w:hAnsi="Calibri" w:eastAsia="宋体" w:cs="Calibri"/>
          <w:bCs/>
          <w:snapToGrid w:val="0"/>
          <w:color w:val="000000"/>
          <w:kern w:val="0"/>
          <w:sz w:val="20"/>
          <w:szCs w:val="20"/>
          <w:lang w:bidi="en-US"/>
        </w:rPr>
        <w:t xml:space="preserve"> Primers and sequences lists used in this study.</w:t>
      </w:r>
    </w:p>
    <w:p w14:paraId="11A85F07">
      <w:pPr>
        <w:widowControl/>
        <w:adjustRightInd w:val="0"/>
        <w:snapToGrid w:val="0"/>
        <w:spacing w:line="360" w:lineRule="auto"/>
        <w:rPr>
          <w:rFonts w:hint="default" w:ascii="Calibri" w:hAnsi="Calibri" w:eastAsia="宋体" w:cs="Calibri"/>
          <w:bCs/>
          <w:snapToGrid w:val="0"/>
          <w:color w:val="000000"/>
          <w:kern w:val="0"/>
          <w:sz w:val="20"/>
          <w:szCs w:val="20"/>
          <w:lang w:bidi="en-US"/>
        </w:rPr>
      </w:pPr>
    </w:p>
    <w:p w14:paraId="0B46866B">
      <w:pPr>
        <w:widowControl/>
        <w:adjustRightInd w:val="0"/>
        <w:snapToGrid w:val="0"/>
        <w:spacing w:line="360" w:lineRule="auto"/>
        <w:rPr>
          <w:rFonts w:hint="default" w:ascii="Calibri" w:hAnsi="Calibri" w:eastAsia="宋体" w:cs="Calibri"/>
          <w:bCs/>
          <w:snapToGrid w:val="0"/>
          <w:color w:val="000000"/>
          <w:kern w:val="0"/>
          <w:sz w:val="20"/>
          <w:szCs w:val="20"/>
          <w:lang w:bidi="en-US"/>
        </w:rPr>
      </w:pPr>
    </w:p>
    <w:p w14:paraId="2B369B41">
      <w:pPr>
        <w:widowControl/>
        <w:adjustRightInd w:val="0"/>
        <w:snapToGrid w:val="0"/>
        <w:spacing w:line="360" w:lineRule="auto"/>
        <w:rPr>
          <w:rFonts w:hint="default" w:ascii="Calibri" w:hAnsi="Calibri" w:eastAsia="宋体" w:cs="Calibri"/>
          <w:bCs/>
          <w:snapToGrid w:val="0"/>
          <w:color w:val="000000"/>
          <w:kern w:val="0"/>
          <w:sz w:val="20"/>
          <w:szCs w:val="20"/>
          <w:lang w:bidi="en-US"/>
        </w:rPr>
      </w:pPr>
      <w:r>
        <w:rPr>
          <w:rFonts w:hint="default" w:ascii="Calibri" w:hAnsi="Calibri" w:eastAsia="宋体" w:cs="Calibri"/>
          <w:b/>
          <w:snapToGrid w:val="0"/>
          <w:color w:val="000000"/>
          <w:kern w:val="0"/>
          <w:sz w:val="20"/>
          <w:szCs w:val="20"/>
          <w:lang w:bidi="en-US"/>
        </w:rPr>
        <w:t>Table S2.</w:t>
      </w:r>
      <w:r>
        <w:rPr>
          <w:rFonts w:hint="default" w:ascii="Calibri" w:hAnsi="Calibri" w:eastAsia="宋体" w:cs="Calibri"/>
          <w:bCs/>
          <w:snapToGrid w:val="0"/>
          <w:color w:val="000000"/>
          <w:kern w:val="0"/>
          <w:sz w:val="20"/>
          <w:szCs w:val="20"/>
          <w:lang w:bidi="en-US"/>
        </w:rPr>
        <w:t xml:space="preserve"> Duplication events for </w:t>
      </w:r>
      <w:r>
        <w:rPr>
          <w:rFonts w:hint="default" w:ascii="Calibri" w:hAnsi="Calibri" w:eastAsia="宋体" w:cs="Calibri"/>
          <w:bCs/>
          <w:i/>
          <w:iCs/>
          <w:snapToGrid w:val="0"/>
          <w:color w:val="000000"/>
          <w:kern w:val="0"/>
          <w:sz w:val="20"/>
          <w:szCs w:val="20"/>
          <w:lang w:bidi="en-US"/>
        </w:rPr>
        <w:t>TtAQP</w:t>
      </w:r>
      <w:r>
        <w:rPr>
          <w:rFonts w:hint="default" w:ascii="Calibri" w:hAnsi="Calibri" w:eastAsia="宋体" w:cs="Calibri"/>
          <w:bCs/>
          <w:snapToGrid w:val="0"/>
          <w:color w:val="000000"/>
          <w:kern w:val="0"/>
          <w:sz w:val="20"/>
          <w:szCs w:val="20"/>
          <w:lang w:bidi="en-US"/>
        </w:rPr>
        <w:t xml:space="preserve"> genes.</w:t>
      </w:r>
    </w:p>
    <w:p w14:paraId="19BECF79">
      <w:pPr>
        <w:widowControl/>
        <w:adjustRightInd w:val="0"/>
        <w:snapToGrid w:val="0"/>
        <w:spacing w:line="360" w:lineRule="auto"/>
        <w:rPr>
          <w:rFonts w:hint="default" w:ascii="Calibri" w:hAnsi="Calibri" w:eastAsia="宋体" w:cs="Calibri"/>
          <w:bCs/>
          <w:snapToGrid w:val="0"/>
          <w:color w:val="000000"/>
          <w:kern w:val="0"/>
          <w:sz w:val="20"/>
          <w:szCs w:val="20"/>
          <w:lang w:bidi="en-US"/>
        </w:rPr>
      </w:pPr>
    </w:p>
    <w:p w14:paraId="13BFABE4">
      <w:pPr>
        <w:widowControl/>
        <w:adjustRightInd w:val="0"/>
        <w:snapToGrid w:val="0"/>
        <w:spacing w:line="360" w:lineRule="auto"/>
        <w:rPr>
          <w:rFonts w:hint="default" w:ascii="Calibri" w:hAnsi="Calibri" w:eastAsia="宋体" w:cs="Calibri"/>
          <w:bCs/>
          <w:snapToGrid w:val="0"/>
          <w:color w:val="000000"/>
          <w:kern w:val="0"/>
          <w:sz w:val="20"/>
          <w:szCs w:val="20"/>
          <w:lang w:bidi="en-US"/>
        </w:rPr>
      </w:pPr>
    </w:p>
    <w:p w14:paraId="68EEDB5C">
      <w:pPr>
        <w:widowControl/>
        <w:adjustRightInd w:val="0"/>
        <w:snapToGrid w:val="0"/>
        <w:spacing w:line="360" w:lineRule="auto"/>
        <w:rPr>
          <w:rFonts w:hint="default" w:ascii="Calibri" w:hAnsi="Calibri" w:eastAsia="宋体" w:cs="Calibri"/>
          <w:bCs/>
          <w:snapToGrid w:val="0"/>
          <w:color w:val="000000"/>
          <w:kern w:val="0"/>
          <w:sz w:val="20"/>
          <w:szCs w:val="20"/>
          <w:lang w:bidi="en-US"/>
        </w:rPr>
      </w:pPr>
      <w:r>
        <w:rPr>
          <w:rFonts w:hint="default" w:ascii="Calibri" w:hAnsi="Calibri" w:eastAsia="宋体" w:cs="Calibri"/>
          <w:b/>
          <w:snapToGrid w:val="0"/>
          <w:color w:val="000000"/>
          <w:kern w:val="0"/>
          <w:sz w:val="20"/>
          <w:szCs w:val="20"/>
          <w:lang w:bidi="en-US"/>
        </w:rPr>
        <w:t>Table S3.</w:t>
      </w:r>
      <w:r>
        <w:rPr>
          <w:rFonts w:hint="default" w:ascii="Calibri" w:hAnsi="Calibri" w:eastAsia="宋体" w:cs="Calibri"/>
          <w:bCs/>
          <w:snapToGrid w:val="0"/>
          <w:color w:val="000000"/>
          <w:kern w:val="0"/>
          <w:sz w:val="20"/>
          <w:szCs w:val="20"/>
          <w:lang w:bidi="en-US"/>
        </w:rPr>
        <w:t xml:space="preserve"> Ka Ks analysis of </w:t>
      </w:r>
      <w:r>
        <w:rPr>
          <w:rFonts w:hint="default" w:ascii="Calibri" w:hAnsi="Calibri" w:eastAsia="宋体" w:cs="Calibri"/>
          <w:bCs/>
          <w:i/>
          <w:iCs/>
          <w:snapToGrid w:val="0"/>
          <w:color w:val="000000"/>
          <w:kern w:val="0"/>
          <w:sz w:val="20"/>
          <w:szCs w:val="20"/>
          <w:lang w:bidi="en-US"/>
        </w:rPr>
        <w:t>TtAQP</w:t>
      </w:r>
      <w:r>
        <w:rPr>
          <w:rFonts w:hint="default" w:ascii="Calibri" w:hAnsi="Calibri" w:eastAsia="宋体" w:cs="Calibri"/>
          <w:bCs/>
          <w:snapToGrid w:val="0"/>
          <w:color w:val="000000"/>
          <w:kern w:val="0"/>
          <w:sz w:val="20"/>
          <w:szCs w:val="20"/>
          <w:lang w:bidi="en-US"/>
        </w:rPr>
        <w:t>s.</w:t>
      </w:r>
    </w:p>
    <w:p w14:paraId="2D6773A6">
      <w:pPr>
        <w:widowControl/>
        <w:adjustRightInd w:val="0"/>
        <w:snapToGrid w:val="0"/>
        <w:spacing w:line="360" w:lineRule="auto"/>
        <w:rPr>
          <w:rFonts w:hint="default" w:ascii="Calibri" w:hAnsi="Calibri" w:eastAsia="宋体" w:cs="Calibri"/>
          <w:bCs/>
          <w:snapToGrid w:val="0"/>
          <w:color w:val="000000"/>
          <w:kern w:val="0"/>
          <w:sz w:val="20"/>
          <w:szCs w:val="20"/>
          <w:lang w:bidi="en-US"/>
        </w:rPr>
      </w:pPr>
    </w:p>
    <w:p w14:paraId="64B417EA">
      <w:pPr>
        <w:widowControl/>
        <w:adjustRightInd w:val="0"/>
        <w:snapToGrid w:val="0"/>
        <w:spacing w:line="360" w:lineRule="auto"/>
        <w:rPr>
          <w:rFonts w:hint="default" w:ascii="Calibri" w:hAnsi="Calibri" w:eastAsia="宋体" w:cs="Calibri"/>
          <w:bCs/>
          <w:snapToGrid w:val="0"/>
          <w:color w:val="000000"/>
          <w:kern w:val="0"/>
          <w:sz w:val="20"/>
          <w:szCs w:val="20"/>
          <w:lang w:bidi="en-US"/>
        </w:rPr>
      </w:pPr>
    </w:p>
    <w:p w14:paraId="2E6254F4">
      <w:pPr>
        <w:widowControl/>
        <w:adjustRightInd w:val="0"/>
        <w:snapToGrid w:val="0"/>
        <w:spacing w:line="360" w:lineRule="auto"/>
        <w:rPr>
          <w:rFonts w:hint="default" w:ascii="Calibri" w:hAnsi="Calibri" w:eastAsia="宋体" w:cs="Calibri"/>
          <w:bCs/>
          <w:snapToGrid w:val="0"/>
          <w:color w:val="000000"/>
          <w:kern w:val="0"/>
          <w:sz w:val="20"/>
          <w:szCs w:val="20"/>
          <w:lang w:bidi="en-US"/>
        </w:rPr>
      </w:pPr>
      <w:r>
        <w:rPr>
          <w:rFonts w:hint="default" w:ascii="Calibri" w:hAnsi="Calibri" w:eastAsia="宋体" w:cs="Calibri"/>
          <w:b/>
          <w:snapToGrid w:val="0"/>
          <w:color w:val="000000"/>
          <w:kern w:val="0"/>
          <w:sz w:val="20"/>
          <w:szCs w:val="20"/>
          <w:lang w:bidi="en-US"/>
        </w:rPr>
        <w:t xml:space="preserve">Table S4. </w:t>
      </w:r>
      <w:r>
        <w:rPr>
          <w:rFonts w:hint="default" w:ascii="Calibri" w:hAnsi="Calibri" w:eastAsia="宋体" w:cs="Calibri"/>
          <w:bCs/>
          <w:snapToGrid w:val="0"/>
          <w:color w:val="000000"/>
          <w:kern w:val="0"/>
          <w:sz w:val="20"/>
          <w:szCs w:val="20"/>
          <w:lang w:bidi="en-US"/>
        </w:rPr>
        <w:t xml:space="preserve">The </w:t>
      </w:r>
      <w:r>
        <w:rPr>
          <w:rFonts w:hint="default" w:ascii="Calibri" w:hAnsi="Calibri" w:eastAsia="宋体" w:cs="Calibri"/>
          <w:bCs/>
          <w:i/>
          <w:iCs/>
          <w:snapToGrid w:val="0"/>
          <w:color w:val="000000"/>
          <w:kern w:val="0"/>
          <w:sz w:val="20"/>
          <w:szCs w:val="20"/>
          <w:lang w:bidi="en-US"/>
        </w:rPr>
        <w:t>cis</w:t>
      </w:r>
      <w:r>
        <w:rPr>
          <w:rFonts w:hint="default" w:ascii="Calibri" w:hAnsi="Calibri" w:eastAsia="宋体" w:cs="Calibri"/>
          <w:bCs/>
          <w:snapToGrid w:val="0"/>
          <w:color w:val="000000"/>
          <w:kern w:val="0"/>
          <w:sz w:val="20"/>
          <w:szCs w:val="20"/>
          <w:lang w:bidi="en-US"/>
        </w:rPr>
        <w:t xml:space="preserve">-acting elements (CEs) analysis of </w:t>
      </w:r>
      <w:r>
        <w:rPr>
          <w:rFonts w:hint="default" w:ascii="Calibri" w:hAnsi="Calibri" w:eastAsia="宋体" w:cs="Calibri"/>
          <w:bCs/>
          <w:i/>
          <w:iCs/>
          <w:snapToGrid w:val="0"/>
          <w:color w:val="000000"/>
          <w:kern w:val="0"/>
          <w:sz w:val="20"/>
          <w:szCs w:val="20"/>
          <w:lang w:bidi="en-US"/>
        </w:rPr>
        <w:t>TtAQPs</w:t>
      </w:r>
      <w:r>
        <w:rPr>
          <w:rFonts w:hint="default" w:ascii="Calibri" w:hAnsi="Calibri" w:eastAsia="宋体" w:cs="Calibri"/>
          <w:bCs/>
          <w:snapToGrid w:val="0"/>
          <w:color w:val="000000"/>
          <w:kern w:val="0"/>
          <w:sz w:val="20"/>
          <w:szCs w:val="20"/>
          <w:lang w:bidi="en-US"/>
        </w:rPr>
        <w:t>’ promoter sequences</w:t>
      </w:r>
    </w:p>
    <w:p w14:paraId="34FE7928">
      <w:pPr>
        <w:widowControl/>
        <w:adjustRightInd w:val="0"/>
        <w:snapToGrid w:val="0"/>
        <w:spacing w:line="360" w:lineRule="auto"/>
        <w:rPr>
          <w:rFonts w:hint="default" w:ascii="Calibri" w:hAnsi="Calibri" w:eastAsia="宋体" w:cs="Calibri"/>
          <w:bCs/>
          <w:snapToGrid w:val="0"/>
          <w:color w:val="000000"/>
          <w:kern w:val="0"/>
          <w:sz w:val="20"/>
          <w:szCs w:val="20"/>
          <w:lang w:bidi="en-US"/>
        </w:rPr>
      </w:pPr>
    </w:p>
    <w:p w14:paraId="7D1A5EB8">
      <w:pPr>
        <w:widowControl/>
        <w:adjustRightInd w:val="0"/>
        <w:snapToGrid w:val="0"/>
        <w:spacing w:line="360" w:lineRule="auto"/>
        <w:rPr>
          <w:rFonts w:hint="default" w:ascii="Calibri" w:hAnsi="Calibri" w:eastAsia="宋体" w:cs="Calibri"/>
          <w:bCs/>
          <w:snapToGrid w:val="0"/>
          <w:color w:val="000000"/>
          <w:kern w:val="0"/>
          <w:sz w:val="20"/>
          <w:szCs w:val="20"/>
          <w:lang w:bidi="en-US"/>
        </w:rPr>
      </w:pPr>
    </w:p>
    <w:p w14:paraId="0D61EA23">
      <w:pPr>
        <w:widowControl/>
        <w:adjustRightInd w:val="0"/>
        <w:snapToGrid w:val="0"/>
        <w:spacing w:line="360" w:lineRule="auto"/>
        <w:rPr>
          <w:rFonts w:hint="default" w:ascii="Calibri" w:hAnsi="Calibri" w:eastAsia="宋体" w:cs="Calibri"/>
          <w:bCs/>
          <w:snapToGrid w:val="0"/>
          <w:color w:val="000000"/>
          <w:kern w:val="0"/>
          <w:sz w:val="20"/>
          <w:szCs w:val="20"/>
          <w:lang w:bidi="en-US"/>
        </w:rPr>
      </w:pPr>
      <w:r>
        <w:rPr>
          <w:rFonts w:hint="default" w:ascii="Calibri" w:hAnsi="Calibri" w:eastAsia="宋体" w:cs="Calibri"/>
          <w:b/>
          <w:snapToGrid w:val="0"/>
          <w:color w:val="000000"/>
          <w:kern w:val="0"/>
          <w:sz w:val="20"/>
          <w:szCs w:val="20"/>
          <w:lang w:bidi="en-US"/>
        </w:rPr>
        <w:t>Table S5.</w:t>
      </w:r>
      <w:r>
        <w:rPr>
          <w:rFonts w:hint="default" w:ascii="Calibri" w:hAnsi="Calibri" w:eastAsia="宋体" w:cs="Calibri"/>
          <w:bCs/>
          <w:snapToGrid w:val="0"/>
          <w:color w:val="000000"/>
          <w:kern w:val="0"/>
          <w:sz w:val="20"/>
          <w:szCs w:val="20"/>
          <w:lang w:bidi="en-US"/>
        </w:rPr>
        <w:t xml:space="preserve"> The FPKM values for all </w:t>
      </w:r>
      <w:r>
        <w:rPr>
          <w:rFonts w:hint="default" w:ascii="Calibri" w:hAnsi="Calibri" w:eastAsia="宋体" w:cs="Calibri"/>
          <w:bCs/>
          <w:i/>
          <w:iCs/>
          <w:snapToGrid w:val="0"/>
          <w:color w:val="000000"/>
          <w:kern w:val="0"/>
          <w:sz w:val="20"/>
          <w:szCs w:val="20"/>
          <w:lang w:bidi="en-US"/>
        </w:rPr>
        <w:t>T. tetragonoides</w:t>
      </w:r>
      <w:r>
        <w:rPr>
          <w:rFonts w:hint="default" w:ascii="Calibri" w:hAnsi="Calibri" w:eastAsia="宋体" w:cs="Calibri"/>
          <w:bCs/>
          <w:snapToGrid w:val="0"/>
          <w:color w:val="000000"/>
          <w:kern w:val="0"/>
          <w:sz w:val="20"/>
          <w:szCs w:val="20"/>
          <w:lang w:bidi="en-US"/>
        </w:rPr>
        <w:t xml:space="preserve"> samples’ RNA-seq assays in this study.</w:t>
      </w:r>
    </w:p>
    <w:p w14:paraId="2107043E">
      <w:pPr>
        <w:widowControl/>
        <w:adjustRightInd w:val="0"/>
        <w:snapToGrid w:val="0"/>
        <w:spacing w:line="360" w:lineRule="auto"/>
        <w:rPr>
          <w:rFonts w:hint="default" w:ascii="Calibri" w:hAnsi="Calibri" w:eastAsia="宋体" w:cs="Calibri"/>
          <w:bCs/>
          <w:snapToGrid w:val="0"/>
          <w:color w:val="000000"/>
          <w:kern w:val="0"/>
          <w:sz w:val="20"/>
          <w:szCs w:val="20"/>
          <w:lang w:bidi="en-US"/>
        </w:rPr>
      </w:pP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Palatino Linotype">
    <w:panose1 w:val="02040502050505030304"/>
    <w:charset w:val="00"/>
    <w:family w:val="roman"/>
    <w:pitch w:val="default"/>
    <w:sig w:usb0="E0000287" w:usb1="40000013" w:usb2="00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D7F"/>
    <w:rsid w:val="0005740D"/>
    <w:rsid w:val="001D214B"/>
    <w:rsid w:val="001F5BBD"/>
    <w:rsid w:val="00223A82"/>
    <w:rsid w:val="002F3D7F"/>
    <w:rsid w:val="00320A6C"/>
    <w:rsid w:val="0036606F"/>
    <w:rsid w:val="00412069"/>
    <w:rsid w:val="004F78D0"/>
    <w:rsid w:val="00514BA3"/>
    <w:rsid w:val="006D33D7"/>
    <w:rsid w:val="006D7B08"/>
    <w:rsid w:val="007633DE"/>
    <w:rsid w:val="00824D16"/>
    <w:rsid w:val="0087053D"/>
    <w:rsid w:val="009058CA"/>
    <w:rsid w:val="009A501A"/>
    <w:rsid w:val="009E719A"/>
    <w:rsid w:val="00AA7F3E"/>
    <w:rsid w:val="00AB4F3F"/>
    <w:rsid w:val="00B244F2"/>
    <w:rsid w:val="00B839AC"/>
    <w:rsid w:val="00BC76B0"/>
    <w:rsid w:val="00C10860"/>
    <w:rsid w:val="00CE3404"/>
    <w:rsid w:val="00D10AF3"/>
    <w:rsid w:val="00DA4131"/>
    <w:rsid w:val="00DC1FFC"/>
    <w:rsid w:val="00DD4FD6"/>
    <w:rsid w:val="00DD778A"/>
    <w:rsid w:val="00E22A61"/>
    <w:rsid w:val="00E37728"/>
    <w:rsid w:val="00E55B6B"/>
    <w:rsid w:val="00E60027"/>
    <w:rsid w:val="00E75341"/>
    <w:rsid w:val="00EA4D90"/>
    <w:rsid w:val="00EE2767"/>
    <w:rsid w:val="00F04F09"/>
    <w:rsid w:val="00FA7C5B"/>
    <w:rsid w:val="00FB1510"/>
    <w:rsid w:val="00FB3DAF"/>
    <w:rsid w:val="169C5A2D"/>
    <w:rsid w:val="226878E9"/>
    <w:rsid w:val="7A5B4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0" w:line="240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none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240" w:after="240" w:line="300" w:lineRule="auto"/>
      <w:ind w:firstLine="200" w:firstLineChars="200"/>
      <w:contextualSpacing/>
      <w:jc w:val="center"/>
      <w:outlineLvl w:val="0"/>
    </w:pPr>
    <w:rPr>
      <w:rFonts w:ascii="Times New Roman" w:hAnsi="Times New Roman" w:eastAsia="黑体" w:cs="Times New Roman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0"/>
    <w:autoRedefine/>
    <w:qFormat/>
    <w:uiPriority w:val="9"/>
    <w:pPr>
      <w:keepNext/>
      <w:keepLines/>
      <w:spacing w:before="480" w:after="360"/>
      <w:contextualSpacing/>
      <w:jc w:val="left"/>
      <w:outlineLvl w:val="1"/>
    </w:pPr>
    <w:rPr>
      <w:rFonts w:ascii="Times New Roman" w:hAnsi="Times New Roman" w:eastAsia="黑体" w:cs="Times New Roman"/>
      <w:b/>
      <w:bCs/>
      <w:sz w:val="28"/>
      <w:szCs w:val="32"/>
    </w:rPr>
  </w:style>
  <w:style w:type="paragraph" w:styleId="4">
    <w:name w:val="heading 3"/>
    <w:basedOn w:val="1"/>
    <w:next w:val="1"/>
    <w:link w:val="21"/>
    <w:autoRedefine/>
    <w:qFormat/>
    <w:uiPriority w:val="9"/>
    <w:pPr>
      <w:keepNext/>
      <w:keepLines/>
      <w:spacing w:before="480" w:after="120"/>
      <w:jc w:val="left"/>
      <w:outlineLvl w:val="2"/>
    </w:pPr>
    <w:rPr>
      <w:rFonts w:ascii="Times New Roman" w:hAnsi="Times New Roman" w:eastAsia="黑体" w:cs="Times New Roman"/>
      <w:bCs/>
      <w:sz w:val="24"/>
      <w:szCs w:val="32"/>
    </w:rPr>
  </w:style>
  <w:style w:type="paragraph" w:styleId="5">
    <w:name w:val="heading 4"/>
    <w:basedOn w:val="1"/>
    <w:next w:val="1"/>
    <w:link w:val="22"/>
    <w:autoRedefine/>
    <w:qFormat/>
    <w:uiPriority w:val="9"/>
    <w:pPr>
      <w:keepNext/>
      <w:keepLines/>
      <w:spacing w:before="480" w:after="120"/>
      <w:outlineLvl w:val="3"/>
    </w:pPr>
    <w:rPr>
      <w:rFonts w:ascii="Times New Roman" w:hAnsi="Times New Roman" w:eastAsia="黑体" w:cs="Times New Roman"/>
      <w:bCs/>
      <w:sz w:val="24"/>
      <w:szCs w:val="28"/>
    </w:rPr>
  </w:style>
  <w:style w:type="paragraph" w:styleId="6">
    <w:name w:val="heading 5"/>
    <w:basedOn w:val="1"/>
    <w:next w:val="1"/>
    <w:link w:val="24"/>
    <w:semiHidden/>
    <w:unhideWhenUsed/>
    <w:qFormat/>
    <w:uiPriority w:val="9"/>
    <w:pPr>
      <w:keepNext/>
      <w:keepLines/>
      <w:spacing w:before="80" w:after="40" w:line="278" w:lineRule="auto"/>
      <w:jc w:val="left"/>
      <w:outlineLvl w:val="4"/>
    </w:pPr>
    <w:rPr>
      <w:rFonts w:cstheme="majorBidi"/>
      <w:color w:val="104862" w:themeColor="accent1" w:themeShade="BF"/>
      <w:sz w:val="24"/>
      <w:szCs w:val="24"/>
      <w14:ligatures w14:val="standardContextual"/>
    </w:rPr>
  </w:style>
  <w:style w:type="paragraph" w:styleId="7">
    <w:name w:val="heading 6"/>
    <w:basedOn w:val="1"/>
    <w:next w:val="1"/>
    <w:link w:val="25"/>
    <w:semiHidden/>
    <w:unhideWhenUsed/>
    <w:qFormat/>
    <w:uiPriority w:val="9"/>
    <w:pPr>
      <w:keepNext/>
      <w:keepLines/>
      <w:spacing w:before="40" w:line="278" w:lineRule="auto"/>
      <w:jc w:val="left"/>
      <w:outlineLvl w:val="5"/>
    </w:pPr>
    <w:rPr>
      <w:rFonts w:cstheme="majorBidi"/>
      <w:b/>
      <w:bCs/>
      <w:color w:val="104862" w:themeColor="accent1" w:themeShade="BF"/>
      <w:sz w:val="22"/>
      <w:szCs w:val="24"/>
      <w14:ligatures w14:val="standardContextual"/>
    </w:rPr>
  </w:style>
  <w:style w:type="paragraph" w:styleId="8">
    <w:name w:val="heading 7"/>
    <w:basedOn w:val="1"/>
    <w:next w:val="1"/>
    <w:link w:val="26"/>
    <w:semiHidden/>
    <w:unhideWhenUsed/>
    <w:qFormat/>
    <w:uiPriority w:val="9"/>
    <w:pPr>
      <w:keepNext/>
      <w:keepLines/>
      <w:spacing w:before="40" w:line="278" w:lineRule="auto"/>
      <w:jc w:val="left"/>
      <w:outlineLvl w:val="6"/>
    </w:pPr>
    <w:rPr>
      <w:rFonts w:cstheme="majorBidi"/>
      <w:b/>
      <w:bCs/>
      <w:color w:val="595959" w:themeColor="text1" w:themeTint="A6"/>
      <w:sz w:val="22"/>
      <w:szCs w:val="24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9">
    <w:name w:val="heading 8"/>
    <w:basedOn w:val="1"/>
    <w:next w:val="1"/>
    <w:link w:val="27"/>
    <w:semiHidden/>
    <w:unhideWhenUsed/>
    <w:qFormat/>
    <w:uiPriority w:val="9"/>
    <w:pPr>
      <w:keepNext/>
      <w:keepLines/>
      <w:spacing w:line="278" w:lineRule="auto"/>
      <w:jc w:val="left"/>
      <w:outlineLvl w:val="7"/>
    </w:pPr>
    <w:rPr>
      <w:rFonts w:cstheme="majorBidi"/>
      <w:color w:val="595959" w:themeColor="text1" w:themeTint="A6"/>
      <w:sz w:val="22"/>
      <w:szCs w:val="24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10">
    <w:name w:val="heading 9"/>
    <w:basedOn w:val="1"/>
    <w:next w:val="1"/>
    <w:link w:val="28"/>
    <w:semiHidden/>
    <w:unhideWhenUsed/>
    <w:qFormat/>
    <w:uiPriority w:val="9"/>
    <w:pPr>
      <w:keepNext/>
      <w:keepLines/>
      <w:spacing w:line="278" w:lineRule="auto"/>
      <w:jc w:val="left"/>
      <w:outlineLvl w:val="8"/>
    </w:pPr>
    <w:rPr>
      <w:rFonts w:eastAsiaTheme="majorEastAsia" w:cstheme="majorBidi"/>
      <w:color w:val="595959" w:themeColor="text1" w:themeTint="A6"/>
      <w:sz w:val="22"/>
      <w:szCs w:val="24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8"/>
    <w:unhideWhenUsed/>
    <w:qFormat/>
    <w:uiPriority w:val="99"/>
    <w:pPr>
      <w:tabs>
        <w:tab w:val="center" w:pos="4153"/>
        <w:tab w:val="right" w:pos="8306"/>
      </w:tabs>
      <w:snapToGrid w:val="0"/>
      <w:spacing w:after="160"/>
      <w:jc w:val="left"/>
    </w:pPr>
    <w:rPr>
      <w:sz w:val="18"/>
      <w:szCs w:val="18"/>
      <w14:ligatures w14:val="standardContextual"/>
    </w:rPr>
  </w:style>
  <w:style w:type="paragraph" w:styleId="12">
    <w:name w:val="head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spacing w:after="160"/>
      <w:jc w:val="center"/>
    </w:pPr>
    <w:rPr>
      <w:sz w:val="18"/>
      <w:szCs w:val="18"/>
      <w14:ligatures w14:val="standardContextual"/>
    </w:rPr>
  </w:style>
  <w:style w:type="paragraph" w:styleId="13">
    <w:name w:val="Subtitle"/>
    <w:basedOn w:val="1"/>
    <w:next w:val="1"/>
    <w:link w:val="23"/>
    <w:autoRedefine/>
    <w:qFormat/>
    <w:uiPriority w:val="0"/>
    <w:pPr>
      <w:spacing w:line="300" w:lineRule="auto"/>
      <w:outlineLvl w:val="4"/>
    </w:pPr>
    <w:rPr>
      <w:rFonts w:ascii="Times New Roman" w:hAnsi="Times New Roman" w:eastAsia="宋体"/>
      <w:bCs/>
      <w:kern w:val="28"/>
      <w:sz w:val="24"/>
      <w:szCs w:val="32"/>
    </w:rPr>
  </w:style>
  <w:style w:type="paragraph" w:styleId="14">
    <w:name w:val="Title"/>
    <w:basedOn w:val="1"/>
    <w:next w:val="1"/>
    <w:link w:val="29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  <w14:ligatures w14:val="standardContextual"/>
    </w:rPr>
  </w:style>
  <w:style w:type="character" w:styleId="17">
    <w:name w:val="FollowedHyperlink"/>
    <w:basedOn w:val="16"/>
    <w:semiHidden/>
    <w:unhideWhenUsed/>
    <w:qFormat/>
    <w:uiPriority w:val="99"/>
    <w:rPr>
      <w:color w:val="96607D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basedOn w:val="16"/>
    <w:qFormat/>
    <w:uiPriority w:val="0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19">
    <w:name w:val="标题 1 字符"/>
    <w:link w:val="2"/>
    <w:qFormat/>
    <w:uiPriority w:val="9"/>
    <w:rPr>
      <w:rFonts w:ascii="Times New Roman" w:hAnsi="Times New Roman" w:eastAsia="黑体" w:cs="Times New Roman"/>
      <w:b/>
      <w:bCs/>
      <w:kern w:val="44"/>
      <w:sz w:val="32"/>
      <w:szCs w:val="44"/>
      <w14:ligatures w14:val="none"/>
    </w:rPr>
  </w:style>
  <w:style w:type="character" w:customStyle="1" w:styleId="20">
    <w:name w:val="标题 2 字符"/>
    <w:link w:val="3"/>
    <w:qFormat/>
    <w:uiPriority w:val="9"/>
    <w:rPr>
      <w:rFonts w:ascii="Times New Roman" w:hAnsi="Times New Roman" w:eastAsia="黑体" w:cs="Times New Roman"/>
      <w:b/>
      <w:bCs/>
      <w:sz w:val="28"/>
      <w:szCs w:val="32"/>
      <w14:ligatures w14:val="none"/>
    </w:rPr>
  </w:style>
  <w:style w:type="character" w:customStyle="1" w:styleId="21">
    <w:name w:val="标题 3 字符"/>
    <w:link w:val="4"/>
    <w:qFormat/>
    <w:uiPriority w:val="9"/>
    <w:rPr>
      <w:rFonts w:ascii="Times New Roman" w:hAnsi="Times New Roman" w:eastAsia="黑体" w:cs="Times New Roman"/>
      <w:bCs/>
      <w:sz w:val="24"/>
      <w:szCs w:val="32"/>
      <w14:ligatures w14:val="none"/>
    </w:rPr>
  </w:style>
  <w:style w:type="character" w:customStyle="1" w:styleId="22">
    <w:name w:val="标题 4 字符"/>
    <w:link w:val="5"/>
    <w:qFormat/>
    <w:uiPriority w:val="9"/>
    <w:rPr>
      <w:rFonts w:ascii="Times New Roman" w:hAnsi="Times New Roman" w:eastAsia="黑体" w:cs="Times New Roman"/>
      <w:bCs/>
      <w:sz w:val="24"/>
      <w:szCs w:val="28"/>
      <w14:ligatures w14:val="none"/>
    </w:rPr>
  </w:style>
  <w:style w:type="character" w:customStyle="1" w:styleId="23">
    <w:name w:val="副标题 字符"/>
    <w:basedOn w:val="16"/>
    <w:link w:val="13"/>
    <w:qFormat/>
    <w:uiPriority w:val="0"/>
    <w:rPr>
      <w:rFonts w:ascii="Times New Roman" w:hAnsi="Times New Roman" w:eastAsia="宋体"/>
      <w:bCs/>
      <w:kern w:val="28"/>
      <w:sz w:val="24"/>
      <w:szCs w:val="32"/>
      <w14:ligatures w14:val="none"/>
    </w:rPr>
  </w:style>
  <w:style w:type="character" w:customStyle="1" w:styleId="24">
    <w:name w:val="标题 5 字符"/>
    <w:basedOn w:val="16"/>
    <w:link w:val="6"/>
    <w:semiHidden/>
    <w:qFormat/>
    <w:uiPriority w:val="9"/>
    <w:rPr>
      <w:rFonts w:cstheme="majorBidi"/>
      <w:color w:val="104862" w:themeColor="accent1" w:themeShade="BF"/>
      <w:sz w:val="24"/>
    </w:rPr>
  </w:style>
  <w:style w:type="character" w:customStyle="1" w:styleId="25">
    <w:name w:val="标题 6 字符"/>
    <w:basedOn w:val="16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6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30">
    <w:name w:val="Quote"/>
    <w:basedOn w:val="1"/>
    <w:next w:val="1"/>
    <w:link w:val="31"/>
    <w:qFormat/>
    <w:uiPriority w:val="29"/>
    <w:pPr>
      <w:spacing w:before="160" w:after="160" w:line="278" w:lineRule="auto"/>
      <w:jc w:val="center"/>
    </w:pPr>
    <w:rPr>
      <w:i/>
      <w:iCs/>
      <w:color w:val="404040" w:themeColor="text1" w:themeTint="BF"/>
      <w:sz w:val="22"/>
      <w:szCs w:val="24"/>
      <w14:textFill>
        <w14:solidFill>
          <w14:schemeClr w14:val="tx1">
            <w14:lumMod w14:val="75000"/>
            <w14:lumOff w14:val="25000"/>
          </w14:schemeClr>
        </w14:solidFill>
      </w14:textFill>
      <w14:ligatures w14:val="standardContextual"/>
    </w:rPr>
  </w:style>
  <w:style w:type="character" w:customStyle="1" w:styleId="31">
    <w:name w:val="引用 字符"/>
    <w:basedOn w:val="16"/>
    <w:link w:val="30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2">
    <w:name w:val="List Paragraph"/>
    <w:basedOn w:val="1"/>
    <w:qFormat/>
    <w:uiPriority w:val="34"/>
    <w:pPr>
      <w:spacing w:after="160" w:line="278" w:lineRule="auto"/>
      <w:ind w:left="720"/>
      <w:contextualSpacing/>
      <w:jc w:val="left"/>
    </w:pPr>
    <w:rPr>
      <w:sz w:val="22"/>
      <w:szCs w:val="24"/>
      <w14:ligatures w14:val="standardContextual"/>
    </w:rPr>
  </w:style>
  <w:style w:type="character" w:customStyle="1" w:styleId="33">
    <w:name w:val="Intense Emphasis"/>
    <w:basedOn w:val="16"/>
    <w:qFormat/>
    <w:uiPriority w:val="21"/>
    <w:rPr>
      <w:i/>
      <w:iCs/>
      <w:color w:val="104862" w:themeColor="accent1" w:themeShade="BF"/>
    </w:rPr>
  </w:style>
  <w:style w:type="paragraph" w:styleId="34">
    <w:name w:val="Intense Quote"/>
    <w:basedOn w:val="1"/>
    <w:next w:val="1"/>
    <w:link w:val="35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 w:line="278" w:lineRule="auto"/>
      <w:ind w:left="864" w:right="864"/>
      <w:jc w:val="center"/>
    </w:pPr>
    <w:rPr>
      <w:i/>
      <w:iCs/>
      <w:color w:val="104862" w:themeColor="accent1" w:themeShade="BF"/>
      <w:sz w:val="22"/>
      <w:szCs w:val="24"/>
      <w14:ligatures w14:val="standardContextual"/>
    </w:rPr>
  </w:style>
  <w:style w:type="character" w:customStyle="1" w:styleId="35">
    <w:name w:val="明显引用 字符"/>
    <w:basedOn w:val="16"/>
    <w:link w:val="34"/>
    <w:qFormat/>
    <w:uiPriority w:val="30"/>
    <w:rPr>
      <w:i/>
      <w:iCs/>
      <w:color w:val="104862" w:themeColor="accent1" w:themeShade="BF"/>
    </w:rPr>
  </w:style>
  <w:style w:type="character" w:customStyle="1" w:styleId="36">
    <w:name w:val="Intense Reference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7">
    <w:name w:val="页眉 字符"/>
    <w:basedOn w:val="16"/>
    <w:link w:val="12"/>
    <w:qFormat/>
    <w:uiPriority w:val="99"/>
    <w:rPr>
      <w:sz w:val="18"/>
      <w:szCs w:val="18"/>
    </w:rPr>
  </w:style>
  <w:style w:type="character" w:customStyle="1" w:styleId="38">
    <w:name w:val="页脚 字符"/>
    <w:basedOn w:val="16"/>
    <w:link w:val="11"/>
    <w:qFormat/>
    <w:uiPriority w:val="99"/>
    <w:rPr>
      <w:sz w:val="18"/>
      <w:szCs w:val="18"/>
    </w:rPr>
  </w:style>
  <w:style w:type="paragraph" w:customStyle="1" w:styleId="39">
    <w:name w:val="MDPI_1.3_authornames"/>
    <w:basedOn w:val="1"/>
    <w:next w:val="1"/>
    <w:autoRedefine/>
    <w:qFormat/>
    <w:uiPriority w:val="0"/>
    <w:pPr>
      <w:widowControl/>
      <w:adjustRightInd w:val="0"/>
      <w:snapToGrid w:val="0"/>
      <w:spacing w:after="120" w:line="260" w:lineRule="atLeast"/>
      <w:jc w:val="left"/>
    </w:pPr>
    <w:rPr>
      <w:rFonts w:ascii="Palatino Linotype" w:hAnsi="Palatino Linotype" w:eastAsia="Times New Roman" w:cs="Times New Roman"/>
      <w:b/>
      <w:color w:val="000000"/>
      <w:kern w:val="0"/>
      <w:sz w:val="20"/>
      <w:lang w:eastAsia="de-DE" w:bidi="en-US"/>
    </w:rPr>
  </w:style>
  <w:style w:type="character" w:customStyle="1" w:styleId="40">
    <w:name w:val="Unresolved Mention"/>
    <w:basedOn w:val="1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AD1722-EB70-4063-A31A-E021F97C913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345</Words>
  <Characters>2129</Characters>
  <Lines>23</Lines>
  <Paragraphs>6</Paragraphs>
  <TotalTime>1</TotalTime>
  <ScaleCrop>false</ScaleCrop>
  <LinksUpToDate>false</LinksUpToDate>
  <CharactersWithSpaces>2453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2025-06-07T09:47:00Z</dcterms:created>
  <dc:creator>丽沙 曹</dc:creator>
  <cp:lastModifiedBy>Mei Zhang</cp:lastModifiedBy>
  <dcterms:modified xsi:type="dcterms:W3CDTF">2025-07-16T06:28:01Z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eyJoZGlkIjoiMjg1NWVmZmUwNDRmOGJkZTFlZWNiNzcxODhhZmNiODkiLCJ1c2VySWQiOiI5ODM5NjM4OTAifQ==</vt:lpwstr>
  </property>
  <property fmtid="{D5CDD505-2E9C-101B-9397-08002B2CF9AE}" pid="3" name="KSOProductBuildVer">
    <vt:lpwstr>2052-12.1.0.21915</vt:lpwstr>
  </property>
  <property fmtid="{D5CDD505-2E9C-101B-9397-08002B2CF9AE}" pid="4" name="ICV">
    <vt:lpwstr>F80428D4BF24442FBB0F747776AA3034_12</vt:lpwstr>
  </property>
</Properties>
</file>