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9774C" w14:textId="77777777" w:rsidR="00EA0EA8" w:rsidRDefault="00EA0EA8" w:rsidP="00EA0EA8">
      <w:pPr>
        <w:pStyle w:val="MDPI22heading2"/>
        <w:spacing w:beforeLines="60" w:before="144" w:afterLines="60" w:after="144"/>
        <w:ind w:left="0"/>
        <w:jc w:val="both"/>
        <w:rPr>
          <w:rFonts w:eastAsia="URWPalladioL-Ital"/>
          <w:b/>
          <w:bCs/>
          <w:i w:val="0"/>
          <w:iCs/>
          <w:sz w:val="24"/>
          <w:szCs w:val="24"/>
        </w:rPr>
      </w:pPr>
    </w:p>
    <w:p w14:paraId="7CC62A0C" w14:textId="77777777" w:rsidR="00EA0EA8" w:rsidRDefault="00EA0EA8" w:rsidP="00EA0EA8">
      <w:pPr>
        <w:pStyle w:val="MDPI22heading2"/>
        <w:spacing w:beforeLines="60" w:before="144" w:afterLines="60" w:after="144"/>
        <w:ind w:left="0"/>
        <w:jc w:val="both"/>
        <w:rPr>
          <w:rFonts w:eastAsia="URWPalladioL-Ital"/>
          <w:b/>
          <w:bCs/>
          <w:i w:val="0"/>
          <w:iCs/>
          <w:sz w:val="24"/>
          <w:szCs w:val="24"/>
        </w:rPr>
      </w:pPr>
    </w:p>
    <w:p w14:paraId="38E2A469" w14:textId="77777777" w:rsidR="00EA0EA8" w:rsidRDefault="00EA0EA8" w:rsidP="00EA0EA8">
      <w:pPr>
        <w:pStyle w:val="MDPI22heading2"/>
        <w:spacing w:beforeLines="60" w:before="144" w:afterLines="60" w:after="144"/>
        <w:ind w:left="0"/>
        <w:jc w:val="both"/>
        <w:rPr>
          <w:rFonts w:eastAsia="URWPalladioL-Ital"/>
          <w:b/>
          <w:bCs/>
          <w:i w:val="0"/>
          <w:iCs/>
          <w:sz w:val="24"/>
          <w:szCs w:val="24"/>
        </w:rPr>
      </w:pPr>
    </w:p>
    <w:p w14:paraId="09EAAF0B" w14:textId="77777777" w:rsidR="00EA0EA8" w:rsidRDefault="00EA0EA8" w:rsidP="00EA0EA8">
      <w:pPr>
        <w:pStyle w:val="MDPI22heading2"/>
        <w:spacing w:beforeLines="60" w:before="144" w:afterLines="60" w:after="144"/>
        <w:ind w:left="0"/>
        <w:jc w:val="both"/>
        <w:rPr>
          <w:rFonts w:eastAsia="URWPalladioL-Ital"/>
          <w:b/>
          <w:bCs/>
          <w:i w:val="0"/>
          <w:iCs/>
          <w:sz w:val="24"/>
          <w:szCs w:val="24"/>
        </w:rPr>
      </w:pPr>
    </w:p>
    <w:p w14:paraId="2FA27CE1" w14:textId="77777777" w:rsidR="00EA0EA8" w:rsidRDefault="00EA0EA8" w:rsidP="00EA0EA8">
      <w:pPr>
        <w:pStyle w:val="MDPI22heading2"/>
        <w:spacing w:beforeLines="60" w:before="144" w:afterLines="60" w:after="144"/>
        <w:ind w:left="0"/>
        <w:jc w:val="both"/>
        <w:rPr>
          <w:rFonts w:eastAsia="URWPalladioL-Ital"/>
          <w:b/>
          <w:bCs/>
          <w:i w:val="0"/>
          <w:iCs/>
          <w:sz w:val="24"/>
          <w:szCs w:val="24"/>
        </w:rPr>
      </w:pPr>
    </w:p>
    <w:p w14:paraId="4151CF5D" w14:textId="77777777" w:rsidR="00EA0EA8" w:rsidRDefault="00EA0EA8" w:rsidP="00EA0EA8">
      <w:pPr>
        <w:pStyle w:val="MDPI22heading2"/>
        <w:spacing w:beforeLines="60" w:before="144" w:afterLines="60" w:after="144"/>
        <w:ind w:left="0"/>
        <w:jc w:val="both"/>
        <w:rPr>
          <w:rFonts w:eastAsia="URWPalladioL-Ital"/>
          <w:b/>
          <w:bCs/>
          <w:i w:val="0"/>
          <w:iCs/>
          <w:sz w:val="24"/>
          <w:szCs w:val="24"/>
        </w:rPr>
      </w:pPr>
    </w:p>
    <w:p w14:paraId="0F9EA276" w14:textId="77777777" w:rsidR="00EA0EA8" w:rsidRDefault="00EA0EA8" w:rsidP="00EA0EA8">
      <w:pPr>
        <w:pStyle w:val="MDPI22heading2"/>
        <w:spacing w:beforeLines="60" w:before="144" w:afterLines="60" w:after="144"/>
        <w:ind w:left="0"/>
        <w:jc w:val="both"/>
        <w:rPr>
          <w:rFonts w:eastAsia="URWPalladioL-Ital"/>
          <w:b/>
          <w:bCs/>
          <w:i w:val="0"/>
          <w:iCs/>
          <w:sz w:val="24"/>
          <w:szCs w:val="24"/>
        </w:rPr>
      </w:pPr>
    </w:p>
    <w:p w14:paraId="385DBC0E" w14:textId="77777777" w:rsidR="00EA0EA8" w:rsidRDefault="00EA0EA8" w:rsidP="00EA0EA8">
      <w:pPr>
        <w:pStyle w:val="MDPI22heading2"/>
        <w:spacing w:beforeLines="60" w:before="144" w:afterLines="60" w:after="144"/>
        <w:ind w:left="0"/>
        <w:jc w:val="both"/>
        <w:rPr>
          <w:rFonts w:eastAsia="URWPalladioL-Ital"/>
          <w:b/>
          <w:bCs/>
          <w:i w:val="0"/>
          <w:iCs/>
          <w:sz w:val="24"/>
          <w:szCs w:val="24"/>
        </w:rPr>
      </w:pPr>
    </w:p>
    <w:p w14:paraId="158F262C" w14:textId="77777777" w:rsidR="00EA0EA8" w:rsidRDefault="00EA0EA8" w:rsidP="00EA0EA8">
      <w:pPr>
        <w:pStyle w:val="MDPI22heading2"/>
        <w:spacing w:beforeLines="60" w:before="144" w:afterLines="60" w:after="144"/>
        <w:ind w:left="0"/>
        <w:jc w:val="both"/>
        <w:rPr>
          <w:rFonts w:eastAsia="URWPalladioL-Ital"/>
          <w:b/>
          <w:bCs/>
          <w:i w:val="0"/>
          <w:iCs/>
          <w:sz w:val="24"/>
          <w:szCs w:val="24"/>
        </w:rPr>
      </w:pPr>
    </w:p>
    <w:p w14:paraId="76B30398" w14:textId="587181D8" w:rsidR="005A087E" w:rsidRPr="00EA0EA8" w:rsidRDefault="005A087E" w:rsidP="00EA0EA8">
      <w:pPr>
        <w:pStyle w:val="MDPI22heading2"/>
        <w:spacing w:beforeLines="60" w:before="144" w:afterLines="60" w:after="144"/>
        <w:ind w:left="0"/>
        <w:jc w:val="center"/>
        <w:rPr>
          <w:rFonts w:eastAsia="URWPalladioL-Ital"/>
          <w:b/>
          <w:bCs/>
          <w:i w:val="0"/>
          <w:iCs/>
          <w:sz w:val="24"/>
          <w:szCs w:val="24"/>
        </w:rPr>
      </w:pPr>
      <w:r w:rsidRPr="00EA0EA8">
        <w:rPr>
          <w:rFonts w:eastAsia="URWPalladioL-Ital"/>
          <w:b/>
          <w:bCs/>
          <w:i w:val="0"/>
          <w:iCs/>
          <w:sz w:val="24"/>
          <w:szCs w:val="24"/>
        </w:rPr>
        <w:t>Appendix A.1 Search terms</w:t>
      </w:r>
    </w:p>
    <w:p w14:paraId="19A3376D" w14:textId="4851FC45" w:rsidR="005A087E" w:rsidRPr="00EA0EA8" w:rsidRDefault="005A087E" w:rsidP="00EA0EA8">
      <w:pPr>
        <w:pStyle w:val="MDPI22heading2"/>
        <w:spacing w:beforeLines="60" w:before="144" w:afterLines="60" w:after="144"/>
        <w:ind w:left="0"/>
        <w:jc w:val="center"/>
        <w:rPr>
          <w:b/>
          <w:bCs/>
          <w:i w:val="0"/>
          <w:iCs/>
          <w:sz w:val="24"/>
          <w:szCs w:val="24"/>
        </w:rPr>
      </w:pPr>
      <w:r w:rsidRPr="00EA0EA8">
        <w:rPr>
          <w:b/>
          <w:bCs/>
          <w:i w:val="0"/>
          <w:iCs/>
          <w:sz w:val="24"/>
          <w:szCs w:val="24"/>
        </w:rPr>
        <w:t>Table S1</w:t>
      </w:r>
      <w:r w:rsidRPr="00EA0EA8">
        <w:rPr>
          <w:b/>
          <w:bCs/>
          <w:sz w:val="24"/>
          <w:szCs w:val="24"/>
        </w:rPr>
        <w:t xml:space="preserve">. </w:t>
      </w:r>
      <w:r w:rsidRPr="00EA0EA8">
        <w:rPr>
          <w:b/>
          <w:bCs/>
          <w:i w:val="0"/>
          <w:iCs/>
          <w:sz w:val="24"/>
          <w:szCs w:val="24"/>
        </w:rPr>
        <w:t>Continuation of table 1 included RCTs different time of outcome remission rates</w:t>
      </w:r>
    </w:p>
    <w:p w14:paraId="51F82176" w14:textId="77777777" w:rsidR="005A087E" w:rsidRPr="00EA0EA8" w:rsidRDefault="005A087E" w:rsidP="00EA0EA8">
      <w:pPr>
        <w:spacing w:beforeLines="60" w:before="144" w:afterLines="60" w:after="144"/>
        <w:jc w:val="center"/>
        <w:rPr>
          <w:b/>
          <w:bCs/>
          <w:sz w:val="24"/>
          <w:szCs w:val="24"/>
        </w:rPr>
      </w:pPr>
      <w:r w:rsidRPr="00EA0EA8">
        <w:rPr>
          <w:b/>
          <w:bCs/>
          <w:sz w:val="24"/>
          <w:szCs w:val="24"/>
        </w:rPr>
        <w:t>Table S2. Detailed adverse events reported from included RCTs</w:t>
      </w:r>
    </w:p>
    <w:p w14:paraId="3A6CBE97" w14:textId="77777777" w:rsidR="005A087E" w:rsidRPr="00EA0EA8" w:rsidRDefault="005A087E" w:rsidP="00EA0EA8">
      <w:pPr>
        <w:spacing w:beforeLines="60" w:before="144" w:afterLines="60" w:after="144"/>
        <w:jc w:val="center"/>
        <w:rPr>
          <w:b/>
          <w:bCs/>
          <w:sz w:val="24"/>
          <w:szCs w:val="24"/>
        </w:rPr>
      </w:pPr>
      <w:r w:rsidRPr="00EA0EA8">
        <w:rPr>
          <w:b/>
          <w:bCs/>
          <w:sz w:val="24"/>
          <w:szCs w:val="24"/>
        </w:rPr>
        <w:t>Table S3. GRADE Assessment of evidence quality for CD and UC clinical outcomes</w:t>
      </w:r>
    </w:p>
    <w:p w14:paraId="436B56A5" w14:textId="77777777" w:rsidR="005A087E" w:rsidRPr="00EA0EA8" w:rsidRDefault="005A087E" w:rsidP="00EA0EA8">
      <w:pPr>
        <w:spacing w:beforeLines="60" w:before="144" w:afterLines="60" w:after="144"/>
        <w:jc w:val="center"/>
        <w:rPr>
          <w:b/>
          <w:bCs/>
          <w:sz w:val="24"/>
          <w:szCs w:val="24"/>
        </w:rPr>
      </w:pPr>
      <w:r w:rsidRPr="00EA0EA8">
        <w:rPr>
          <w:b/>
          <w:bCs/>
          <w:sz w:val="24"/>
          <w:szCs w:val="24"/>
        </w:rPr>
        <w:t>Table S4. Sensitivity analysis of included RCTs</w:t>
      </w:r>
    </w:p>
    <w:p w14:paraId="70ADB5B4" w14:textId="77777777" w:rsidR="005A087E" w:rsidRPr="00EA0EA8" w:rsidRDefault="005A087E" w:rsidP="00EA0EA8">
      <w:pPr>
        <w:pStyle w:val="MDPI21heading1"/>
        <w:spacing w:beforeLines="60" w:before="144" w:afterLines="60" w:after="144"/>
        <w:ind w:left="0"/>
        <w:jc w:val="center"/>
        <w:rPr>
          <w:bCs/>
          <w:szCs w:val="24"/>
          <w:lang w:eastAsia="zh-CN"/>
        </w:rPr>
      </w:pPr>
      <w:r w:rsidRPr="00EA0EA8">
        <w:rPr>
          <w:bCs/>
          <w:szCs w:val="24"/>
          <w:lang w:eastAsia="zh-CN"/>
        </w:rPr>
        <w:t>Figure S1. Risk of bias graph</w:t>
      </w:r>
    </w:p>
    <w:p w14:paraId="637C8D67" w14:textId="77777777" w:rsidR="005A087E" w:rsidRPr="00EA0EA8" w:rsidRDefault="005A087E" w:rsidP="00EA0EA8">
      <w:pPr>
        <w:pStyle w:val="MDPI21heading1"/>
        <w:spacing w:beforeLines="60" w:before="144" w:afterLines="60" w:after="144"/>
        <w:ind w:left="0"/>
        <w:jc w:val="center"/>
        <w:rPr>
          <w:bCs/>
          <w:szCs w:val="24"/>
        </w:rPr>
      </w:pPr>
      <w:r w:rsidRPr="00EA0EA8">
        <w:rPr>
          <w:bCs/>
          <w:szCs w:val="24"/>
        </w:rPr>
        <w:t>Figure S2. Risk of bias summary</w:t>
      </w:r>
    </w:p>
    <w:p w14:paraId="2E8E4DE1" w14:textId="77777777" w:rsidR="00EA0EA8" w:rsidRPr="00EA0EA8" w:rsidRDefault="00EA0EA8" w:rsidP="00EA0EA8">
      <w:pPr>
        <w:jc w:val="center"/>
        <w:rPr>
          <w:b/>
          <w:bCs/>
          <w:sz w:val="24"/>
          <w:szCs w:val="24"/>
        </w:rPr>
      </w:pPr>
      <w:r w:rsidRPr="00EA0EA8">
        <w:rPr>
          <w:b/>
          <w:bCs/>
          <w:sz w:val="24"/>
          <w:szCs w:val="24"/>
        </w:rPr>
        <w:t>Figure S3. Funnel plot assessment and egger’s regression test of publication bias</w:t>
      </w:r>
    </w:p>
    <w:p w14:paraId="3A798C5F" w14:textId="77777777" w:rsidR="005A087E" w:rsidRPr="00597C11" w:rsidRDefault="005A087E" w:rsidP="005A087E">
      <w:pPr>
        <w:pStyle w:val="MDPI21heading1"/>
        <w:ind w:left="0"/>
        <w:rPr>
          <w:b w:val="0"/>
          <w:bCs/>
          <w:sz w:val="20"/>
          <w:szCs w:val="20"/>
          <w:lang w:eastAsia="zh-CN"/>
        </w:rPr>
      </w:pPr>
    </w:p>
    <w:p w14:paraId="2ADCB8E3" w14:textId="77777777" w:rsidR="005A087E" w:rsidRPr="00191A47" w:rsidRDefault="005A087E" w:rsidP="005A087E"/>
    <w:p w14:paraId="071E8F51" w14:textId="77777777" w:rsidR="005A087E" w:rsidRDefault="005A087E" w:rsidP="005A087E"/>
    <w:p w14:paraId="63B237D2" w14:textId="77777777" w:rsidR="005A087E" w:rsidRDefault="005A087E" w:rsidP="00AD0E3B">
      <w:pPr>
        <w:pStyle w:val="MDPI22heading2"/>
        <w:ind w:left="0"/>
        <w:jc w:val="both"/>
        <w:rPr>
          <w:rFonts w:eastAsia="URWPalladioL-Ital"/>
          <w:i w:val="0"/>
          <w:iCs/>
        </w:rPr>
      </w:pPr>
    </w:p>
    <w:p w14:paraId="60B08292" w14:textId="77777777" w:rsidR="005A087E" w:rsidRPr="005A087E" w:rsidRDefault="005A087E" w:rsidP="00AD0E3B">
      <w:pPr>
        <w:pStyle w:val="MDPI22heading2"/>
        <w:ind w:left="0"/>
        <w:jc w:val="both"/>
        <w:rPr>
          <w:rFonts w:eastAsia="URWPalladioL-Ital"/>
          <w:b/>
          <w:bCs/>
          <w:i w:val="0"/>
          <w:iCs/>
        </w:rPr>
      </w:pPr>
    </w:p>
    <w:p w14:paraId="6064BBCE" w14:textId="77777777" w:rsidR="005A087E" w:rsidRDefault="005A087E" w:rsidP="00AD0E3B">
      <w:pPr>
        <w:pStyle w:val="MDPI22heading2"/>
        <w:ind w:left="0"/>
        <w:jc w:val="both"/>
        <w:rPr>
          <w:rFonts w:eastAsia="URWPalladioL-Ital"/>
        </w:rPr>
      </w:pPr>
    </w:p>
    <w:p w14:paraId="09870923" w14:textId="77777777" w:rsidR="005A087E" w:rsidRDefault="005A087E" w:rsidP="00AD0E3B">
      <w:pPr>
        <w:pStyle w:val="MDPI22heading2"/>
        <w:ind w:left="0"/>
        <w:jc w:val="both"/>
        <w:rPr>
          <w:rFonts w:eastAsia="URWPalladioL-Ital"/>
        </w:rPr>
      </w:pPr>
    </w:p>
    <w:p w14:paraId="7C449A96" w14:textId="77777777" w:rsidR="005A087E" w:rsidRDefault="005A087E" w:rsidP="00AD0E3B">
      <w:pPr>
        <w:pStyle w:val="MDPI22heading2"/>
        <w:ind w:left="0"/>
        <w:jc w:val="both"/>
        <w:rPr>
          <w:rFonts w:eastAsia="URWPalladioL-Ital"/>
        </w:rPr>
      </w:pPr>
    </w:p>
    <w:p w14:paraId="55040508" w14:textId="77777777" w:rsidR="005A087E" w:rsidRDefault="005A087E" w:rsidP="00AD0E3B">
      <w:pPr>
        <w:pStyle w:val="MDPI22heading2"/>
        <w:ind w:left="0"/>
        <w:jc w:val="both"/>
        <w:rPr>
          <w:rFonts w:eastAsia="URWPalladioL-Ital"/>
        </w:rPr>
      </w:pPr>
    </w:p>
    <w:p w14:paraId="7BE40C04" w14:textId="77777777" w:rsidR="005A087E" w:rsidRDefault="005A087E" w:rsidP="00AD0E3B">
      <w:pPr>
        <w:pStyle w:val="MDPI22heading2"/>
        <w:ind w:left="0"/>
        <w:jc w:val="both"/>
        <w:rPr>
          <w:rFonts w:eastAsia="URWPalladioL-Ital"/>
        </w:rPr>
      </w:pPr>
    </w:p>
    <w:p w14:paraId="2AF803AF" w14:textId="77777777" w:rsidR="005A087E" w:rsidRDefault="005A087E" w:rsidP="00AD0E3B">
      <w:pPr>
        <w:pStyle w:val="MDPI22heading2"/>
        <w:ind w:left="0"/>
        <w:jc w:val="both"/>
        <w:rPr>
          <w:rFonts w:eastAsia="URWPalladioL-Ital"/>
        </w:rPr>
      </w:pPr>
    </w:p>
    <w:p w14:paraId="5CAFAB7E" w14:textId="77777777" w:rsidR="005A087E" w:rsidRDefault="005A087E" w:rsidP="00AD0E3B">
      <w:pPr>
        <w:pStyle w:val="MDPI22heading2"/>
        <w:ind w:left="0"/>
        <w:jc w:val="both"/>
        <w:rPr>
          <w:rFonts w:eastAsia="URWPalladioL-Ital"/>
        </w:rPr>
      </w:pPr>
    </w:p>
    <w:p w14:paraId="55EBDBB7" w14:textId="77777777" w:rsidR="005A087E" w:rsidRDefault="005A087E" w:rsidP="00AD0E3B">
      <w:pPr>
        <w:pStyle w:val="MDPI22heading2"/>
        <w:ind w:left="0"/>
        <w:jc w:val="both"/>
        <w:rPr>
          <w:rFonts w:eastAsia="URWPalladioL-Ital"/>
        </w:rPr>
      </w:pPr>
    </w:p>
    <w:p w14:paraId="462E2499" w14:textId="77777777" w:rsidR="00EA0EA8" w:rsidRDefault="00EA0EA8" w:rsidP="00AD0E3B">
      <w:pPr>
        <w:pStyle w:val="MDPI22heading2"/>
        <w:ind w:left="0"/>
        <w:jc w:val="both"/>
        <w:rPr>
          <w:rFonts w:eastAsia="URWPalladioL-Ital"/>
        </w:rPr>
      </w:pPr>
    </w:p>
    <w:p w14:paraId="15DFECE5" w14:textId="77777777" w:rsidR="00EA0EA8" w:rsidRDefault="00EA0EA8" w:rsidP="00AD0E3B">
      <w:pPr>
        <w:pStyle w:val="MDPI22heading2"/>
        <w:ind w:left="0"/>
        <w:jc w:val="both"/>
        <w:rPr>
          <w:rFonts w:eastAsia="URWPalladioL-Ital"/>
        </w:rPr>
      </w:pPr>
    </w:p>
    <w:p w14:paraId="747F0543" w14:textId="13685C36" w:rsidR="00AD0E3B" w:rsidRPr="00CA6B49" w:rsidRDefault="00BF1E32" w:rsidP="00AD0E3B">
      <w:pPr>
        <w:pStyle w:val="MDPI22heading2"/>
        <w:ind w:left="0"/>
        <w:jc w:val="both"/>
      </w:pPr>
      <w:r>
        <w:rPr>
          <w:rFonts w:eastAsia="URWPalladioL-Ital"/>
        </w:rPr>
        <w:lastRenderedPageBreak/>
        <w:t xml:space="preserve">Supplementary </w:t>
      </w:r>
      <w:r w:rsidR="00AD0E3B" w:rsidRPr="00CA6B49">
        <w:rPr>
          <w:rFonts w:eastAsia="URWPalladioL-Ital"/>
        </w:rPr>
        <w:t>Appendix A.1</w:t>
      </w:r>
      <w:r w:rsidR="005A087E">
        <w:rPr>
          <w:rFonts w:eastAsia="URWPalladioL-Ital"/>
        </w:rPr>
        <w:t xml:space="preserve"> </w:t>
      </w:r>
    </w:p>
    <w:p w14:paraId="47F9C477" w14:textId="7F428FBB" w:rsidR="00AD0E3B" w:rsidRPr="00164B52" w:rsidRDefault="00AD0E3B" w:rsidP="00AD0E3B">
      <w:pPr>
        <w:pStyle w:val="MDPI21heading1"/>
        <w:ind w:left="0"/>
        <w:jc w:val="both"/>
        <w:rPr>
          <w:b w:val="0"/>
          <w:bCs/>
          <w:i/>
          <w:iCs/>
          <w:sz w:val="20"/>
          <w:szCs w:val="20"/>
        </w:rPr>
      </w:pPr>
      <w:r w:rsidRPr="00164B52">
        <w:rPr>
          <w:b w:val="0"/>
          <w:bCs/>
          <w:i/>
          <w:iCs/>
          <w:sz w:val="20"/>
          <w:szCs w:val="20"/>
        </w:rPr>
        <w:t>Search terms</w:t>
      </w:r>
    </w:p>
    <w:p w14:paraId="059AB5A5" w14:textId="011CE13D" w:rsidR="00E73ACC" w:rsidRPr="005A087E" w:rsidRDefault="00AD0E3B" w:rsidP="005A087E">
      <w:pPr>
        <w:pStyle w:val="MDPI21heading1"/>
        <w:ind w:left="0"/>
        <w:jc w:val="both"/>
        <w:rPr>
          <w:b w:val="0"/>
          <w:bCs/>
          <w:sz w:val="20"/>
          <w:szCs w:val="20"/>
        </w:rPr>
        <w:sectPr w:rsidR="00E73ACC" w:rsidRPr="005A087E" w:rsidSect="00E73AC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E5526">
        <w:rPr>
          <w:b w:val="0"/>
          <w:bCs/>
          <w:sz w:val="20"/>
          <w:szCs w:val="20"/>
        </w:rPr>
        <w:t xml:space="preserve">(TS=(“Inflammatory Bowel Diseases”) OR AB=(Crohn's Disease OR </w:t>
      </w:r>
      <w:proofErr w:type="spellStart"/>
      <w:r w:rsidRPr="006E5526">
        <w:rPr>
          <w:b w:val="0"/>
          <w:bCs/>
          <w:sz w:val="20"/>
          <w:szCs w:val="20"/>
        </w:rPr>
        <w:t>Crohns</w:t>
      </w:r>
      <w:proofErr w:type="spellEnd"/>
      <w:r w:rsidRPr="006E5526">
        <w:rPr>
          <w:b w:val="0"/>
          <w:bCs/>
          <w:sz w:val="20"/>
          <w:szCs w:val="20"/>
        </w:rPr>
        <w:t xml:space="preserve"> Disease OR Crohn's Enteritis OR Regional Enteritis OR </w:t>
      </w:r>
      <w:proofErr w:type="spellStart"/>
      <w:r w:rsidRPr="006E5526">
        <w:rPr>
          <w:b w:val="0"/>
          <w:bCs/>
          <w:sz w:val="20"/>
          <w:szCs w:val="20"/>
        </w:rPr>
        <w:t>Ileocolitis</w:t>
      </w:r>
      <w:proofErr w:type="spellEnd"/>
      <w:r w:rsidRPr="006E5526">
        <w:rPr>
          <w:b w:val="0"/>
          <w:bCs/>
          <w:sz w:val="20"/>
          <w:szCs w:val="20"/>
        </w:rPr>
        <w:t xml:space="preserve"> OR Terminal Ileitis OR Regional </w:t>
      </w:r>
      <w:proofErr w:type="spellStart"/>
      <w:r w:rsidRPr="006E5526">
        <w:rPr>
          <w:b w:val="0"/>
          <w:bCs/>
          <w:sz w:val="20"/>
          <w:szCs w:val="20"/>
        </w:rPr>
        <w:t>Ileitides</w:t>
      </w:r>
      <w:proofErr w:type="spellEnd"/>
      <w:r w:rsidRPr="006E5526">
        <w:rPr>
          <w:b w:val="0"/>
          <w:bCs/>
          <w:sz w:val="20"/>
          <w:szCs w:val="20"/>
        </w:rPr>
        <w:t xml:space="preserve"> OR Regional Ileitis OR Granulomatous Enteritis OR Granulomatous Colitis  OR Colitis Gravis OR Idiopathic Proctocolitis OR Inflammatory Bowel Disease, Ulcerative Colitis Type OR Ulcerative Colitis)) AND (TS=(“Infliximab”) OR AB=(Monoclonal Antibody cA2 OR </w:t>
      </w:r>
      <w:proofErr w:type="spellStart"/>
      <w:r w:rsidRPr="006E5526">
        <w:rPr>
          <w:b w:val="0"/>
          <w:bCs/>
          <w:sz w:val="20"/>
          <w:szCs w:val="20"/>
        </w:rPr>
        <w:t>MAb</w:t>
      </w:r>
      <w:proofErr w:type="spellEnd"/>
      <w:r w:rsidRPr="006E5526">
        <w:rPr>
          <w:b w:val="0"/>
          <w:bCs/>
          <w:sz w:val="20"/>
          <w:szCs w:val="20"/>
        </w:rPr>
        <w:t xml:space="preserve"> cA2 OR Remicade OR </w:t>
      </w:r>
      <w:proofErr w:type="spellStart"/>
      <w:r w:rsidRPr="006E5526">
        <w:rPr>
          <w:b w:val="0"/>
          <w:bCs/>
          <w:sz w:val="20"/>
          <w:szCs w:val="20"/>
        </w:rPr>
        <w:t>Inflectra</w:t>
      </w:r>
      <w:proofErr w:type="spellEnd"/>
      <w:r w:rsidRPr="006E5526">
        <w:rPr>
          <w:b w:val="0"/>
          <w:bCs/>
          <w:sz w:val="20"/>
          <w:szCs w:val="20"/>
        </w:rPr>
        <w:t xml:space="preserve"> OR </w:t>
      </w:r>
      <w:proofErr w:type="spellStart"/>
      <w:r w:rsidRPr="006E5526">
        <w:rPr>
          <w:b w:val="0"/>
          <w:bCs/>
          <w:sz w:val="20"/>
          <w:szCs w:val="20"/>
        </w:rPr>
        <w:t>Renflexis</w:t>
      </w:r>
      <w:proofErr w:type="spellEnd"/>
      <w:r w:rsidRPr="006E5526">
        <w:rPr>
          <w:b w:val="0"/>
          <w:bCs/>
          <w:sz w:val="20"/>
          <w:szCs w:val="20"/>
        </w:rPr>
        <w:t xml:space="preserve"> OR Infliximab </w:t>
      </w:r>
      <w:proofErr w:type="spellStart"/>
      <w:r w:rsidRPr="006E5526">
        <w:rPr>
          <w:b w:val="0"/>
          <w:bCs/>
          <w:sz w:val="20"/>
          <w:szCs w:val="20"/>
        </w:rPr>
        <w:t>dyyb</w:t>
      </w:r>
      <w:proofErr w:type="spellEnd"/>
      <w:r w:rsidRPr="006E5526">
        <w:rPr>
          <w:b w:val="0"/>
          <w:bCs/>
          <w:sz w:val="20"/>
          <w:szCs w:val="20"/>
        </w:rPr>
        <w:t xml:space="preserve"> OR Infliximab </w:t>
      </w:r>
      <w:proofErr w:type="spellStart"/>
      <w:r w:rsidRPr="006E5526">
        <w:rPr>
          <w:b w:val="0"/>
          <w:bCs/>
          <w:sz w:val="20"/>
          <w:szCs w:val="20"/>
        </w:rPr>
        <w:t>abda</w:t>
      </w:r>
      <w:proofErr w:type="spellEnd"/>
      <w:r w:rsidRPr="006E5526">
        <w:rPr>
          <w:b w:val="0"/>
          <w:bCs/>
          <w:sz w:val="20"/>
          <w:szCs w:val="20"/>
        </w:rPr>
        <w:t>)) AND (TS=(“Azathioprine”) OR AB=(</w:t>
      </w:r>
      <w:proofErr w:type="spellStart"/>
      <w:r w:rsidRPr="006E5526">
        <w:rPr>
          <w:b w:val="0"/>
          <w:bCs/>
          <w:sz w:val="20"/>
          <w:szCs w:val="20"/>
        </w:rPr>
        <w:t>Azothioprine</w:t>
      </w:r>
      <w:proofErr w:type="spellEnd"/>
      <w:r w:rsidRPr="006E5526">
        <w:rPr>
          <w:b w:val="0"/>
          <w:bCs/>
          <w:sz w:val="20"/>
          <w:szCs w:val="20"/>
        </w:rPr>
        <w:t xml:space="preserve"> OR Imuran OR </w:t>
      </w:r>
      <w:proofErr w:type="spellStart"/>
      <w:r w:rsidRPr="006E5526">
        <w:rPr>
          <w:b w:val="0"/>
          <w:bCs/>
          <w:sz w:val="20"/>
          <w:szCs w:val="20"/>
        </w:rPr>
        <w:t>Immuran</w:t>
      </w:r>
      <w:proofErr w:type="spellEnd"/>
      <w:r w:rsidRPr="006E5526">
        <w:rPr>
          <w:b w:val="0"/>
          <w:bCs/>
          <w:sz w:val="20"/>
          <w:szCs w:val="20"/>
        </w:rPr>
        <w:t xml:space="preserve"> OR </w:t>
      </w:r>
      <w:proofErr w:type="spellStart"/>
      <w:r w:rsidRPr="006E5526">
        <w:rPr>
          <w:b w:val="0"/>
          <w:bCs/>
          <w:sz w:val="20"/>
          <w:szCs w:val="20"/>
        </w:rPr>
        <w:t>Imurel</w:t>
      </w:r>
      <w:proofErr w:type="spellEnd"/>
      <w:r w:rsidRPr="006E5526">
        <w:rPr>
          <w:b w:val="0"/>
          <w:bCs/>
          <w:sz w:val="20"/>
          <w:szCs w:val="20"/>
        </w:rPr>
        <w:t xml:space="preserve"> OR Azathioprine Sulfate OR Azathioprine Sodium OR Azathioprine Sodium Sal</w:t>
      </w:r>
    </w:p>
    <w:p w14:paraId="57E0DE96" w14:textId="322519A8" w:rsidR="00AD0E3B" w:rsidRPr="00EF5303" w:rsidRDefault="00AD0E3B" w:rsidP="00AD0E3B">
      <w:pPr>
        <w:rPr>
          <w:b/>
          <w:bCs/>
        </w:rPr>
      </w:pPr>
      <w:r w:rsidRPr="00EF5303">
        <w:rPr>
          <w:b/>
          <w:bCs/>
        </w:rPr>
        <w:lastRenderedPageBreak/>
        <w:t xml:space="preserve">Table S1. </w:t>
      </w:r>
      <w:r w:rsidRPr="00EF5303">
        <w:t xml:space="preserve">Continuation of table 1 included RCTs </w:t>
      </w:r>
      <w:r>
        <w:t>different time of outcome</w:t>
      </w:r>
      <w:r w:rsidRPr="00EF5303">
        <w:t xml:space="preserve"> </w:t>
      </w:r>
      <w:r>
        <w:t>remission rates</w:t>
      </w:r>
    </w:p>
    <w:tbl>
      <w:tblPr>
        <w:tblW w:w="0" w:type="auto"/>
        <w:tblInd w:w="-142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992"/>
        <w:gridCol w:w="992"/>
        <w:gridCol w:w="1276"/>
        <w:gridCol w:w="1418"/>
        <w:gridCol w:w="1559"/>
        <w:gridCol w:w="1134"/>
        <w:gridCol w:w="1417"/>
        <w:gridCol w:w="993"/>
        <w:gridCol w:w="694"/>
        <w:gridCol w:w="931"/>
      </w:tblGrid>
      <w:tr w:rsidR="00AD0E3B" w:rsidRPr="00EF5303" w14:paraId="0D2C0033" w14:textId="77777777" w:rsidTr="00C705A9">
        <w:trPr>
          <w:trHeight w:val="320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B00" w14:textId="77777777" w:rsidR="00AD0E3B" w:rsidRPr="00EF5303" w:rsidRDefault="00AD0E3B" w:rsidP="00C705A9">
            <w:pPr>
              <w:spacing w:after="84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Author, year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53F" w14:textId="77777777" w:rsidR="00AD0E3B" w:rsidRPr="00EF5303" w:rsidRDefault="00AD0E3B" w:rsidP="00C705A9">
            <w:pPr>
              <w:spacing w:after="2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Study type;Country</w:t>
            </w:r>
            <w:r>
              <w:rPr>
                <w:rFonts w:eastAsia="Times New Roman"/>
                <w:b/>
                <w:bCs/>
                <w:lang w:val="en-AU"/>
              </w:rPr>
              <w:t xml:space="preserve"> </w:t>
            </w:r>
            <w:r w:rsidRPr="00EF5303">
              <w:rPr>
                <w:rFonts w:eastAsia="Times New Roman"/>
                <w:b/>
                <w:bCs/>
                <w:lang w:val="en-AU"/>
              </w:rPr>
              <w:t>(number of centers)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97FD" w14:textId="77777777" w:rsidR="00AD0E3B" w:rsidRPr="00EF5303" w:rsidRDefault="00AD0E3B" w:rsidP="00C705A9">
            <w:pPr>
              <w:spacing w:after="5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Total no. of patients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7DEF" w14:textId="77777777" w:rsidR="00AD0E3B" w:rsidRPr="00EF5303" w:rsidRDefault="00AD0E3B" w:rsidP="00C705A9">
            <w:pPr>
              <w:spacing w:after="84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Disease location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F611" w14:textId="77777777" w:rsidR="00AD0E3B" w:rsidRPr="00EF5303" w:rsidRDefault="00AD0E3B" w:rsidP="00C705A9">
            <w:pPr>
              <w:spacing w:after="84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Prior Treatment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C584" w14:textId="77777777" w:rsidR="00AD0E3B" w:rsidRPr="00EF5303" w:rsidRDefault="00AD0E3B" w:rsidP="00C705A9">
            <w:pPr>
              <w:spacing w:after="5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Active intervention Dosage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1C8A" w14:textId="77777777" w:rsidR="00AD0E3B" w:rsidRPr="00EF5303" w:rsidRDefault="00AD0E3B" w:rsidP="00C705A9">
            <w:pPr>
              <w:spacing w:after="5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Maintenance remission outcomes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ADD4" w14:textId="77777777" w:rsidR="00AD0E3B" w:rsidRPr="00EF5303" w:rsidRDefault="00AD0E3B" w:rsidP="00C705A9">
            <w:pPr>
              <w:spacing w:after="84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Timing of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3BD" w14:textId="77777777" w:rsidR="00AD0E3B" w:rsidRPr="00EF5303" w:rsidRDefault="00AD0E3B" w:rsidP="00C705A9">
            <w:pPr>
              <w:spacing w:after="84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Intervention Group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C557" w14:textId="77777777" w:rsidR="00AD0E3B" w:rsidRPr="00EF5303" w:rsidRDefault="00AD0E3B" w:rsidP="00C705A9">
            <w:pPr>
              <w:spacing w:after="84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Control Group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6D6" w14:textId="77777777" w:rsidR="00AD0E3B" w:rsidRPr="00EF5303" w:rsidRDefault="00AD0E3B" w:rsidP="00C705A9">
            <w:pPr>
              <w:spacing w:after="84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IBD type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6FB9" w14:textId="77777777" w:rsidR="00AD0E3B" w:rsidRPr="00EF5303" w:rsidRDefault="00AD0E3B" w:rsidP="00C705A9">
            <w:pPr>
              <w:spacing w:after="5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EF5303">
              <w:rPr>
                <w:rFonts w:eastAsia="Times New Roman"/>
                <w:b/>
                <w:bCs/>
                <w:lang w:val="en-AU"/>
              </w:rPr>
              <w:t>Follow-up weeks</w:t>
            </w:r>
          </w:p>
        </w:tc>
      </w:tr>
      <w:tr w:rsidR="00AD0E3B" w:rsidRPr="00EF5303" w14:paraId="6D3532C1" w14:textId="77777777" w:rsidTr="00C705A9">
        <w:trPr>
          <w:trHeight w:val="320"/>
        </w:trPr>
        <w:tc>
          <w:tcPr>
            <w:tcW w:w="113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05EE5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SONIC (2010)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156423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RCT;</w:t>
            </w:r>
          </w:p>
          <w:p w14:paraId="0EAF70C1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 xml:space="preserve">multicentre; 15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54E03" w14:textId="77777777" w:rsidR="00AD0E3B" w:rsidRPr="00EF5303" w:rsidRDefault="00AD0E3B" w:rsidP="00C705A9">
            <w:pPr>
              <w:jc w:val="righ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EC83E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L1:108; L2:85; L3:137; L4:28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4D5CF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Corticosteroids, 5-ASA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2B0D29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IFX i.v. 5mg/kg at wk 0,2,6 + AZA p.o. 2.5mg/kg/day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A4C91D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 xml:space="preserve">CDAI&lt;150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C45AF8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week 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E2921E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80/108</w:t>
            </w:r>
          </w:p>
          <w:p w14:paraId="3A0C6151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(74.07%)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FE20CB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64/97</w:t>
            </w:r>
          </w:p>
          <w:p w14:paraId="3B3CC059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(65.98%)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ABDD71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CD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AF9FC" w14:textId="77777777" w:rsidR="00AD0E3B" w:rsidRPr="00EF5303" w:rsidRDefault="00AD0E3B" w:rsidP="00C705A9">
            <w:pPr>
              <w:jc w:val="righ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50</w:t>
            </w:r>
          </w:p>
        </w:tc>
      </w:tr>
      <w:tr w:rsidR="00AD0E3B" w:rsidRPr="00EF5303" w14:paraId="793BDC84" w14:textId="77777777" w:rsidTr="00C705A9">
        <w:trPr>
          <w:trHeight w:val="1439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E8F9D8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Wang et al., 2014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C5A452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RCT;</w:t>
            </w:r>
          </w:p>
          <w:p w14:paraId="393D90E4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China; 1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C5007" w14:textId="77777777" w:rsidR="00AD0E3B" w:rsidRPr="00EF5303" w:rsidRDefault="00AD0E3B" w:rsidP="00C705A9">
            <w:pPr>
              <w:jc w:val="righ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70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C6C946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Not Reported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46D20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Corticosteroids, 5-ASA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7B57A5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IFX i.v. 5mg/kg at wk 0,2,6 + AZA p.o. 2.5mg/kg/day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DE0173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 xml:space="preserve">CDAI&lt;150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EA6E91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week 26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A0B00D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20/35</w:t>
            </w:r>
          </w:p>
          <w:p w14:paraId="328EDAD5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(57.14%)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6DFDBD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15/35</w:t>
            </w:r>
          </w:p>
          <w:p w14:paraId="6FAC05C3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(42.86%)</w:t>
            </w: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65FC55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CD</w:t>
            </w:r>
          </w:p>
        </w:tc>
        <w:tc>
          <w:tcPr>
            <w:tcW w:w="93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8E1156" w14:textId="77777777" w:rsidR="00AD0E3B" w:rsidRPr="00EF5303" w:rsidRDefault="00AD0E3B" w:rsidP="00C705A9">
            <w:pPr>
              <w:jc w:val="righ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26</w:t>
            </w:r>
          </w:p>
        </w:tc>
      </w:tr>
      <w:tr w:rsidR="00AD0E3B" w:rsidRPr="00EF5303" w14:paraId="36DF0C23" w14:textId="77777777" w:rsidTr="00C705A9">
        <w:trPr>
          <w:trHeight w:val="1545"/>
        </w:trPr>
        <w:tc>
          <w:tcPr>
            <w:tcW w:w="1135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87B0B6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Chen et al., 2016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92FA3A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RCT;</w:t>
            </w:r>
          </w:p>
          <w:p w14:paraId="1996612F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China; 1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1B00F2" w14:textId="77777777" w:rsidR="00AD0E3B" w:rsidRPr="00EF5303" w:rsidRDefault="00AD0E3B" w:rsidP="00C705A9">
            <w:pPr>
              <w:jc w:val="righ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120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001895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L1:48; L2:15; L3:31; L4:16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BEFB6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Corticosteroids, 5-ASA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E7DBF4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IFX i.v. 5mg/kg at wk 0,2,6 + AZA p.o. 2.5mg/kg/day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DFA60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 xml:space="preserve">CDAI&lt;150 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B33CE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week 26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F3423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34/60</w:t>
            </w:r>
          </w:p>
          <w:p w14:paraId="54AFF56F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(56.67%)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67918A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25/60</w:t>
            </w:r>
          </w:p>
          <w:p w14:paraId="094762C2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(41.67%)</w:t>
            </w:r>
          </w:p>
        </w:tc>
        <w:tc>
          <w:tcPr>
            <w:tcW w:w="694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45744" w14:textId="77777777" w:rsidR="00AD0E3B" w:rsidRPr="00EF5303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CD</w:t>
            </w:r>
          </w:p>
        </w:tc>
        <w:tc>
          <w:tcPr>
            <w:tcW w:w="931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B47450" w14:textId="77777777" w:rsidR="00AD0E3B" w:rsidRPr="00EF5303" w:rsidRDefault="00AD0E3B" w:rsidP="00C705A9">
            <w:pPr>
              <w:jc w:val="right"/>
              <w:rPr>
                <w:rFonts w:eastAsia="Times New Roman"/>
                <w:lang w:val="en-AU"/>
              </w:rPr>
            </w:pPr>
            <w:r w:rsidRPr="00EF5303">
              <w:rPr>
                <w:rFonts w:eastAsia="Times New Roman"/>
                <w:lang w:val="en-AU"/>
              </w:rPr>
              <w:t>26</w:t>
            </w:r>
          </w:p>
        </w:tc>
      </w:tr>
    </w:tbl>
    <w:p w14:paraId="18A9C076" w14:textId="77777777" w:rsidR="00AD0E3B" w:rsidRPr="00EF5303" w:rsidRDefault="00AD0E3B" w:rsidP="00AD0E3B">
      <w:r w:rsidRPr="00EF5303">
        <w:t>Abbreviations:</w:t>
      </w:r>
      <w:r>
        <w:rPr>
          <w:b/>
          <w:bCs/>
        </w:rPr>
        <w:t xml:space="preserve"> </w:t>
      </w:r>
      <w:r w:rsidRPr="00EF5303">
        <w:rPr>
          <w:i/>
          <w:iCs/>
        </w:rPr>
        <w:t>L1</w:t>
      </w:r>
      <w:r w:rsidRPr="00EF5303">
        <w:t xml:space="preserve"> ileal, </w:t>
      </w:r>
      <w:r w:rsidRPr="00EF5303">
        <w:rPr>
          <w:i/>
          <w:iCs/>
        </w:rPr>
        <w:t>L2</w:t>
      </w:r>
      <w:r w:rsidRPr="00EF5303">
        <w:t xml:space="preserve"> colonic, </w:t>
      </w:r>
      <w:r w:rsidRPr="00EF5303">
        <w:rPr>
          <w:i/>
          <w:iCs/>
        </w:rPr>
        <w:t>L3</w:t>
      </w:r>
      <w:r w:rsidRPr="00EF5303">
        <w:t xml:space="preserve"> ileocolonic, </w:t>
      </w:r>
      <w:r w:rsidRPr="00EF5303">
        <w:rPr>
          <w:i/>
          <w:iCs/>
        </w:rPr>
        <w:t>L4</w:t>
      </w:r>
      <w:r w:rsidRPr="00EF5303">
        <w:t xml:space="preserve"> upper gastrointestinal tract, </w:t>
      </w:r>
      <w:r w:rsidRPr="00EF5303">
        <w:rPr>
          <w:i/>
          <w:iCs/>
        </w:rPr>
        <w:t>IBD</w:t>
      </w:r>
      <w:r w:rsidRPr="00EF5303">
        <w:t xml:space="preserve"> inflammatory bowel disease, </w:t>
      </w:r>
      <w:r w:rsidRPr="00EF5303">
        <w:rPr>
          <w:i/>
          <w:iCs/>
        </w:rPr>
        <w:t>CD</w:t>
      </w:r>
      <w:r w:rsidRPr="00EF5303">
        <w:t xml:space="preserve"> Crohn’s disease, </w:t>
      </w:r>
      <w:r w:rsidRPr="00EF5303">
        <w:rPr>
          <w:i/>
          <w:iCs/>
        </w:rPr>
        <w:t>UC</w:t>
      </w:r>
      <w:r w:rsidRPr="00EF5303">
        <w:t xml:space="preserve"> ulcerative colitis, </w:t>
      </w:r>
      <w:r w:rsidRPr="00EF5303">
        <w:rPr>
          <w:i/>
          <w:iCs/>
        </w:rPr>
        <w:t>IFX</w:t>
      </w:r>
      <w:r w:rsidRPr="00EF5303">
        <w:t xml:space="preserve"> infliximab, </w:t>
      </w:r>
      <w:r w:rsidRPr="00EF5303">
        <w:rPr>
          <w:i/>
          <w:iCs/>
        </w:rPr>
        <w:t xml:space="preserve">AZA </w:t>
      </w:r>
      <w:r w:rsidRPr="00EF5303">
        <w:t xml:space="preserve">azathioprine, </w:t>
      </w:r>
      <w:r w:rsidRPr="00EF5303">
        <w:rPr>
          <w:i/>
          <w:iCs/>
        </w:rPr>
        <w:t>5-ASA</w:t>
      </w:r>
      <w:r w:rsidRPr="00EF5303">
        <w:t xml:space="preserve"> </w:t>
      </w:r>
      <w:r w:rsidRPr="00AD0E3B">
        <w:rPr>
          <w:rStyle w:val="Strong"/>
          <w:rFonts w:eastAsiaTheme="majorEastAsia"/>
          <w:b w:val="0"/>
          <w:bCs w:val="0"/>
          <w:shd w:val="clear" w:color="auto" w:fill="FFFFFF"/>
        </w:rPr>
        <w:t>5-Aminosalicylic Acid</w:t>
      </w:r>
      <w:r w:rsidRPr="00EF5303">
        <w:rPr>
          <w:rStyle w:val="Strong"/>
          <w:rFonts w:eastAsiaTheme="majorEastAsia"/>
          <w:shd w:val="clear" w:color="auto" w:fill="FFFFFF"/>
        </w:rPr>
        <w:t xml:space="preserve">, </w:t>
      </w:r>
      <w:r w:rsidRPr="00AD0E3B">
        <w:rPr>
          <w:rStyle w:val="Strong"/>
          <w:rFonts w:eastAsiaTheme="majorEastAsia"/>
          <w:b w:val="0"/>
          <w:bCs w:val="0"/>
          <w:i/>
          <w:iCs/>
          <w:shd w:val="clear" w:color="auto" w:fill="FFFFFF"/>
        </w:rPr>
        <w:t xml:space="preserve">IS </w:t>
      </w:r>
      <w:r w:rsidRPr="00AD0E3B">
        <w:rPr>
          <w:rStyle w:val="Strong"/>
          <w:rFonts w:eastAsiaTheme="majorEastAsia"/>
          <w:b w:val="0"/>
          <w:bCs w:val="0"/>
          <w:shd w:val="clear" w:color="auto" w:fill="FFFFFF"/>
        </w:rPr>
        <w:t>immunosuppressant</w:t>
      </w:r>
      <w:r w:rsidRPr="00EF5303">
        <w:rPr>
          <w:rStyle w:val="Strong"/>
          <w:rFonts w:eastAsiaTheme="majorEastAsia"/>
          <w:shd w:val="clear" w:color="auto" w:fill="FFFFFF"/>
        </w:rPr>
        <w:t xml:space="preserve">, </w:t>
      </w:r>
      <w:r w:rsidRPr="00AD0E3B">
        <w:rPr>
          <w:rStyle w:val="Strong"/>
          <w:rFonts w:eastAsiaTheme="majorEastAsia"/>
          <w:b w:val="0"/>
          <w:bCs w:val="0"/>
          <w:i/>
          <w:iCs/>
          <w:shd w:val="clear" w:color="auto" w:fill="FFFFFF"/>
        </w:rPr>
        <w:t>i.v.</w:t>
      </w:r>
      <w:r w:rsidRPr="00AD0E3B">
        <w:rPr>
          <w:b/>
          <w:bCs/>
          <w:shd w:val="clear" w:color="auto" w:fill="FFFFFF"/>
        </w:rPr>
        <w:t>  </w:t>
      </w:r>
      <w:r w:rsidRPr="00AD0E3B">
        <w:rPr>
          <w:rStyle w:val="Strong"/>
          <w:rFonts w:eastAsiaTheme="majorEastAsia"/>
          <w:b w:val="0"/>
          <w:bCs w:val="0"/>
          <w:shd w:val="clear" w:color="auto" w:fill="FFFFFF"/>
        </w:rPr>
        <w:t>intravenous</w:t>
      </w:r>
      <w:r w:rsidRPr="00EF5303">
        <w:rPr>
          <w:shd w:val="clear" w:color="auto" w:fill="FFFFFF"/>
        </w:rPr>
        <w:t xml:space="preserve">, </w:t>
      </w:r>
      <w:r w:rsidRPr="00EF5303">
        <w:rPr>
          <w:i/>
          <w:iCs/>
          <w:shd w:val="clear" w:color="auto" w:fill="FFFFFF"/>
        </w:rPr>
        <w:t xml:space="preserve">p.o. </w:t>
      </w:r>
      <w:r w:rsidRPr="00EF5303">
        <w:rPr>
          <w:shd w:val="clear" w:color="auto" w:fill="FFFFFF"/>
        </w:rPr>
        <w:t xml:space="preserve">per os, </w:t>
      </w:r>
      <w:r w:rsidRPr="00EF5303">
        <w:rPr>
          <w:i/>
          <w:iCs/>
          <w:shd w:val="clear" w:color="auto" w:fill="FFFFFF"/>
        </w:rPr>
        <w:t>CDAI</w:t>
      </w:r>
      <w:r w:rsidRPr="00EF5303">
        <w:rPr>
          <w:shd w:val="clear" w:color="auto" w:fill="FFFFFF"/>
        </w:rPr>
        <w:t xml:space="preserve"> Crohn’s disease activity index, </w:t>
      </w:r>
      <w:r w:rsidRPr="00EF5303">
        <w:rPr>
          <w:i/>
          <w:iCs/>
          <w:shd w:val="clear" w:color="auto" w:fill="FFFFFF"/>
        </w:rPr>
        <w:t>NR</w:t>
      </w:r>
      <w:r w:rsidRPr="00EF5303">
        <w:rPr>
          <w:shd w:val="clear" w:color="auto" w:fill="FFFFFF"/>
        </w:rPr>
        <w:t xml:space="preserve"> not reported</w:t>
      </w:r>
    </w:p>
    <w:p w14:paraId="31B87DCB" w14:textId="69D09365" w:rsidR="00734AE1" w:rsidRDefault="00734AE1"/>
    <w:p w14:paraId="3DF98D1F" w14:textId="77777777" w:rsidR="00AD0E3B" w:rsidRDefault="00AD0E3B"/>
    <w:p w14:paraId="72DDA8F9" w14:textId="77777777" w:rsidR="00AD0E3B" w:rsidRDefault="00AD0E3B"/>
    <w:p w14:paraId="6292B87A" w14:textId="77777777" w:rsidR="00EA0EA8" w:rsidRDefault="00EA0EA8" w:rsidP="00AD0E3B">
      <w:pPr>
        <w:rPr>
          <w:b/>
          <w:bCs/>
        </w:rPr>
      </w:pPr>
    </w:p>
    <w:p w14:paraId="018C3C01" w14:textId="687EC685" w:rsidR="00AD0E3B" w:rsidRDefault="00AD0E3B" w:rsidP="00AD0E3B">
      <w:r w:rsidRPr="003A504E">
        <w:rPr>
          <w:b/>
          <w:bCs/>
        </w:rPr>
        <w:lastRenderedPageBreak/>
        <w:t xml:space="preserve">Table S2. </w:t>
      </w:r>
      <w:r w:rsidRPr="003A504E">
        <w:t>Detailed adverse events reported from included RCTs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256"/>
        <w:gridCol w:w="2005"/>
        <w:gridCol w:w="1417"/>
        <w:gridCol w:w="1418"/>
        <w:gridCol w:w="1417"/>
        <w:gridCol w:w="1986"/>
        <w:gridCol w:w="1137"/>
        <w:gridCol w:w="1139"/>
        <w:gridCol w:w="2183"/>
      </w:tblGrid>
      <w:tr w:rsidR="00AD0E3B" w:rsidRPr="005F5924" w14:paraId="43F66641" w14:textId="77777777" w:rsidTr="00C705A9">
        <w:trPr>
          <w:trHeight w:val="320"/>
        </w:trPr>
        <w:tc>
          <w:tcPr>
            <w:tcW w:w="125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5ECA59" w14:textId="77777777" w:rsidR="00AD0E3B" w:rsidRPr="003A504E" w:rsidRDefault="00AD0E3B" w:rsidP="00C705A9">
            <w:pPr>
              <w:spacing w:after="3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3A504E">
              <w:rPr>
                <w:rFonts w:eastAsia="Times New Roman"/>
                <w:b/>
                <w:bCs/>
                <w:lang w:val="en-AU"/>
              </w:rPr>
              <w:t>Study</w:t>
            </w:r>
          </w:p>
        </w:tc>
        <w:tc>
          <w:tcPr>
            <w:tcW w:w="200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857DDD" w14:textId="77777777" w:rsidR="00AD0E3B" w:rsidRPr="003A504E" w:rsidRDefault="00AD0E3B" w:rsidP="00C705A9">
            <w:pPr>
              <w:spacing w:after="3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3A504E">
              <w:rPr>
                <w:rFonts w:eastAsia="Times New Roman"/>
                <w:b/>
                <w:bCs/>
                <w:lang w:val="en-AU"/>
              </w:rPr>
              <w:t>Abdominal pain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3A76B5" w14:textId="77777777" w:rsidR="00AD0E3B" w:rsidRPr="003A504E" w:rsidRDefault="00AD0E3B" w:rsidP="00C705A9">
            <w:pPr>
              <w:spacing w:after="3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3A504E">
              <w:rPr>
                <w:rFonts w:eastAsia="Times New Roman"/>
                <w:b/>
                <w:bCs/>
                <w:lang w:val="en-AU"/>
              </w:rPr>
              <w:t>Anemia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E8B50C" w14:textId="77777777" w:rsidR="00AD0E3B" w:rsidRPr="003A504E" w:rsidRDefault="00AD0E3B" w:rsidP="00C705A9">
            <w:pPr>
              <w:spacing w:after="3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3A504E">
              <w:rPr>
                <w:rFonts w:eastAsia="Times New Roman"/>
                <w:b/>
                <w:bCs/>
                <w:lang w:val="en-AU"/>
              </w:rPr>
              <w:t>Arthralgia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768F83" w14:textId="77777777" w:rsidR="00AD0E3B" w:rsidRPr="003A504E" w:rsidRDefault="00AD0E3B" w:rsidP="00C705A9">
            <w:pPr>
              <w:spacing w:after="3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3A504E">
              <w:rPr>
                <w:rFonts w:eastAsia="Times New Roman"/>
                <w:b/>
                <w:bCs/>
                <w:lang w:val="en-AU"/>
              </w:rPr>
              <w:t>Headache</w:t>
            </w: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6C5BB3" w14:textId="77777777" w:rsidR="00AD0E3B" w:rsidRPr="003A504E" w:rsidRDefault="00AD0E3B" w:rsidP="00C705A9">
            <w:pPr>
              <w:spacing w:after="3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3A504E">
              <w:rPr>
                <w:rFonts w:eastAsia="Times New Roman"/>
                <w:b/>
                <w:bCs/>
                <w:lang w:val="en-AU"/>
              </w:rPr>
              <w:t>Nasopharyngitis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06A3F8" w14:textId="77777777" w:rsidR="00AD0E3B" w:rsidRPr="003A504E" w:rsidRDefault="00AD0E3B" w:rsidP="00C705A9">
            <w:pPr>
              <w:spacing w:after="3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3A504E">
              <w:rPr>
                <w:rFonts w:eastAsia="Times New Roman"/>
                <w:b/>
                <w:bCs/>
                <w:lang w:val="en-AU"/>
              </w:rPr>
              <w:t>Nausea</w:t>
            </w:r>
          </w:p>
        </w:tc>
        <w:tc>
          <w:tcPr>
            <w:tcW w:w="113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CD0E93" w14:textId="77777777" w:rsidR="00AD0E3B" w:rsidRPr="003A504E" w:rsidRDefault="00AD0E3B" w:rsidP="00C705A9">
            <w:pPr>
              <w:spacing w:after="32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3A504E">
              <w:rPr>
                <w:rFonts w:eastAsia="Times New Roman"/>
                <w:b/>
                <w:bCs/>
                <w:lang w:val="en-AU"/>
              </w:rPr>
              <w:t>Pyrexia</w:t>
            </w:r>
          </w:p>
        </w:tc>
        <w:tc>
          <w:tcPr>
            <w:tcW w:w="218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B5010F" w14:textId="77777777" w:rsidR="00AD0E3B" w:rsidRPr="003A504E" w:rsidRDefault="00AD0E3B" w:rsidP="00C705A9">
            <w:pPr>
              <w:spacing w:after="40"/>
              <w:jc w:val="left"/>
              <w:rPr>
                <w:rFonts w:eastAsia="Times New Roman"/>
                <w:b/>
                <w:bCs/>
                <w:lang w:val="en-AU"/>
              </w:rPr>
            </w:pPr>
            <w:r w:rsidRPr="003A504E">
              <w:rPr>
                <w:rFonts w:eastAsia="Times New Roman"/>
                <w:b/>
                <w:bCs/>
                <w:lang w:val="en-AU"/>
              </w:rPr>
              <w:t>Upper Respiratory Tract infection</w:t>
            </w:r>
          </w:p>
        </w:tc>
      </w:tr>
      <w:tr w:rsidR="00AD0E3B" w:rsidRPr="005F5924" w14:paraId="5B095C81" w14:textId="77777777" w:rsidTr="00C705A9">
        <w:trPr>
          <w:trHeight w:val="784"/>
        </w:trPr>
        <w:tc>
          <w:tcPr>
            <w:tcW w:w="1256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DA23B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SONIC (2010)</w:t>
            </w:r>
          </w:p>
        </w:tc>
        <w:tc>
          <w:tcPr>
            <w:tcW w:w="2005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58A60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 xml:space="preserve">I:10/108 </w:t>
            </w:r>
          </w:p>
          <w:p w14:paraId="6B9A4FA7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C:12/97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EE9E26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NR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35E19B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I:5/108 C:10/97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1CF44B" w14:textId="77777777" w:rsidR="00AD0E3B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 xml:space="preserve">I:4/108 </w:t>
            </w:r>
          </w:p>
          <w:p w14:paraId="29D493D3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C:9/97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7D06E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 xml:space="preserve">I:9/108 </w:t>
            </w:r>
          </w:p>
          <w:p w14:paraId="0743F072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C:6/97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6BE8C8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I:6/108 C:11/97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CE104E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I:5/108 C:6/97</w:t>
            </w:r>
          </w:p>
        </w:tc>
        <w:tc>
          <w:tcPr>
            <w:tcW w:w="2183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45D65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 xml:space="preserve">I:1/108 </w:t>
            </w:r>
          </w:p>
          <w:p w14:paraId="658FDC75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C:4/97</w:t>
            </w:r>
          </w:p>
        </w:tc>
      </w:tr>
      <w:tr w:rsidR="00AD0E3B" w:rsidRPr="005F5924" w14:paraId="6673DCD1" w14:textId="77777777" w:rsidTr="00C705A9">
        <w:trPr>
          <w:trHeight w:val="818"/>
        </w:trPr>
        <w:tc>
          <w:tcPr>
            <w:tcW w:w="1256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2E9F34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UC SUCCESS (2014)</w:t>
            </w:r>
          </w:p>
        </w:tc>
        <w:tc>
          <w:tcPr>
            <w:tcW w:w="2005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9E354E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 xml:space="preserve">I:0/80 </w:t>
            </w:r>
          </w:p>
          <w:p w14:paraId="046FB9A5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C:3/78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31AD48" w14:textId="77777777" w:rsidR="00AD0E3B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 xml:space="preserve">I:1/80 </w:t>
            </w:r>
          </w:p>
          <w:p w14:paraId="05D181CB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C:3/78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6D0C08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NR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736D17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 xml:space="preserve">I:4/80 </w:t>
            </w:r>
          </w:p>
          <w:p w14:paraId="6A2CF18E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C:4/78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3BCB7F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NR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FAAB17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I:7/80 C:1/78</w:t>
            </w:r>
          </w:p>
        </w:tc>
        <w:tc>
          <w:tcPr>
            <w:tcW w:w="1139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827708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 xml:space="preserve">I:2.80 </w:t>
            </w:r>
          </w:p>
          <w:p w14:paraId="141D5A68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C:5/78</w:t>
            </w:r>
          </w:p>
        </w:tc>
        <w:tc>
          <w:tcPr>
            <w:tcW w:w="2183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21FBDB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 xml:space="preserve">I:0/80 </w:t>
            </w:r>
          </w:p>
          <w:p w14:paraId="43C7E39D" w14:textId="77777777" w:rsidR="00AD0E3B" w:rsidRPr="003A504E" w:rsidRDefault="00AD0E3B" w:rsidP="00C705A9">
            <w:pPr>
              <w:jc w:val="left"/>
              <w:rPr>
                <w:rFonts w:eastAsia="Times New Roman"/>
                <w:lang w:val="en-AU"/>
              </w:rPr>
            </w:pPr>
            <w:r w:rsidRPr="003A504E">
              <w:rPr>
                <w:rFonts w:eastAsia="Times New Roman"/>
                <w:lang w:val="en-AU"/>
              </w:rPr>
              <w:t>C:1/78</w:t>
            </w:r>
          </w:p>
        </w:tc>
      </w:tr>
    </w:tbl>
    <w:p w14:paraId="2B70B889" w14:textId="77777777" w:rsidR="00AD0E3B" w:rsidRPr="00994A14" w:rsidRDefault="00AD0E3B" w:rsidP="00AD0E3B">
      <w:r w:rsidRPr="003A504E">
        <w:t xml:space="preserve">Abbreviation: </w:t>
      </w:r>
      <w:r w:rsidRPr="003A504E">
        <w:rPr>
          <w:i/>
          <w:iCs/>
        </w:rPr>
        <w:t>NR</w:t>
      </w:r>
      <w:r w:rsidRPr="003A504E">
        <w:t xml:space="preserve"> not reported, </w:t>
      </w:r>
      <w:r w:rsidRPr="003A504E">
        <w:rPr>
          <w:i/>
          <w:iCs/>
        </w:rPr>
        <w:t>I</w:t>
      </w:r>
      <w:r w:rsidRPr="003A504E">
        <w:t xml:space="preserve"> intervention group (IFX</w:t>
      </w:r>
      <w:r>
        <w:t xml:space="preserve"> </w:t>
      </w:r>
      <w:r w:rsidRPr="003A504E">
        <w:t>+</w:t>
      </w:r>
      <w:r>
        <w:t xml:space="preserve"> </w:t>
      </w:r>
      <w:r w:rsidRPr="003A504E">
        <w:t xml:space="preserve">AZA combination therapy), </w:t>
      </w:r>
      <w:r w:rsidRPr="003A504E">
        <w:rPr>
          <w:i/>
          <w:iCs/>
        </w:rPr>
        <w:t>C</w:t>
      </w:r>
      <w:r w:rsidRPr="003A504E">
        <w:t xml:space="preserve"> control group (IFX monotherapy)</w:t>
      </w:r>
    </w:p>
    <w:p w14:paraId="0FBD57C5" w14:textId="77777777" w:rsidR="00AD0E3B" w:rsidRDefault="00AD0E3B" w:rsidP="00AD0E3B">
      <w:pPr>
        <w:rPr>
          <w:b/>
          <w:bCs/>
        </w:rPr>
      </w:pPr>
    </w:p>
    <w:p w14:paraId="09C2EF30" w14:textId="78AC942C" w:rsidR="00AD0E3B" w:rsidRDefault="00AD0E3B" w:rsidP="00AD0E3B">
      <w:r w:rsidRPr="003A504E">
        <w:rPr>
          <w:b/>
          <w:bCs/>
        </w:rPr>
        <w:t>Table S</w:t>
      </w:r>
      <w:r>
        <w:rPr>
          <w:b/>
          <w:bCs/>
        </w:rPr>
        <w:t>3</w:t>
      </w:r>
      <w:r w:rsidRPr="003A504E">
        <w:rPr>
          <w:b/>
          <w:bCs/>
        </w:rPr>
        <w:t xml:space="preserve">. </w:t>
      </w:r>
      <w:r w:rsidRPr="003A504E">
        <w:t>GRADE Assessment of evidence quality for CD and UC clinical outcomes</w:t>
      </w:r>
    </w:p>
    <w:tbl>
      <w:tblPr>
        <w:tblW w:w="0" w:type="auto"/>
        <w:tblInd w:w="-30" w:type="dxa"/>
        <w:tblBorders>
          <w:top w:val="single" w:sz="18" w:space="0" w:color="000000"/>
          <w:bottom w:val="single" w:sz="1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0"/>
        <w:gridCol w:w="1988"/>
        <w:gridCol w:w="1275"/>
        <w:gridCol w:w="1418"/>
        <w:gridCol w:w="1252"/>
        <w:gridCol w:w="1299"/>
        <w:gridCol w:w="1701"/>
        <w:gridCol w:w="1560"/>
      </w:tblGrid>
      <w:tr w:rsidR="00AD0E3B" w:rsidRPr="00624F3E" w14:paraId="4BCCAC43" w14:textId="77777777" w:rsidTr="00C705A9">
        <w:trPr>
          <w:trHeight w:val="300"/>
        </w:trPr>
        <w:tc>
          <w:tcPr>
            <w:tcW w:w="0" w:type="auto"/>
            <w:tcBorders>
              <w:bottom w:val="single" w:sz="8" w:space="0" w:color="000000"/>
            </w:tcBorders>
          </w:tcPr>
          <w:p w14:paraId="0F534C36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b/>
                <w:bCs/>
                <w:lang w:val="en-GB"/>
                <w14:ligatures w14:val="standardContextual"/>
              </w:rPr>
            </w:pPr>
            <w:r w:rsidRPr="003A504E">
              <w:rPr>
                <w:b/>
                <w:bCs/>
                <w:lang w:val="en-GB"/>
                <w14:ligatures w14:val="standardContextual"/>
              </w:rPr>
              <w:t>Outcome</w:t>
            </w:r>
          </w:p>
        </w:tc>
        <w:tc>
          <w:tcPr>
            <w:tcW w:w="1988" w:type="dxa"/>
            <w:tcBorders>
              <w:bottom w:val="single" w:sz="8" w:space="0" w:color="000000"/>
            </w:tcBorders>
          </w:tcPr>
          <w:p w14:paraId="099F7782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b/>
                <w:bCs/>
                <w:lang w:val="en-GB"/>
                <w14:ligatures w14:val="standardContextual"/>
              </w:rPr>
            </w:pPr>
            <w:r w:rsidRPr="003A504E">
              <w:rPr>
                <w:b/>
                <w:bCs/>
                <w:lang w:val="en-GB"/>
                <w14:ligatures w14:val="standardContextual"/>
              </w:rPr>
              <w:t>Number of Studies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45B85911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b/>
                <w:bCs/>
                <w:lang w:val="en-GB"/>
                <w14:ligatures w14:val="standardContextual"/>
              </w:rPr>
            </w:pPr>
            <w:r w:rsidRPr="003A504E">
              <w:rPr>
                <w:b/>
                <w:bCs/>
                <w:lang w:val="en-GB"/>
                <w14:ligatures w14:val="standardContextual"/>
              </w:rPr>
              <w:t>Risk of Bias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14:paraId="4C3DCCC6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b/>
                <w:bCs/>
                <w:lang w:val="en-GB"/>
                <w14:ligatures w14:val="standardContextual"/>
              </w:rPr>
            </w:pPr>
            <w:r w:rsidRPr="003A504E">
              <w:rPr>
                <w:b/>
                <w:bCs/>
                <w:lang w:val="en-GB"/>
                <w14:ligatures w14:val="standardContextual"/>
              </w:rPr>
              <w:t>Inconsistency</w:t>
            </w:r>
          </w:p>
        </w:tc>
        <w:tc>
          <w:tcPr>
            <w:tcW w:w="1252" w:type="dxa"/>
            <w:tcBorders>
              <w:bottom w:val="single" w:sz="8" w:space="0" w:color="000000"/>
            </w:tcBorders>
          </w:tcPr>
          <w:p w14:paraId="79E59B79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b/>
                <w:bCs/>
                <w:lang w:val="en-GB"/>
                <w14:ligatures w14:val="standardContextual"/>
              </w:rPr>
            </w:pPr>
            <w:r w:rsidRPr="003A504E">
              <w:rPr>
                <w:b/>
                <w:bCs/>
                <w:lang w:val="en-GB"/>
                <w14:ligatures w14:val="standardContextual"/>
              </w:rPr>
              <w:t>Indirectness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788A5F19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b/>
                <w:bCs/>
                <w:lang w:val="en-GB"/>
                <w14:ligatures w14:val="standardContextual"/>
              </w:rPr>
            </w:pPr>
            <w:r w:rsidRPr="003A504E">
              <w:rPr>
                <w:b/>
                <w:bCs/>
                <w:lang w:val="en-GB"/>
                <w14:ligatures w14:val="standardContextual"/>
              </w:rPr>
              <w:t>Imprecision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6F6F42E2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b/>
                <w:bCs/>
                <w:lang w:val="en-GB"/>
                <w14:ligatures w14:val="standardContextual"/>
              </w:rPr>
            </w:pPr>
            <w:r w:rsidRPr="003A504E">
              <w:rPr>
                <w:b/>
                <w:bCs/>
                <w:lang w:val="en-GB"/>
                <w14:ligatures w14:val="standardContextual"/>
              </w:rPr>
              <w:t>Publication Bias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1A65BB3C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b/>
                <w:bCs/>
                <w:lang w:val="en-GB"/>
                <w14:ligatures w14:val="standardContextual"/>
              </w:rPr>
            </w:pPr>
            <w:r w:rsidRPr="003A504E">
              <w:rPr>
                <w:b/>
                <w:bCs/>
                <w:lang w:val="en-GB"/>
                <w14:ligatures w14:val="standardContextual"/>
              </w:rPr>
              <w:t>Overall Quality</w:t>
            </w:r>
          </w:p>
        </w:tc>
      </w:tr>
      <w:tr w:rsidR="00AD0E3B" w:rsidRPr="00624F3E" w14:paraId="1149DEC7" w14:textId="77777777" w:rsidTr="00C705A9">
        <w:trPr>
          <w:trHeight w:val="70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5F95A6A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 xml:space="preserve">clinical remission </w:t>
            </w:r>
          </w:p>
          <w:p w14:paraId="4A0E4057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(CDAI&lt;150) in CD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1FC72D6A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 xml:space="preserve">5 studies </w:t>
            </w:r>
          </w:p>
          <w:p w14:paraId="3725ECE3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(1 mixed cohort)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44FD8ED7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not serious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14:paraId="4E5DA7CB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not serious</w:t>
            </w:r>
          </w:p>
        </w:tc>
        <w:tc>
          <w:tcPr>
            <w:tcW w:w="1252" w:type="dxa"/>
            <w:tcBorders>
              <w:top w:val="single" w:sz="8" w:space="0" w:color="000000"/>
              <w:bottom w:val="single" w:sz="8" w:space="0" w:color="000000"/>
            </w:tcBorders>
          </w:tcPr>
          <w:p w14:paraId="79FB00D7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not serious</w:t>
            </w:r>
          </w:p>
        </w:tc>
        <w:tc>
          <w:tcPr>
            <w:tcW w:w="1299" w:type="dxa"/>
            <w:tcBorders>
              <w:top w:val="single" w:sz="8" w:space="0" w:color="000000"/>
              <w:bottom w:val="single" w:sz="8" w:space="0" w:color="000000"/>
            </w:tcBorders>
          </w:tcPr>
          <w:p w14:paraId="2D5C401A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not serious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4713F2FF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undetected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635DFA66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rFonts w:ascii="Cambria Math" w:hAnsi="Cambria Math" w:cs="Cambria Math"/>
                <w:lang w:val="en-GB"/>
                <w14:ligatures w14:val="standardContextual"/>
              </w:rPr>
              <w:t>⨁⨁⨁⨁</w:t>
            </w:r>
            <w:r w:rsidRPr="003A504E">
              <w:rPr>
                <w:lang w:val="en-GB"/>
                <w14:ligatures w14:val="standardContextual"/>
              </w:rPr>
              <w:t xml:space="preserve"> </w:t>
            </w:r>
          </w:p>
          <w:p w14:paraId="275C0C20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(high)</w:t>
            </w:r>
          </w:p>
        </w:tc>
      </w:tr>
      <w:tr w:rsidR="00AD0E3B" w:rsidRPr="00624F3E" w14:paraId="39824FB1" w14:textId="77777777" w:rsidTr="00C705A9">
        <w:trPr>
          <w:trHeight w:val="679"/>
        </w:trPr>
        <w:tc>
          <w:tcPr>
            <w:tcW w:w="0" w:type="auto"/>
            <w:tcBorders>
              <w:top w:val="single" w:sz="8" w:space="0" w:color="000000"/>
            </w:tcBorders>
          </w:tcPr>
          <w:p w14:paraId="59F41FC7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 xml:space="preserve">clinical remission </w:t>
            </w:r>
          </w:p>
          <w:p w14:paraId="05740AEF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Mayo Score≤2 in UC</w:t>
            </w:r>
          </w:p>
        </w:tc>
        <w:tc>
          <w:tcPr>
            <w:tcW w:w="1988" w:type="dxa"/>
            <w:tcBorders>
              <w:top w:val="single" w:sz="8" w:space="0" w:color="000000"/>
            </w:tcBorders>
          </w:tcPr>
          <w:p w14:paraId="4FD42D0B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 xml:space="preserve">2 studies </w:t>
            </w:r>
          </w:p>
          <w:p w14:paraId="19D0DE02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(1 mixed cohort)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14:paraId="7CE1B27D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 xml:space="preserve">serious </w:t>
            </w:r>
          </w:p>
          <w:p w14:paraId="7989555A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(-1)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249C45EC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 xml:space="preserve">serious </w:t>
            </w:r>
          </w:p>
          <w:p w14:paraId="1A333BB0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(-1)</w:t>
            </w:r>
          </w:p>
        </w:tc>
        <w:tc>
          <w:tcPr>
            <w:tcW w:w="1252" w:type="dxa"/>
            <w:tcBorders>
              <w:top w:val="single" w:sz="8" w:space="0" w:color="000000"/>
            </w:tcBorders>
          </w:tcPr>
          <w:p w14:paraId="3A859752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not serious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320AEA19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 xml:space="preserve">serious </w:t>
            </w:r>
          </w:p>
          <w:p w14:paraId="67C39B98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(-1)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5635003E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undetected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4A572530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rFonts w:ascii="Cambria Math" w:hAnsi="Cambria Math" w:cs="Cambria Math"/>
                <w:lang w:val="en-GB"/>
                <w14:ligatures w14:val="standardContextual"/>
              </w:rPr>
              <w:t>⨁</w:t>
            </w:r>
            <w:r w:rsidRPr="003A504E">
              <w:rPr>
                <w:rFonts w:ascii="Segoe UI Symbol" w:hAnsi="Segoe UI Symbol" w:cs="Segoe UI Symbol"/>
                <w:lang w:val="en-GB"/>
                <w14:ligatures w14:val="standardContextual"/>
              </w:rPr>
              <w:t>◯◯◯</w:t>
            </w:r>
            <w:r w:rsidRPr="003A504E">
              <w:rPr>
                <w:lang w:val="en-GB"/>
                <w14:ligatures w14:val="standardContextual"/>
              </w:rPr>
              <w:t xml:space="preserve"> </w:t>
            </w:r>
          </w:p>
          <w:p w14:paraId="0C3A740A" w14:textId="77777777" w:rsidR="00AD0E3B" w:rsidRPr="003A504E" w:rsidRDefault="00AD0E3B" w:rsidP="00C705A9">
            <w:pPr>
              <w:autoSpaceDE w:val="0"/>
              <w:autoSpaceDN w:val="0"/>
              <w:adjustRightInd w:val="0"/>
              <w:jc w:val="left"/>
              <w:rPr>
                <w:lang w:val="en-GB"/>
                <w14:ligatures w14:val="standardContextual"/>
              </w:rPr>
            </w:pPr>
            <w:r w:rsidRPr="003A504E">
              <w:rPr>
                <w:lang w:val="en-GB"/>
                <w14:ligatures w14:val="standardContextual"/>
              </w:rPr>
              <w:t>(low)</w:t>
            </w:r>
          </w:p>
        </w:tc>
      </w:tr>
    </w:tbl>
    <w:p w14:paraId="4C26F703" w14:textId="77777777" w:rsidR="00AD0E3B" w:rsidRDefault="00AD0E3B" w:rsidP="00AD0E3B">
      <w:pPr>
        <w:rPr>
          <w:b/>
          <w:bCs/>
        </w:rPr>
      </w:pPr>
    </w:p>
    <w:p w14:paraId="1EF093E4" w14:textId="6DDCD6BD" w:rsidR="00AD0E3B" w:rsidRPr="00191A47" w:rsidRDefault="00AD0E3B" w:rsidP="00AD0E3B">
      <w:r w:rsidRPr="00191A47">
        <w:rPr>
          <w:b/>
          <w:bCs/>
        </w:rPr>
        <w:t>Table S</w:t>
      </w:r>
      <w:r>
        <w:rPr>
          <w:b/>
          <w:bCs/>
        </w:rPr>
        <w:t>4</w:t>
      </w:r>
      <w:r w:rsidRPr="00191A47">
        <w:rPr>
          <w:b/>
          <w:bCs/>
        </w:rPr>
        <w:t>.</w:t>
      </w:r>
      <w:r w:rsidRPr="00191A47">
        <w:t xml:space="preserve"> Sensitivity analysis of included RCTs</w:t>
      </w:r>
    </w:p>
    <w:tbl>
      <w:tblPr>
        <w:tblW w:w="70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98"/>
        <w:gridCol w:w="1237"/>
        <w:gridCol w:w="2195"/>
        <w:gridCol w:w="1358"/>
      </w:tblGrid>
      <w:tr w:rsidR="00AD0E3B" w:rsidRPr="00994A14" w14:paraId="65D6A5EA" w14:textId="77777777" w:rsidTr="00C705A9">
        <w:trPr>
          <w:trHeight w:val="333"/>
        </w:trPr>
        <w:tc>
          <w:tcPr>
            <w:tcW w:w="2298" w:type="dxa"/>
            <w:tcBorders>
              <w:top w:val="single" w:sz="1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8B08F66" w14:textId="77777777" w:rsidR="00AD0E3B" w:rsidRPr="00994A14" w:rsidRDefault="00AD0E3B" w:rsidP="00C705A9">
            <w:pPr>
              <w:spacing w:line="276" w:lineRule="auto"/>
              <w:jc w:val="left"/>
              <w:rPr>
                <w:b/>
              </w:rPr>
            </w:pPr>
            <w:r w:rsidRPr="00994A14">
              <w:rPr>
                <w:b/>
                <w:kern w:val="24"/>
              </w:rPr>
              <w:t>Study</w:t>
            </w:r>
          </w:p>
        </w:tc>
        <w:tc>
          <w:tcPr>
            <w:tcW w:w="1237" w:type="dxa"/>
            <w:tcBorders>
              <w:top w:val="single" w:sz="1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87A2002" w14:textId="77777777" w:rsidR="00AD0E3B" w:rsidRPr="00994A14" w:rsidRDefault="00AD0E3B" w:rsidP="00C705A9">
            <w:pPr>
              <w:spacing w:line="276" w:lineRule="auto"/>
              <w:jc w:val="left"/>
              <w:rPr>
                <w:b/>
              </w:rPr>
            </w:pPr>
            <w:r w:rsidRPr="00994A14">
              <w:rPr>
                <w:b/>
                <w:kern w:val="24"/>
              </w:rPr>
              <w:t xml:space="preserve"> Estimate </w:t>
            </w:r>
          </w:p>
        </w:tc>
        <w:tc>
          <w:tcPr>
            <w:tcW w:w="3553" w:type="dxa"/>
            <w:gridSpan w:val="2"/>
            <w:tcBorders>
              <w:top w:val="single" w:sz="1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02AD267" w14:textId="77777777" w:rsidR="00AD0E3B" w:rsidRPr="00994A14" w:rsidRDefault="00AD0E3B" w:rsidP="00C705A9">
            <w:pPr>
              <w:spacing w:line="276" w:lineRule="auto"/>
              <w:ind w:firstLineChars="50" w:firstLine="102"/>
              <w:jc w:val="left"/>
              <w:rPr>
                <w:b/>
              </w:rPr>
            </w:pPr>
            <w:r w:rsidRPr="00994A14">
              <w:rPr>
                <w:b/>
                <w:kern w:val="24"/>
              </w:rPr>
              <w:t xml:space="preserve">              [ 95% CI]</w:t>
            </w:r>
          </w:p>
        </w:tc>
      </w:tr>
      <w:tr w:rsidR="00AD0E3B" w:rsidRPr="00994A14" w14:paraId="5A06A897" w14:textId="77777777" w:rsidTr="00C705A9">
        <w:trPr>
          <w:trHeight w:val="299"/>
        </w:trPr>
        <w:tc>
          <w:tcPr>
            <w:tcW w:w="229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A7DC71" w14:textId="77777777" w:rsidR="00AD0E3B" w:rsidRPr="00994A14" w:rsidRDefault="00AD0E3B" w:rsidP="00C705A9">
            <w:pPr>
              <w:spacing w:line="276" w:lineRule="auto"/>
              <w:jc w:val="left"/>
              <w:textAlignment w:val="bottom"/>
            </w:pPr>
            <w:r w:rsidRPr="00994A14">
              <w:rPr>
                <w:kern w:val="24"/>
                <w:lang w:val="de-DE"/>
              </w:rPr>
              <w:t>Chen et al., 2016</w:t>
            </w:r>
          </w:p>
        </w:tc>
        <w:tc>
          <w:tcPr>
            <w:tcW w:w="123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20C0E479" w14:textId="77777777" w:rsidR="00AD0E3B" w:rsidRPr="00994A14" w:rsidRDefault="00AD0E3B" w:rsidP="00C705A9">
            <w:pPr>
              <w:jc w:val="center"/>
            </w:pPr>
            <w:r w:rsidRPr="00994A14">
              <w:t>2.05</w:t>
            </w:r>
          </w:p>
        </w:tc>
        <w:tc>
          <w:tcPr>
            <w:tcW w:w="219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2309AE88" w14:textId="77777777" w:rsidR="00AD0E3B" w:rsidRPr="00994A14" w:rsidRDefault="00AD0E3B" w:rsidP="00C705A9">
            <w:pPr>
              <w:jc w:val="center"/>
            </w:pPr>
            <w:r w:rsidRPr="00994A14">
              <w:t>1.42</w:t>
            </w:r>
          </w:p>
        </w:tc>
        <w:tc>
          <w:tcPr>
            <w:tcW w:w="13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45795034" w14:textId="77777777" w:rsidR="00AD0E3B" w:rsidRPr="00994A14" w:rsidRDefault="00AD0E3B" w:rsidP="00C705A9">
            <w:pPr>
              <w:jc w:val="center"/>
            </w:pPr>
            <w:r w:rsidRPr="00994A14">
              <w:t>2.97</w:t>
            </w:r>
          </w:p>
        </w:tc>
      </w:tr>
      <w:tr w:rsidR="00AD0E3B" w:rsidRPr="00994A14" w14:paraId="23AE435C" w14:textId="77777777" w:rsidTr="00C705A9">
        <w:trPr>
          <w:trHeight w:val="299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4C7E908E" w14:textId="77777777" w:rsidR="00AD0E3B" w:rsidRPr="00994A14" w:rsidRDefault="00AD0E3B" w:rsidP="00C705A9">
            <w:pPr>
              <w:spacing w:line="276" w:lineRule="auto"/>
              <w:jc w:val="left"/>
              <w:textAlignment w:val="bottom"/>
            </w:pPr>
            <w:r w:rsidRPr="00994A14">
              <w:rPr>
                <w:kern w:val="24"/>
              </w:rPr>
              <w:t>Roblin et al., 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</w:tcPr>
          <w:p w14:paraId="2E7C8069" w14:textId="77777777" w:rsidR="00AD0E3B" w:rsidRPr="00994A14" w:rsidRDefault="00AD0E3B" w:rsidP="00C705A9">
            <w:pPr>
              <w:jc w:val="center"/>
            </w:pPr>
            <w:r w:rsidRPr="00994A14">
              <w:t>2.00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</w:tcPr>
          <w:p w14:paraId="79571A67" w14:textId="77777777" w:rsidR="00AD0E3B" w:rsidRPr="00994A14" w:rsidRDefault="00AD0E3B" w:rsidP="00C705A9">
            <w:pPr>
              <w:jc w:val="center"/>
            </w:pPr>
            <w:r w:rsidRPr="00994A14">
              <w:t>1.42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</w:tcPr>
          <w:p w14:paraId="1D9CCE97" w14:textId="77777777" w:rsidR="00AD0E3B" w:rsidRPr="00994A14" w:rsidRDefault="00AD0E3B" w:rsidP="00C705A9">
            <w:pPr>
              <w:jc w:val="center"/>
            </w:pPr>
            <w:r w:rsidRPr="00994A14">
              <w:t>2.81</w:t>
            </w:r>
          </w:p>
        </w:tc>
      </w:tr>
      <w:tr w:rsidR="00AD0E3B" w:rsidRPr="00994A14" w14:paraId="0B274657" w14:textId="77777777" w:rsidTr="00C705A9">
        <w:trPr>
          <w:trHeight w:val="299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5AE55A" w14:textId="77777777" w:rsidR="00AD0E3B" w:rsidRPr="00994A14" w:rsidRDefault="00AD0E3B" w:rsidP="00C705A9">
            <w:pPr>
              <w:spacing w:line="276" w:lineRule="auto"/>
              <w:jc w:val="left"/>
              <w:textAlignment w:val="bottom"/>
            </w:pPr>
            <w:r w:rsidRPr="00994A14">
              <w:rPr>
                <w:kern w:val="24"/>
                <w:lang w:val="de-DE"/>
              </w:rPr>
              <w:t>SONIC (2010)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0D1DB219" w14:textId="77777777" w:rsidR="00AD0E3B" w:rsidRPr="00994A14" w:rsidRDefault="00AD0E3B" w:rsidP="00C705A9">
            <w:pPr>
              <w:jc w:val="center"/>
            </w:pPr>
            <w:r w:rsidRPr="00994A14">
              <w:t>2.29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47461B0F" w14:textId="77777777" w:rsidR="00AD0E3B" w:rsidRPr="00994A14" w:rsidRDefault="00AD0E3B" w:rsidP="00C705A9">
            <w:pPr>
              <w:jc w:val="center"/>
            </w:pPr>
            <w:r w:rsidRPr="00994A14">
              <w:t>1.54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6788EE35" w14:textId="77777777" w:rsidR="00AD0E3B" w:rsidRPr="00994A14" w:rsidRDefault="00AD0E3B" w:rsidP="00C705A9">
            <w:pPr>
              <w:jc w:val="center"/>
            </w:pPr>
            <w:r w:rsidRPr="00994A14">
              <w:t>3.40</w:t>
            </w:r>
          </w:p>
        </w:tc>
      </w:tr>
      <w:tr w:rsidR="00AD0E3B" w:rsidRPr="00994A14" w14:paraId="150D8D91" w14:textId="77777777" w:rsidTr="00C705A9">
        <w:trPr>
          <w:trHeight w:val="299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C23E56" w14:textId="77777777" w:rsidR="00AD0E3B" w:rsidRPr="00994A14" w:rsidRDefault="00AD0E3B" w:rsidP="00C705A9">
            <w:pPr>
              <w:spacing w:line="276" w:lineRule="auto"/>
              <w:jc w:val="left"/>
              <w:textAlignment w:val="bottom"/>
            </w:pPr>
            <w:r w:rsidRPr="00994A14">
              <w:rPr>
                <w:kern w:val="24"/>
                <w:lang w:val="pt-BR"/>
              </w:rPr>
              <w:t>SPARE (2023)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42DE5510" w14:textId="77777777" w:rsidR="00AD0E3B" w:rsidRPr="00994A14" w:rsidRDefault="00AD0E3B" w:rsidP="00C705A9">
            <w:pPr>
              <w:jc w:val="center"/>
            </w:pPr>
            <w:r w:rsidRPr="00994A14">
              <w:t>2.10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66722F56" w14:textId="77777777" w:rsidR="00AD0E3B" w:rsidRPr="00994A14" w:rsidRDefault="00AD0E3B" w:rsidP="00C705A9">
            <w:pPr>
              <w:jc w:val="center"/>
            </w:pPr>
            <w:r w:rsidRPr="00994A14">
              <w:t>1.49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458EDEFE" w14:textId="77777777" w:rsidR="00AD0E3B" w:rsidRPr="00994A14" w:rsidRDefault="00AD0E3B" w:rsidP="00C705A9">
            <w:pPr>
              <w:jc w:val="center"/>
            </w:pPr>
            <w:r w:rsidRPr="00994A14">
              <w:t>2.97</w:t>
            </w:r>
          </w:p>
        </w:tc>
      </w:tr>
      <w:tr w:rsidR="00AD0E3B" w:rsidRPr="00994A14" w14:paraId="03E0C90A" w14:textId="77777777" w:rsidTr="00C705A9">
        <w:trPr>
          <w:trHeight w:val="299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FCBE9B" w14:textId="77777777" w:rsidR="00AD0E3B" w:rsidRPr="00994A14" w:rsidRDefault="00AD0E3B" w:rsidP="00C705A9">
            <w:pPr>
              <w:spacing w:line="276" w:lineRule="auto"/>
              <w:jc w:val="left"/>
              <w:textAlignment w:val="bottom"/>
            </w:pPr>
            <w:r w:rsidRPr="00994A14">
              <w:rPr>
                <w:kern w:val="24"/>
              </w:rPr>
              <w:t xml:space="preserve">UC SUCCESS (2014)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52290C5C" w14:textId="77777777" w:rsidR="00AD0E3B" w:rsidRPr="00994A14" w:rsidRDefault="00AD0E3B" w:rsidP="00C705A9">
            <w:pPr>
              <w:jc w:val="center"/>
            </w:pPr>
            <w:r w:rsidRPr="00994A14">
              <w:t>1.92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0BCC0D47" w14:textId="77777777" w:rsidR="00AD0E3B" w:rsidRPr="00994A14" w:rsidRDefault="00AD0E3B" w:rsidP="00C705A9">
            <w:pPr>
              <w:jc w:val="center"/>
            </w:pPr>
            <w:r w:rsidRPr="00994A14">
              <w:t>1.32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2E2606D4" w14:textId="77777777" w:rsidR="00AD0E3B" w:rsidRPr="00994A14" w:rsidRDefault="00AD0E3B" w:rsidP="00C705A9">
            <w:pPr>
              <w:jc w:val="center"/>
            </w:pPr>
            <w:r w:rsidRPr="00994A14">
              <w:t>2.79</w:t>
            </w:r>
          </w:p>
        </w:tc>
      </w:tr>
      <w:tr w:rsidR="00AD0E3B" w:rsidRPr="00994A14" w14:paraId="7667FB77" w14:textId="77777777" w:rsidTr="00C705A9">
        <w:trPr>
          <w:trHeight w:val="209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8D25D3" w14:textId="77777777" w:rsidR="00AD0E3B" w:rsidRPr="00994A14" w:rsidRDefault="00AD0E3B" w:rsidP="00C705A9">
            <w:pPr>
              <w:spacing w:line="276" w:lineRule="auto"/>
              <w:jc w:val="left"/>
              <w:textAlignment w:val="bottom"/>
            </w:pPr>
            <w:r w:rsidRPr="00994A14">
              <w:rPr>
                <w:kern w:val="24"/>
              </w:rPr>
              <w:t>Wang et al., 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7EF0FB65" w14:textId="77777777" w:rsidR="00AD0E3B" w:rsidRPr="00994A14" w:rsidRDefault="00AD0E3B" w:rsidP="00C705A9">
            <w:pPr>
              <w:jc w:val="center"/>
            </w:pPr>
            <w:r w:rsidRPr="00994A14">
              <w:t>1.75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7DE95988" w14:textId="77777777" w:rsidR="00AD0E3B" w:rsidRPr="00994A14" w:rsidRDefault="00AD0E3B" w:rsidP="00C705A9">
            <w:pPr>
              <w:jc w:val="center"/>
            </w:pPr>
            <w:r w:rsidRPr="00994A14">
              <w:t>1.23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7C1CC2BE" w14:textId="77777777" w:rsidR="00AD0E3B" w:rsidRPr="00994A14" w:rsidRDefault="00AD0E3B" w:rsidP="00C705A9">
            <w:pPr>
              <w:jc w:val="center"/>
            </w:pPr>
            <w:r w:rsidRPr="00994A14">
              <w:t>2.48</w:t>
            </w:r>
          </w:p>
        </w:tc>
      </w:tr>
      <w:tr w:rsidR="00AD0E3B" w:rsidRPr="00994A14" w14:paraId="0380A0FC" w14:textId="77777777" w:rsidTr="00C705A9">
        <w:trPr>
          <w:trHeight w:val="256"/>
        </w:trPr>
        <w:tc>
          <w:tcPr>
            <w:tcW w:w="22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26FB98" w14:textId="77777777" w:rsidR="00AD0E3B" w:rsidRPr="00994A14" w:rsidRDefault="00AD0E3B" w:rsidP="00C705A9">
            <w:pPr>
              <w:spacing w:line="276" w:lineRule="auto"/>
              <w:jc w:val="left"/>
              <w:textAlignment w:val="bottom"/>
            </w:pPr>
            <w:r w:rsidRPr="00994A14">
              <w:rPr>
                <w:kern w:val="24"/>
              </w:rPr>
              <w:t>Combined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088EB756" w14:textId="77777777" w:rsidR="00AD0E3B" w:rsidRPr="00994A14" w:rsidRDefault="00AD0E3B" w:rsidP="00C705A9">
            <w:pPr>
              <w:jc w:val="center"/>
            </w:pPr>
            <w:r w:rsidRPr="00994A14">
              <w:t>2.02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661C0BCC" w14:textId="77777777" w:rsidR="00AD0E3B" w:rsidRPr="00994A14" w:rsidRDefault="00AD0E3B" w:rsidP="00C705A9">
            <w:pPr>
              <w:jc w:val="center"/>
            </w:pPr>
            <w:r w:rsidRPr="00994A14">
              <w:t>1.40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5CFD7BBB" w14:textId="77777777" w:rsidR="00AD0E3B" w:rsidRPr="00994A14" w:rsidRDefault="00AD0E3B" w:rsidP="00C705A9">
            <w:pPr>
              <w:jc w:val="center"/>
            </w:pPr>
            <w:r w:rsidRPr="00994A14">
              <w:t>2.90</w:t>
            </w:r>
          </w:p>
        </w:tc>
      </w:tr>
    </w:tbl>
    <w:p w14:paraId="2951FAE0" w14:textId="77777777" w:rsidR="009069FC" w:rsidRDefault="009069FC">
      <w:pPr>
        <w:sectPr w:rsidR="009069FC" w:rsidSect="00AD0E3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B1D4A95" w14:textId="77777777" w:rsidR="009069FC" w:rsidRPr="00597C11" w:rsidRDefault="009069FC" w:rsidP="009069FC">
      <w:pPr>
        <w:pStyle w:val="MDPI21heading1"/>
        <w:ind w:left="0"/>
        <w:rPr>
          <w:b w:val="0"/>
          <w:bCs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 xml:space="preserve">Figure S1. </w:t>
      </w:r>
      <w:r w:rsidRPr="00597C11">
        <w:rPr>
          <w:b w:val="0"/>
          <w:bCs/>
          <w:sz w:val="20"/>
          <w:szCs w:val="20"/>
          <w:lang w:eastAsia="zh-CN"/>
        </w:rPr>
        <w:t>Risk of bias graph</w:t>
      </w:r>
    </w:p>
    <w:p w14:paraId="3540ED96" w14:textId="0F231073" w:rsidR="00AD0E3B" w:rsidRDefault="009069FC">
      <w:r>
        <w:rPr>
          <w14:ligatures w14:val="standardContextual"/>
        </w:rPr>
        <w:drawing>
          <wp:inline distT="0" distB="0" distL="0" distR="0" wp14:anchorId="4F3ACE03" wp14:editId="3CD6305F">
            <wp:extent cx="4991100" cy="2463800"/>
            <wp:effectExtent l="0" t="0" r="0" b="0"/>
            <wp:docPr id="118848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8805" name="Picture 1188488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AC26" w14:textId="77777777" w:rsidR="00AD0E3B" w:rsidRDefault="00AD0E3B"/>
    <w:p w14:paraId="59504BC1" w14:textId="77777777" w:rsidR="009069FC" w:rsidRDefault="009069FC" w:rsidP="009069FC">
      <w:r w:rsidRPr="00597C11">
        <w:rPr>
          <w:b/>
          <w:bCs/>
        </w:rPr>
        <w:t>Fig</w:t>
      </w:r>
      <w:r>
        <w:rPr>
          <w:b/>
          <w:bCs/>
        </w:rPr>
        <w:t>ure</w:t>
      </w:r>
      <w:r w:rsidRPr="00597C11">
        <w:rPr>
          <w:b/>
          <w:bCs/>
        </w:rPr>
        <w:t xml:space="preserve"> S1 legend.</w:t>
      </w:r>
      <w:r w:rsidRPr="00597C11">
        <w:t xml:space="preserve"> review authors' judgements about each risk of bias item presented as percentages across all included studies.</w:t>
      </w:r>
    </w:p>
    <w:p w14:paraId="7E48D886" w14:textId="77777777" w:rsidR="009069FC" w:rsidRDefault="009069FC" w:rsidP="009069FC">
      <w:pPr>
        <w:pStyle w:val="MDPI21heading1"/>
        <w:ind w:left="0"/>
        <w:rPr>
          <w:sz w:val="20"/>
          <w:szCs w:val="20"/>
        </w:rPr>
      </w:pPr>
      <w:r w:rsidRPr="00597C11">
        <w:rPr>
          <w:sz w:val="20"/>
          <w:szCs w:val="20"/>
        </w:rPr>
        <w:t>Figure S2.</w:t>
      </w:r>
      <w:r>
        <w:rPr>
          <w:sz w:val="20"/>
          <w:szCs w:val="20"/>
        </w:rPr>
        <w:t xml:space="preserve"> </w:t>
      </w:r>
      <w:r w:rsidRPr="005A087E">
        <w:rPr>
          <w:b w:val="0"/>
          <w:bCs/>
          <w:sz w:val="20"/>
          <w:szCs w:val="20"/>
        </w:rPr>
        <w:t>Risk of bias summary</w:t>
      </w:r>
    </w:p>
    <w:p w14:paraId="5A4F269D" w14:textId="681778D5" w:rsidR="009069FC" w:rsidRDefault="009069FC">
      <w:r>
        <w:rPr>
          <w14:ligatures w14:val="standardContextual"/>
        </w:rPr>
        <w:drawing>
          <wp:inline distT="0" distB="0" distL="0" distR="0" wp14:anchorId="67836AA1" wp14:editId="3991CC83">
            <wp:extent cx="2511380" cy="4885775"/>
            <wp:effectExtent l="0" t="0" r="3810" b="3810"/>
            <wp:docPr id="764631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31519" name="Picture 7646315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700" cy="504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BEEC" w14:textId="77777777" w:rsidR="009069FC" w:rsidRDefault="009069FC" w:rsidP="009069FC">
      <w:r w:rsidRPr="00597C11">
        <w:rPr>
          <w:b/>
          <w:bCs/>
        </w:rPr>
        <w:t>Fig</w:t>
      </w:r>
      <w:r>
        <w:rPr>
          <w:b/>
          <w:bCs/>
        </w:rPr>
        <w:t>ure</w:t>
      </w:r>
      <w:r w:rsidRPr="00597C11">
        <w:rPr>
          <w:b/>
          <w:bCs/>
        </w:rPr>
        <w:t xml:space="preserve"> S2 legend. </w:t>
      </w:r>
      <w:r w:rsidRPr="00597C11">
        <w:t xml:space="preserve">review authors' judgements about each risk of bias item </w:t>
      </w:r>
    </w:p>
    <w:p w14:paraId="4EFF35DE" w14:textId="77777777" w:rsidR="009069FC" w:rsidRPr="00597C11" w:rsidRDefault="009069FC" w:rsidP="009069FC">
      <w:r>
        <w:rPr>
          <w:b/>
          <w:bCs/>
        </w:rPr>
        <w:lastRenderedPageBreak/>
        <w:t xml:space="preserve">Figure S3. </w:t>
      </w:r>
      <w:r w:rsidRPr="00597C11">
        <w:t xml:space="preserve">Funnel plot assessment </w:t>
      </w:r>
      <w:r>
        <w:t xml:space="preserve">and egger’s regression test </w:t>
      </w:r>
      <w:r w:rsidRPr="00597C11">
        <w:t>of publication bias</w:t>
      </w:r>
    </w:p>
    <w:p w14:paraId="2C846A4D" w14:textId="4FBEE59B" w:rsidR="009069FC" w:rsidRDefault="009069FC">
      <w:r>
        <w:rPr>
          <w14:ligatures w14:val="standardContextual"/>
        </w:rPr>
        <w:drawing>
          <wp:inline distT="0" distB="0" distL="0" distR="0" wp14:anchorId="697B5029" wp14:editId="0CA3BB10">
            <wp:extent cx="4607237" cy="3683358"/>
            <wp:effectExtent l="0" t="0" r="3175" b="0"/>
            <wp:docPr id="9068361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36167" name="Picture 9068361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43" cy="368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7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715"/>
        <w:gridCol w:w="1231"/>
        <w:gridCol w:w="531"/>
        <w:gridCol w:w="886"/>
        <w:gridCol w:w="876"/>
        <w:gridCol w:w="1366"/>
        <w:gridCol w:w="1367"/>
      </w:tblGrid>
      <w:tr w:rsidR="009069FC" w:rsidRPr="00EB4153" w14:paraId="025E560F" w14:textId="77777777" w:rsidTr="009069FC">
        <w:trPr>
          <w:trHeight w:val="320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B3B637" w14:textId="77777777" w:rsidR="009069FC" w:rsidRPr="00EB4153" w:rsidRDefault="009069FC" w:rsidP="00C705A9">
            <w:pPr>
              <w:jc w:val="left"/>
              <w:rPr>
                <w:rFonts w:eastAsia="Times New Roman"/>
                <w:b/>
                <w:bCs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b/>
                <w:bCs/>
                <w:sz w:val="18"/>
                <w:szCs w:val="18"/>
                <w:lang w:val="en-AU"/>
              </w:rPr>
              <w:t>Test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6249E7" w14:textId="77777777" w:rsidR="009069FC" w:rsidRPr="00EB4153" w:rsidRDefault="009069FC" w:rsidP="00C705A9">
            <w:pPr>
              <w:jc w:val="left"/>
              <w:rPr>
                <w:rFonts w:eastAsia="Times New Roman"/>
                <w:b/>
                <w:bCs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b/>
                <w:bCs/>
                <w:sz w:val="18"/>
                <w:szCs w:val="18"/>
                <w:lang w:val="en-AU"/>
              </w:rPr>
              <w:t>Intercept (b)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9E861" w14:textId="77777777" w:rsidR="009069FC" w:rsidRPr="00EB4153" w:rsidRDefault="009069FC" w:rsidP="00C705A9">
            <w:pPr>
              <w:jc w:val="left"/>
              <w:rPr>
                <w:rFonts w:eastAsia="Times New Roman"/>
                <w:b/>
                <w:bCs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b/>
                <w:bCs/>
                <w:sz w:val="18"/>
                <w:szCs w:val="18"/>
                <w:lang w:val="en-AU"/>
              </w:rPr>
              <w:t>SE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149354" w14:textId="77777777" w:rsidR="009069FC" w:rsidRPr="00EB4153" w:rsidRDefault="009069FC" w:rsidP="00C705A9">
            <w:pPr>
              <w:jc w:val="left"/>
              <w:rPr>
                <w:rFonts w:eastAsia="Times New Roman"/>
                <w:b/>
                <w:bCs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b/>
                <w:bCs/>
                <w:sz w:val="18"/>
                <w:szCs w:val="18"/>
                <w:lang w:val="en-AU"/>
              </w:rPr>
              <w:t>Z-Value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64B8EF" w14:textId="77777777" w:rsidR="009069FC" w:rsidRPr="00EB4153" w:rsidRDefault="009069FC" w:rsidP="00C705A9">
            <w:pPr>
              <w:jc w:val="left"/>
              <w:rPr>
                <w:rFonts w:eastAsia="Times New Roman"/>
                <w:b/>
                <w:bCs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b/>
                <w:bCs/>
                <w:sz w:val="18"/>
                <w:szCs w:val="18"/>
                <w:lang w:val="en-AU"/>
              </w:rPr>
              <w:t>P-Value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17843D" w14:textId="77777777" w:rsidR="009069FC" w:rsidRPr="00EB4153" w:rsidRDefault="009069FC" w:rsidP="00C705A9">
            <w:pPr>
              <w:jc w:val="left"/>
              <w:rPr>
                <w:rFonts w:eastAsia="Times New Roman"/>
                <w:b/>
                <w:bCs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b/>
                <w:bCs/>
                <w:sz w:val="18"/>
                <w:szCs w:val="18"/>
                <w:lang w:val="en-AU"/>
              </w:rPr>
              <w:t>95% CI Lower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8E2B6" w14:textId="77777777" w:rsidR="009069FC" w:rsidRPr="00EB4153" w:rsidRDefault="009069FC" w:rsidP="00C705A9">
            <w:pPr>
              <w:jc w:val="left"/>
              <w:rPr>
                <w:rFonts w:eastAsia="Times New Roman"/>
                <w:b/>
                <w:bCs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b/>
                <w:bCs/>
                <w:sz w:val="18"/>
                <w:szCs w:val="18"/>
                <w:lang w:val="en-AU"/>
              </w:rPr>
              <w:t>95% CI Upper</w:t>
            </w:r>
          </w:p>
        </w:tc>
      </w:tr>
      <w:tr w:rsidR="009069FC" w:rsidRPr="00EB4153" w14:paraId="087E0CE1" w14:textId="77777777" w:rsidTr="009069FC">
        <w:trPr>
          <w:trHeight w:val="320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182D2D" w14:textId="77777777" w:rsidR="009069FC" w:rsidRPr="00EB4153" w:rsidRDefault="009069FC" w:rsidP="00C705A9">
            <w:pPr>
              <w:jc w:val="left"/>
              <w:rPr>
                <w:rFonts w:eastAsia="Times New Roman"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sz w:val="18"/>
                <w:szCs w:val="18"/>
                <w:lang w:val="en-AU"/>
              </w:rPr>
              <w:t>Egger's Regression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8A0C3D" w14:textId="77777777" w:rsidR="009069FC" w:rsidRPr="00EB4153" w:rsidRDefault="009069FC" w:rsidP="00C705A9">
            <w:pPr>
              <w:jc w:val="right"/>
              <w:rPr>
                <w:rFonts w:eastAsia="Times New Roman"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sz w:val="18"/>
                <w:szCs w:val="18"/>
                <w:lang w:val="en-AU"/>
              </w:rPr>
              <w:t>0.613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045881" w14:textId="77777777" w:rsidR="009069FC" w:rsidRPr="00EB4153" w:rsidRDefault="009069FC" w:rsidP="00C705A9">
            <w:pPr>
              <w:jc w:val="right"/>
              <w:rPr>
                <w:rFonts w:eastAsia="Times New Roman"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sz w:val="18"/>
                <w:szCs w:val="18"/>
                <w:lang w:val="en-AU"/>
              </w:rPr>
              <w:t>0.64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C40642" w14:textId="77777777" w:rsidR="009069FC" w:rsidRPr="00EB4153" w:rsidRDefault="009069FC" w:rsidP="00C705A9">
            <w:pPr>
              <w:jc w:val="right"/>
              <w:rPr>
                <w:rFonts w:eastAsia="Times New Roman"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sz w:val="18"/>
                <w:szCs w:val="18"/>
                <w:lang w:val="en-AU"/>
              </w:rPr>
              <w:t>-0.085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0F110" w14:textId="77777777" w:rsidR="009069FC" w:rsidRPr="00EB4153" w:rsidRDefault="009069FC" w:rsidP="00C705A9">
            <w:pPr>
              <w:jc w:val="right"/>
              <w:rPr>
                <w:rFonts w:eastAsia="Times New Roman"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sz w:val="18"/>
                <w:szCs w:val="18"/>
                <w:lang w:val="en-AU"/>
              </w:rPr>
              <w:t>0.932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CB98C" w14:textId="77777777" w:rsidR="009069FC" w:rsidRPr="00EB4153" w:rsidRDefault="009069FC" w:rsidP="00C705A9">
            <w:pPr>
              <w:jc w:val="right"/>
              <w:rPr>
                <w:rFonts w:eastAsia="Times New Roman"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sz w:val="18"/>
                <w:szCs w:val="18"/>
                <w:lang w:val="en-AU"/>
              </w:rPr>
              <w:t>-0.676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86F551" w14:textId="77777777" w:rsidR="009069FC" w:rsidRPr="00EB4153" w:rsidRDefault="009069FC" w:rsidP="00C705A9">
            <w:pPr>
              <w:jc w:val="right"/>
              <w:rPr>
                <w:rFonts w:eastAsia="Times New Roman"/>
                <w:sz w:val="18"/>
                <w:szCs w:val="18"/>
                <w:lang w:val="en-AU"/>
              </w:rPr>
            </w:pPr>
            <w:r w:rsidRPr="00EB4153">
              <w:rPr>
                <w:rFonts w:eastAsia="Times New Roman"/>
                <w:sz w:val="18"/>
                <w:szCs w:val="18"/>
                <w:lang w:val="en-AU"/>
              </w:rPr>
              <w:t>1.903</w:t>
            </w:r>
          </w:p>
        </w:tc>
      </w:tr>
    </w:tbl>
    <w:p w14:paraId="0235CC5A" w14:textId="77777777" w:rsidR="009069FC" w:rsidRPr="00AD0E3B" w:rsidRDefault="009069FC"/>
    <w:sectPr w:rsidR="009069FC" w:rsidRPr="00AD0E3B" w:rsidSect="00906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RWPalladioL-Ital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3B"/>
    <w:rsid w:val="00006200"/>
    <w:rsid w:val="00045096"/>
    <w:rsid w:val="00063559"/>
    <w:rsid w:val="000C720E"/>
    <w:rsid w:val="001228C8"/>
    <w:rsid w:val="0014568A"/>
    <w:rsid w:val="001730B5"/>
    <w:rsid w:val="001D49FE"/>
    <w:rsid w:val="001F7725"/>
    <w:rsid w:val="00496AD7"/>
    <w:rsid w:val="004D4F0D"/>
    <w:rsid w:val="005A087E"/>
    <w:rsid w:val="0065392F"/>
    <w:rsid w:val="006B38BB"/>
    <w:rsid w:val="006D28E9"/>
    <w:rsid w:val="00700442"/>
    <w:rsid w:val="00730F76"/>
    <w:rsid w:val="00734AE1"/>
    <w:rsid w:val="00777D64"/>
    <w:rsid w:val="007A7C10"/>
    <w:rsid w:val="007B4F7F"/>
    <w:rsid w:val="007C1154"/>
    <w:rsid w:val="00812650"/>
    <w:rsid w:val="008A1087"/>
    <w:rsid w:val="009069FC"/>
    <w:rsid w:val="009B1EC8"/>
    <w:rsid w:val="00A049D6"/>
    <w:rsid w:val="00A16950"/>
    <w:rsid w:val="00AD0E3B"/>
    <w:rsid w:val="00B22A73"/>
    <w:rsid w:val="00B61BFD"/>
    <w:rsid w:val="00B7612E"/>
    <w:rsid w:val="00BF1E32"/>
    <w:rsid w:val="00D72A61"/>
    <w:rsid w:val="00E02010"/>
    <w:rsid w:val="00E73ACC"/>
    <w:rsid w:val="00E75D94"/>
    <w:rsid w:val="00EA0EA8"/>
    <w:rsid w:val="00FA3694"/>
    <w:rsid w:val="00FD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6A3C1"/>
  <w15:chartTrackingRefBased/>
  <w15:docId w15:val="{283F91A4-A496-D243-AD91-0BBF8F9F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3B"/>
    <w:pPr>
      <w:spacing w:after="0" w:line="28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E3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E3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E3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E3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E3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E3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E3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E3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E3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E3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E3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E3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noProof w:val="0"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E3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noProof w:val="0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E3B"/>
    <w:rPr>
      <w:b/>
      <w:bCs/>
      <w:smallCaps/>
      <w:color w:val="0F4761" w:themeColor="accent1" w:themeShade="BF"/>
      <w:spacing w:val="5"/>
    </w:rPr>
  </w:style>
  <w:style w:type="paragraph" w:customStyle="1" w:styleId="MDPI21heading1">
    <w:name w:val="MDPI_2.1_heading1"/>
    <w:qFormat/>
    <w:rsid w:val="00AD0E3B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AD0E3B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D0E3B"/>
  </w:style>
  <w:style w:type="character" w:styleId="Strong">
    <w:name w:val="Strong"/>
    <w:basedOn w:val="DefaultParagraphFont"/>
    <w:uiPriority w:val="22"/>
    <w:qFormat/>
    <w:rsid w:val="00AD0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13186</dc:creator>
  <cp:keywords/>
  <dc:description/>
  <cp:lastModifiedBy>13186</cp:lastModifiedBy>
  <cp:revision>5</cp:revision>
  <dcterms:created xsi:type="dcterms:W3CDTF">2025-03-04T12:30:00Z</dcterms:created>
  <dcterms:modified xsi:type="dcterms:W3CDTF">2025-05-10T00:52:00Z</dcterms:modified>
</cp:coreProperties>
</file>