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default" w:ascii="Arial" w:hAnsi="Arial" w:eastAsia="Arial Unicode MS" w:cs="Arial"/>
          <w:b/>
          <w:bCs/>
          <w:szCs w:val="21"/>
          <w:highlight w:val="none"/>
          <w:lang w:val="en-US" w:eastAsia="zh-CN" w:bidi="ar"/>
        </w:rPr>
      </w:pPr>
      <w:bookmarkStart w:id="0" w:name="_Hlk60664340"/>
      <w:bookmarkEnd w:id="0"/>
      <w:bookmarkStart w:id="1" w:name="OLE_LINK17"/>
      <w:bookmarkStart w:id="2" w:name="OLE_LINK12"/>
      <w:bookmarkStart w:id="3" w:name="_Hlk73348862"/>
      <w:r>
        <w:rPr>
          <w:rFonts w:hint="default" w:ascii="Arial" w:hAnsi="Arial" w:eastAsia="Arial Unicode MS" w:cs="Arial"/>
          <w:b/>
          <w:bCs/>
          <w:szCs w:val="21"/>
          <w:highlight w:val="none"/>
          <w:lang w:val="en-US" w:eastAsia="zh-CN" w:bidi="ar"/>
        </w:rPr>
        <w:t xml:space="preserve">Regulating Immune Memory and Reversing Tumor </w:t>
      </w:r>
      <w:r>
        <w:rPr>
          <w:rFonts w:hint="eastAsia" w:ascii="Arial" w:hAnsi="Arial" w:eastAsia="Arial Unicode MS" w:cs="Arial"/>
          <w:b/>
          <w:bCs/>
          <w:szCs w:val="21"/>
          <w:highlight w:val="none"/>
          <w:lang w:val="en-US" w:eastAsia="zh-CN" w:bidi="ar"/>
        </w:rPr>
        <w:t>T</w:t>
      </w:r>
      <w:r>
        <w:rPr>
          <w:rFonts w:hint="default" w:ascii="Arial" w:hAnsi="Arial" w:eastAsia="Arial Unicode MS" w:cs="Arial"/>
          <w:b/>
          <w:bCs/>
          <w:szCs w:val="21"/>
          <w:highlight w:val="none"/>
          <w:lang w:val="en-US" w:eastAsia="zh-CN" w:bidi="ar"/>
        </w:rPr>
        <w:t>hermotolerance through a Step-by-Step Starving-Photothermal therapy</w:t>
      </w:r>
    </w:p>
    <w:bookmarkEnd w:id="1"/>
    <w:p>
      <w:pPr>
        <w:spacing w:line="240" w:lineRule="auto"/>
        <w:jc w:val="center"/>
        <w:rPr>
          <w:rFonts w:hint="default" w:ascii="Arial" w:hAnsi="Arial" w:eastAsia="Arial Unicode MS" w:cs="Arial"/>
          <w:b w:val="0"/>
          <w:bCs w:val="0"/>
          <w:szCs w:val="21"/>
          <w:highlight w:val="none"/>
          <w:lang w:val="en-US" w:eastAsia="zh-CN" w:bidi="ar"/>
        </w:rPr>
      </w:pPr>
    </w:p>
    <w:bookmarkEnd w:id="2"/>
    <w:p>
      <w:pPr>
        <w:spacing w:line="240" w:lineRule="auto"/>
        <w:rPr>
          <w:rFonts w:hint="default" w:ascii="Arial" w:hAnsi="Arial" w:eastAsia="Arial Unicode MS" w:cs="Arial"/>
          <w:b w:val="0"/>
          <w:bCs w:val="0"/>
          <w:szCs w:val="21"/>
          <w:highlight w:val="none"/>
          <w:lang w:bidi="ar"/>
        </w:rPr>
      </w:pPr>
      <w:bookmarkStart w:id="4" w:name="OLE_LINK7"/>
      <w:r>
        <w:rPr>
          <w:rFonts w:hint="default" w:ascii="Arial" w:hAnsi="Arial" w:eastAsia="Arial Unicode MS" w:cs="Arial"/>
          <w:b w:val="0"/>
          <w:bCs w:val="0"/>
          <w:szCs w:val="21"/>
          <w:highlight w:val="none"/>
          <w:lang w:bidi="ar"/>
        </w:rPr>
        <w:t>Lihua Luo</w:t>
      </w:r>
      <w:r>
        <w:rPr>
          <w:rFonts w:hint="default" w:ascii="Arial" w:hAnsi="Arial" w:eastAsia="Arial Unicode MS" w:cs="Arial"/>
          <w:b w:val="0"/>
          <w:bCs w:val="0"/>
          <w:szCs w:val="21"/>
          <w:highlight w:val="none"/>
          <w:vertAlign w:val="superscript"/>
          <w:lang w:bidi="ar"/>
        </w:rPr>
        <w:t>#</w:t>
      </w:r>
      <w:r>
        <w:rPr>
          <w:rFonts w:hint="default" w:ascii="Arial" w:hAnsi="Arial" w:eastAsia="Arial Unicode MS" w:cs="Arial"/>
          <w:b w:val="0"/>
          <w:bCs w:val="0"/>
          <w:szCs w:val="21"/>
          <w:highlight w:val="none"/>
          <w:lang w:bidi="ar"/>
        </w:rPr>
        <w:t>, Bing Qin</w:t>
      </w:r>
      <w:r>
        <w:rPr>
          <w:rFonts w:hint="default" w:ascii="Arial" w:hAnsi="Arial" w:eastAsia="Arial Unicode MS" w:cs="Arial"/>
          <w:b w:val="0"/>
          <w:bCs w:val="0"/>
          <w:szCs w:val="21"/>
          <w:highlight w:val="none"/>
          <w:vertAlign w:val="superscript"/>
          <w:lang w:bidi="ar"/>
        </w:rPr>
        <w:t>#</w:t>
      </w:r>
      <w:r>
        <w:rPr>
          <w:rFonts w:hint="default" w:ascii="Arial" w:hAnsi="Arial" w:eastAsia="Arial Unicode MS" w:cs="Arial"/>
          <w:b w:val="0"/>
          <w:bCs w:val="0"/>
          <w:szCs w:val="21"/>
          <w:highlight w:val="none"/>
          <w:lang w:bidi="ar"/>
        </w:rPr>
        <w:t>, Mengshi Jiang, Lin Xie, Zhenyu Luo, Xuemeng Guo, Junlei Zhang, Xiang Li, Chunqi Zhu,Yongzhong Du, Ling Peng* and Jian You*</w:t>
      </w:r>
    </w:p>
    <w:bookmarkEnd w:id="4"/>
    <w:p>
      <w:pPr>
        <w:spacing w:line="240" w:lineRule="auto"/>
        <w:rPr>
          <w:rFonts w:hint="default" w:ascii="Arial" w:hAnsi="Arial" w:eastAsia="Arial Unicode MS" w:cs="Arial"/>
          <w:b w:val="0"/>
          <w:bCs w:val="0"/>
          <w:szCs w:val="21"/>
          <w:highlight w:val="none"/>
        </w:rPr>
      </w:pPr>
    </w:p>
    <w:p>
      <w:pPr>
        <w:spacing w:line="240" w:lineRule="auto"/>
        <w:rPr>
          <w:rFonts w:hint="default" w:ascii="Arial" w:hAnsi="Arial" w:cs="Arial"/>
          <w:b w:val="0"/>
          <w:bCs w:val="0"/>
          <w:szCs w:val="21"/>
          <w:highlight w:val="none"/>
        </w:rPr>
      </w:pPr>
      <w:r>
        <w:rPr>
          <w:rFonts w:hint="default" w:ascii="Arial" w:hAnsi="Arial" w:eastAsia="宋体" w:cs="Arial"/>
          <w:b w:val="0"/>
          <w:bCs w:val="0"/>
          <w:szCs w:val="21"/>
          <w:highlight w:val="none"/>
          <w:lang w:bidi="ar"/>
        </w:rPr>
        <w:t>Author Affiliations: College of Pharmaceutical Sciences, Zhejiang University, 866 Yuhangtang Road, Hangzhou, Zhejiang 310058, P. R. China.</w:t>
      </w:r>
    </w:p>
    <w:p>
      <w:pPr>
        <w:spacing w:line="240" w:lineRule="auto"/>
        <w:rPr>
          <w:rFonts w:hint="default" w:ascii="Arial" w:hAnsi="Arial" w:eastAsia="宋体" w:cs="Arial"/>
          <w:b w:val="0"/>
          <w:bCs w:val="0"/>
          <w:szCs w:val="21"/>
          <w:highlight w:val="none"/>
          <w:lang w:bidi="ar"/>
        </w:rPr>
      </w:pPr>
      <w:r>
        <w:rPr>
          <w:rFonts w:hint="default" w:ascii="Arial" w:hAnsi="Arial" w:eastAsia="Arial Unicode MS" w:cs="Arial"/>
          <w:b w:val="0"/>
          <w:bCs w:val="0"/>
          <w:szCs w:val="21"/>
          <w:highlight w:val="none"/>
          <w:lang w:bidi="ar"/>
        </w:rPr>
        <w:t>*</w:t>
      </w:r>
      <w:r>
        <w:rPr>
          <w:rFonts w:hint="default" w:ascii="Arial" w:hAnsi="Arial" w:eastAsia="宋体" w:cs="Arial"/>
          <w:b w:val="0"/>
          <w:bCs w:val="0"/>
          <w:szCs w:val="21"/>
          <w:highlight w:val="none"/>
          <w:lang w:bidi="ar"/>
        </w:rPr>
        <w:t>Corresponding Author: Jian You, College of Pharmaceutical Sciences, Zhejiang University, 866 Yuhangtang Road, Hangzhou 310058, Zhejiang, People’s republic of China.</w:t>
      </w:r>
      <w:bookmarkStart w:id="5" w:name="_Hlk73348906"/>
      <w:r>
        <w:rPr>
          <w:rFonts w:hint="default" w:ascii="Arial" w:hAnsi="Arial" w:eastAsia="宋体" w:cs="Arial"/>
          <w:b w:val="0"/>
          <w:bCs w:val="0"/>
          <w:szCs w:val="21"/>
          <w:highlight w:val="none"/>
          <w:lang w:bidi="ar"/>
        </w:rPr>
        <w:t>Email:</w:t>
      </w:r>
      <w:r>
        <w:rPr>
          <w:rFonts w:hint="default" w:ascii="Arial" w:hAnsi="Arial" w:eastAsia="宋体" w:cs="Arial"/>
          <w:b w:val="0"/>
          <w:bCs w:val="0"/>
          <w:szCs w:val="21"/>
          <w:highlight w:val="none"/>
          <w:lang w:val="en-US" w:eastAsia="zh-CN" w:bidi="ar"/>
        </w:rPr>
        <w:t xml:space="preserve"> </w:t>
      </w:r>
      <w:r>
        <w:rPr>
          <w:rFonts w:hint="default" w:ascii="Arial" w:hAnsi="Arial" w:cs="Arial"/>
          <w:b w:val="0"/>
          <w:bCs w:val="0"/>
          <w:color w:val="auto"/>
          <w:szCs w:val="21"/>
          <w:highlight w:val="none"/>
          <w:u w:val="none"/>
        </w:rPr>
        <w:t>youjiandoc@zju.edu.cn</w:t>
      </w:r>
      <w:r>
        <w:rPr>
          <w:rFonts w:hint="default" w:ascii="Arial" w:hAnsi="Arial" w:eastAsia="宋体" w:cs="Arial"/>
          <w:b w:val="0"/>
          <w:bCs w:val="0"/>
          <w:szCs w:val="21"/>
          <w:highlight w:val="none"/>
          <w:lang w:bidi="ar"/>
        </w:rPr>
        <w:t>.</w:t>
      </w:r>
    </w:p>
    <w:p>
      <w:pPr>
        <w:spacing w:line="240" w:lineRule="auto"/>
        <w:rPr>
          <w:rFonts w:hint="default" w:ascii="Arial" w:hAnsi="Arial" w:cs="Arial" w:eastAsiaTheme="minorEastAsia"/>
          <w:b w:val="0"/>
          <w:bCs w:val="0"/>
          <w:szCs w:val="21"/>
          <w:highlight w:val="none"/>
          <w:lang w:val="en-US" w:eastAsia="zh-CN" w:bidi="ar"/>
        </w:rPr>
      </w:pPr>
      <w:r>
        <w:rPr>
          <w:rFonts w:hint="default" w:ascii="Arial" w:hAnsi="Arial" w:cs="Arial"/>
          <w:b w:val="0"/>
          <w:bCs w:val="0"/>
          <w:highlight w:val="none"/>
        </w:rPr>
        <w:t>Ling Peng, Department of Respiratory Disease, Zhejiang Provincial People’s Hospital, Hangzhou, Zhejiang, China, 310003,Email: drpengling@hotmail.com</w:t>
      </w:r>
      <w:r>
        <w:rPr>
          <w:rFonts w:hint="default" w:ascii="Arial" w:hAnsi="Arial" w:cs="Arial"/>
          <w:b w:val="0"/>
          <w:bCs w:val="0"/>
          <w:highlight w:val="none"/>
          <w:lang w:val="en-US" w:eastAsia="zh-CN"/>
        </w:rPr>
        <w:t>.</w:t>
      </w:r>
    </w:p>
    <w:p>
      <w:pPr>
        <w:spacing w:line="240" w:lineRule="auto"/>
        <w:rPr>
          <w:rFonts w:hint="default" w:ascii="Arial" w:hAnsi="Arial" w:eastAsia="宋体" w:cs="Arial"/>
          <w:b w:val="0"/>
          <w:bCs w:val="0"/>
          <w:szCs w:val="21"/>
          <w:highlight w:val="none"/>
          <w:lang w:val="en-US" w:eastAsia="zh-CN" w:bidi="ar"/>
        </w:rPr>
      </w:pPr>
      <w:r>
        <w:rPr>
          <w:rFonts w:hint="default" w:ascii="Arial" w:hAnsi="Arial" w:eastAsia="Arial Unicode MS" w:cs="Arial"/>
          <w:b w:val="0"/>
          <w:bCs w:val="0"/>
          <w:szCs w:val="21"/>
          <w:highlight w:val="none"/>
          <w:vertAlign w:val="superscript"/>
          <w:lang w:bidi="ar"/>
        </w:rPr>
        <w:t xml:space="preserve"># </w:t>
      </w:r>
      <w:r>
        <w:rPr>
          <w:rFonts w:hint="default" w:ascii="Arial" w:hAnsi="Arial" w:eastAsia="Arial Unicode MS" w:cs="Arial"/>
          <w:b w:val="0"/>
          <w:bCs w:val="0"/>
          <w:szCs w:val="21"/>
          <w:highlight w:val="none"/>
          <w:lang w:bidi="ar"/>
        </w:rPr>
        <w:t>These author</w:t>
      </w:r>
      <w:r>
        <w:rPr>
          <w:rFonts w:hint="default" w:ascii="Arial" w:hAnsi="Arial" w:eastAsia="宋体" w:cs="Arial"/>
          <w:b w:val="0"/>
          <w:bCs w:val="0"/>
          <w:szCs w:val="21"/>
          <w:highlight w:val="none"/>
          <w:lang w:bidi="ar"/>
        </w:rPr>
        <w:t xml:space="preserve">s </w:t>
      </w:r>
      <w:r>
        <w:rPr>
          <w:rFonts w:hint="default" w:ascii="Arial" w:hAnsi="Arial" w:eastAsia="宋体" w:cs="Arial"/>
          <w:b w:val="0"/>
          <w:bCs w:val="0"/>
          <w:szCs w:val="21"/>
          <w:highlight w:val="none"/>
          <w:lang w:val="en-US" w:eastAsia="zh-CN" w:bidi="ar"/>
        </w:rPr>
        <w:t>contribute</w:t>
      </w:r>
      <w:r>
        <w:rPr>
          <w:rFonts w:hint="default" w:ascii="Arial" w:hAnsi="Arial" w:eastAsia="宋体" w:cs="Arial"/>
          <w:b w:val="0"/>
          <w:bCs w:val="0"/>
          <w:szCs w:val="21"/>
          <w:highlight w:val="none"/>
          <w:lang w:bidi="ar"/>
        </w:rPr>
        <w:t xml:space="preserve"> equally</w:t>
      </w:r>
      <w:r>
        <w:rPr>
          <w:rFonts w:hint="default" w:ascii="Arial" w:hAnsi="Arial" w:eastAsia="宋体" w:cs="Arial"/>
          <w:b w:val="0"/>
          <w:bCs w:val="0"/>
          <w:szCs w:val="21"/>
          <w:highlight w:val="none"/>
          <w:lang w:val="en-US" w:eastAsia="zh-CN" w:bidi="ar"/>
        </w:rPr>
        <w:t>.</w:t>
      </w:r>
    </w:p>
    <w:bookmarkEnd w:id="5"/>
    <w:p>
      <w:pPr>
        <w:widowControl/>
        <w:jc w:val="left"/>
        <w:rPr>
          <w:rFonts w:ascii="Arial" w:hAnsi="Arial" w:eastAsia="宋体" w:cs="Arial"/>
          <w:color w:val="auto"/>
          <w:szCs w:val="21"/>
          <w:lang w:bidi="ar"/>
        </w:rPr>
      </w:pPr>
      <w:r>
        <w:rPr>
          <w:rFonts w:ascii="Arial" w:hAnsi="Arial" w:eastAsia="宋体" w:cs="Arial"/>
          <w:color w:val="auto"/>
          <w:szCs w:val="21"/>
          <w:lang w:bidi="ar"/>
        </w:rPr>
        <w:br w:type="page"/>
      </w:r>
    </w:p>
    <w:bookmarkEnd w:id="3"/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color w:val="auto"/>
        </w:rPr>
        <w:drawing>
          <wp:inline distT="0" distB="0" distL="0" distR="0">
            <wp:extent cx="3312795" cy="1584325"/>
            <wp:effectExtent l="0" t="0" r="1905" b="0"/>
            <wp:docPr id="9" name="图片 3" descr="第1页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第1页-1"/>
                    <pic:cNvPicPr>
                      <a:picLocks noChangeAspect="1"/>
                    </pic:cNvPicPr>
                  </pic:nvPicPr>
                  <pic:blipFill>
                    <a:blip r:embed="rId4"/>
                    <a:srcRect l="55833" t="11114" r="5796" b="65124"/>
                    <a:stretch>
                      <a:fillRect/>
                    </a:stretch>
                  </pic:blipFill>
                  <pic:spPr>
                    <a:xfrm>
                      <a:off x="0" y="0"/>
                      <a:ext cx="3312795" cy="158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hint="eastAsia" w:ascii="Arial" w:hAnsi="Arial" w:cs="Arial"/>
          <w:b/>
          <w:bCs/>
          <w:color w:val="auto"/>
        </w:rPr>
        <w:t>F</w:t>
      </w:r>
      <w:r>
        <w:rPr>
          <w:rFonts w:ascii="Arial" w:hAnsi="Arial" w:cs="Arial"/>
          <w:b/>
          <w:bCs/>
          <w:color w:val="auto"/>
        </w:rPr>
        <w:t xml:space="preserve">igure S1. </w:t>
      </w:r>
      <w:r>
        <w:rPr>
          <w:rFonts w:ascii="Arial" w:hAnsi="Arial" w:cs="Arial"/>
          <w:color w:val="auto"/>
        </w:rPr>
        <w:t>The hydrated particle size of MS measured by dynamic light scattering.</w:t>
      </w:r>
    </w:p>
    <w:p>
      <w:pPr>
        <w:spacing w:line="360" w:lineRule="auto"/>
        <w:jc w:val="center"/>
        <w:rPr>
          <w:rFonts w:ascii="Arial" w:hAnsi="Arial" w:cs="Arial"/>
          <w:b/>
          <w:bCs/>
          <w:color w:val="auto"/>
        </w:rPr>
      </w:pPr>
    </w:p>
    <w:p>
      <w:pPr>
        <w:spacing w:line="360" w:lineRule="auto"/>
        <w:jc w:val="center"/>
        <w:rPr>
          <w:rFonts w:ascii="Arial" w:hAnsi="Arial" w:cs="Arial"/>
          <w:b/>
          <w:bCs/>
          <w:color w:val="auto"/>
        </w:rPr>
      </w:pPr>
      <w:bookmarkStart w:id="10" w:name="_GoBack"/>
      <w:r>
        <w:rPr>
          <w:color w:val="auto"/>
        </w:rPr>
        <w:drawing>
          <wp:inline distT="0" distB="0" distL="114300" distR="114300">
            <wp:extent cx="3886835" cy="2041525"/>
            <wp:effectExtent l="0" t="0" r="0" b="0"/>
            <wp:docPr id="1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10"/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hint="eastAsia" w:ascii="Arial" w:hAnsi="Arial" w:cs="Arial"/>
          <w:b/>
          <w:bCs/>
          <w:color w:val="auto"/>
        </w:rPr>
        <w:t xml:space="preserve"> F</w:t>
      </w:r>
      <w:r>
        <w:rPr>
          <w:rFonts w:ascii="Arial" w:hAnsi="Arial" w:cs="Arial"/>
          <w:b/>
          <w:bCs/>
          <w:color w:val="auto"/>
        </w:rPr>
        <w:t xml:space="preserve">igure S2. </w:t>
      </w:r>
      <w:r>
        <w:rPr>
          <w:rFonts w:ascii="Arial" w:hAnsi="Arial" w:cs="Arial"/>
          <w:color w:val="auto"/>
        </w:rPr>
        <w:t>The standard curve of Met through HPLC.</w:t>
      </w:r>
    </w:p>
    <w:p>
      <w:pPr>
        <w:spacing w:line="360" w:lineRule="auto"/>
        <w:jc w:val="center"/>
        <w:rPr>
          <w:rFonts w:hint="eastAsia" w:ascii="Arial" w:hAnsi="Arial" w:cs="Arial"/>
          <w:color w:val="auto"/>
        </w:rPr>
      </w:pP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0" distR="0">
            <wp:extent cx="3481070" cy="2743200"/>
            <wp:effectExtent l="0" t="0" r="508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958"/>
                    <a:stretch>
                      <a:fillRect/>
                    </a:stretch>
                  </pic:blipFill>
                  <pic:spPr>
                    <a:xfrm>
                      <a:off x="0" y="0"/>
                      <a:ext cx="3481494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  <w:bookmarkStart w:id="6" w:name="OLE_LINK3"/>
      <w:bookmarkStart w:id="7" w:name="OLE_LINK4"/>
      <w:r>
        <w:rPr>
          <w:rFonts w:ascii="Arial" w:hAnsi="Arial" w:cs="Arial"/>
          <w:b/>
          <w:bCs/>
          <w:color w:val="auto"/>
        </w:rPr>
        <w:t>Figure S3.</w:t>
      </w:r>
      <w:r>
        <w:rPr>
          <w:rFonts w:ascii="Arial" w:hAnsi="Arial" w:cs="Arial"/>
          <w:color w:val="auto"/>
        </w:rPr>
        <w:t xml:space="preserve"> Proliferation curve of CD8+T cell.</w:t>
      </w:r>
    </w:p>
    <w:bookmarkEnd w:id="6"/>
    <w:bookmarkEnd w:id="7"/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color w:val="auto"/>
        </w:rPr>
        <w:drawing>
          <wp:inline distT="0" distB="0" distL="114300" distR="114300">
            <wp:extent cx="5273675" cy="4081145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8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 xml:space="preserve">Figure S4. </w:t>
      </w:r>
      <w:r>
        <w:rPr>
          <w:rFonts w:ascii="Arial" w:hAnsi="Arial" w:cs="Arial"/>
          <w:color w:val="auto"/>
        </w:rPr>
        <w:t>(A) IC50 of free 2DG, Met and 2DG plus Met on B16F10 cells. (B) Cell viability of B16F10 after being incubated with free 2DG and Met at different concentration.</w:t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114300" distR="114300">
            <wp:extent cx="4606925" cy="2207895"/>
            <wp:effectExtent l="0" t="0" r="3175" b="190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08518" cy="2208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Figure S5.</w:t>
      </w:r>
      <w:r>
        <w:rPr>
          <w:rFonts w:ascii="Arial" w:hAnsi="Arial" w:cs="Arial"/>
          <w:color w:val="auto"/>
        </w:rPr>
        <w:t xml:space="preserve"> Mitochondrial membrane potential fluorescence of B16F10 tumor cells</w:t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114300" distR="114300">
            <wp:extent cx="5269230" cy="4084955"/>
            <wp:effectExtent l="0" t="0" r="1270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08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Figure S6.</w:t>
      </w:r>
      <w:r>
        <w:rPr>
          <w:rFonts w:ascii="Arial" w:hAnsi="Arial" w:cs="Arial"/>
          <w:color w:val="auto"/>
        </w:rPr>
        <w:t xml:space="preserve"> （A）</w:t>
      </w:r>
      <w:bookmarkStart w:id="8" w:name="OLE_LINK2"/>
      <w:bookmarkStart w:id="9" w:name="OLE_LINK1"/>
      <w:r>
        <w:rPr>
          <w:rFonts w:ascii="Arial" w:hAnsi="Arial" w:cs="Arial"/>
          <w:color w:val="auto"/>
        </w:rPr>
        <w:t xml:space="preserve">Mitochondrial membrane potential fluorescence </w:t>
      </w:r>
      <w:bookmarkEnd w:id="8"/>
      <w:bookmarkEnd w:id="9"/>
      <w:r>
        <w:rPr>
          <w:rFonts w:ascii="Arial" w:hAnsi="Arial" w:cs="Arial"/>
          <w:color w:val="auto"/>
        </w:rPr>
        <w:t>of EG7-OVA tumor cells. (B) Flow cytometry plot of mitochondrial membrane potential fluorescence. (C) Quantification based on (B)</w:t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114300" distR="114300">
            <wp:extent cx="5400040" cy="2933065"/>
            <wp:effectExtent l="0" t="0" r="0" b="63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rcRect l="1809" r="654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3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Figure S</w:t>
      </w:r>
      <w:r>
        <w:rPr>
          <w:rFonts w:hint="eastAsia" w:ascii="Arial" w:hAnsi="Arial" w:cs="Arial"/>
          <w:b/>
          <w:bCs/>
          <w:color w:val="auto"/>
          <w:lang w:val="en-US" w:eastAsia="zh-CN"/>
        </w:rPr>
        <w:t>7</w:t>
      </w:r>
      <w:r>
        <w:rPr>
          <w:rFonts w:ascii="Arial" w:hAnsi="Arial" w:cs="Arial"/>
          <w:b/>
          <w:bCs/>
          <w:color w:val="auto"/>
        </w:rPr>
        <w:t>.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eastAsia="宋体" w:cs="Arial"/>
          <w:color w:val="auto"/>
          <w:lang w:bidi="ar"/>
        </w:rPr>
        <w:t>Representative flow cytometry plots (A) and quantification (B) of apoptosis rates of EG7-OVA cells.</w:t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114300" distR="114300">
            <wp:extent cx="5219700" cy="1540510"/>
            <wp:effectExtent l="0" t="0" r="0" b="889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54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Figure S8.</w:t>
      </w:r>
      <w:r>
        <w:rPr>
          <w:rFonts w:ascii="Arial" w:hAnsi="Arial" w:eastAsia="宋体" w:cs="Arial"/>
          <w:color w:val="auto"/>
          <w:lang w:bidi="ar"/>
        </w:rPr>
        <w:t xml:space="preserve"> Flow cytometry analysis of DC maturation by analyzing CD11c+MHCI+ DCs.</w:t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0" distR="0">
            <wp:extent cx="5147310" cy="263588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8"/>
                    <a:stretch>
                      <a:fillRect/>
                    </a:stretch>
                  </pic:blipFill>
                  <pic:spPr>
                    <a:xfrm>
                      <a:off x="0" y="0"/>
                      <a:ext cx="5148490" cy="2636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Figure S9.</w:t>
      </w:r>
      <w:r>
        <w:rPr>
          <w:rFonts w:ascii="Arial" w:hAnsi="Arial" w:cs="Arial"/>
          <w:color w:val="auto"/>
        </w:rPr>
        <w:t xml:space="preserve"> H&amp;E staining of skin, lymph nodes, and tumor tissues isolated from B16F10 tumor bearing mice, the red arrows indicate areas of inflammation.</w:t>
      </w:r>
    </w:p>
    <w:p>
      <w:pPr>
        <w:spacing w:line="360" w:lineRule="auto"/>
        <w:rPr>
          <w:rFonts w:ascii="Arial" w:hAnsi="Arial" w:cs="Arial"/>
          <w:color w:val="auto"/>
        </w:rPr>
      </w:pPr>
    </w:p>
    <w:p>
      <w:pPr>
        <w:spacing w:line="360" w:lineRule="auto"/>
        <w:jc w:val="center"/>
        <w:rPr>
          <w:rFonts w:ascii="Arial" w:hAnsi="Arial" w:eastAsia="宋体" w:cs="Arial"/>
          <w:b/>
          <w:bCs/>
          <w:color w:val="auto"/>
          <w:szCs w:val="21"/>
          <w:lang w:bidi="ar"/>
        </w:rPr>
      </w:pPr>
      <w:r>
        <w:rPr>
          <w:rFonts w:ascii="Arial" w:hAnsi="Arial" w:eastAsia="宋体" w:cs="Arial"/>
          <w:b/>
          <w:bCs/>
          <w:color w:val="auto"/>
          <w:szCs w:val="21"/>
          <w:lang w:bidi="ar"/>
        </w:rPr>
        <w:drawing>
          <wp:inline distT="0" distB="0" distL="0" distR="0">
            <wp:extent cx="5274310" cy="2013585"/>
            <wp:effectExtent l="0" t="0" r="0" b="571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3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Figure S10.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color w:val="auto"/>
        </w:rPr>
        <w:t>Treatment and administration strategy</w:t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114300" distR="114300">
            <wp:extent cx="5604510" cy="1994535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04510" cy="199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Figure S11</w:t>
      </w:r>
      <w:r>
        <w:rPr>
          <w:rFonts w:ascii="Arial" w:hAnsi="Arial" w:cs="Arial"/>
          <w:color w:val="auto"/>
        </w:rPr>
        <w:t>. (A) Flow cytometry plots of DC and OVA-specific DC in lymph nodes of EG7-OVA mice, (B) Quantification of flow cytometry based on (A).</w:t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114300" distR="114300">
            <wp:extent cx="5274310" cy="3554730"/>
            <wp:effectExtent l="0" t="0" r="0" b="0"/>
            <wp:docPr id="2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Figure S12</w:t>
      </w:r>
      <w:r>
        <w:rPr>
          <w:rFonts w:ascii="Arial" w:hAnsi="Arial" w:cs="Arial"/>
          <w:color w:val="auto"/>
        </w:rPr>
        <w:t xml:space="preserve">.Fow cytometry of lymphocytes (A), CD3+T (B) and CD3+CD8+T cells (C) in lymph nodes of EG7-OVA mice. </w:t>
      </w:r>
    </w:p>
    <w:p>
      <w:p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0" distR="0">
            <wp:extent cx="5399405" cy="36258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6264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auto"/>
        </w:rPr>
        <w:t xml:space="preserve">Figure S13. </w:t>
      </w:r>
      <w:r>
        <w:rPr>
          <w:rFonts w:ascii="Arial" w:hAnsi="Arial" w:cs="Arial"/>
          <w:color w:val="auto"/>
        </w:rPr>
        <w:t xml:space="preserve">Flow cytometry plots of OVA-specific CD8+T cells in lymph nodes (A), PBMC (B) and spleen (C) of EG7-OVA mice. </w:t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114300" distR="114300">
            <wp:extent cx="5266055" cy="1327150"/>
            <wp:effectExtent l="0" t="0" r="0" b="0"/>
            <wp:docPr id="2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32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Figure S14.</w:t>
      </w:r>
      <w:r>
        <w:rPr>
          <w:rFonts w:ascii="Arial" w:hAnsi="Arial" w:cs="Arial"/>
          <w:color w:val="auto"/>
        </w:rPr>
        <w:t xml:space="preserve"> Flow cytometry</w:t>
      </w:r>
      <w:r>
        <w:rPr>
          <w:rFonts w:hint="eastAsia" w:ascii="Arial" w:hAnsi="Arial" w:cs="Arial"/>
          <w:color w:val="auto"/>
        </w:rPr>
        <w:t xml:space="preserve"> </w:t>
      </w:r>
      <w:r>
        <w:rPr>
          <w:rFonts w:ascii="Arial" w:hAnsi="Arial" w:cs="Arial"/>
          <w:color w:val="auto"/>
        </w:rPr>
        <w:t xml:space="preserve">of CD3+T cells in tumor of EG7-OVA mice. </w:t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0" distR="0">
            <wp:extent cx="2838450" cy="1517650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51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Figure S15.</w:t>
      </w:r>
      <w:r>
        <w:rPr>
          <w:color w:val="auto"/>
        </w:rPr>
        <w:t xml:space="preserve"> </w:t>
      </w:r>
      <w:r>
        <w:rPr>
          <w:rFonts w:ascii="Arial" w:hAnsi="Arial" w:cs="Arial"/>
          <w:color w:val="auto"/>
        </w:rPr>
        <w:t>EG7-OVA tumor model on C57 mice.</w:t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0" distR="0">
            <wp:extent cx="2838450" cy="151765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51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 xml:space="preserve">Figure S16. </w:t>
      </w:r>
      <w:r>
        <w:rPr>
          <w:rFonts w:ascii="Arial" w:hAnsi="Arial" w:cs="Arial"/>
          <w:color w:val="auto"/>
        </w:rPr>
        <w:t>B16F10 tumor model on C57 mice.</w:t>
      </w:r>
    </w:p>
    <w:p>
      <w:pPr>
        <w:spacing w:line="360" w:lineRule="auto"/>
        <w:rPr>
          <w:rFonts w:ascii="Arial" w:hAnsi="Arial" w:cs="Arial"/>
          <w:color w:val="auto"/>
        </w:rPr>
      </w:pP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114300" distR="114300">
            <wp:extent cx="5219700" cy="930910"/>
            <wp:effectExtent l="0" t="0" r="0" b="8890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93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 xml:space="preserve">Figure S17. </w:t>
      </w:r>
      <w:r>
        <w:rPr>
          <w:rFonts w:ascii="Arial" w:hAnsi="Arial" w:cs="Arial"/>
          <w:color w:val="auto"/>
        </w:rPr>
        <w:t>H&amp;E assays of tumor cells in the MS (+) NIR plus 2DG group.</w:t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0" distR="0">
            <wp:extent cx="5399405" cy="3441700"/>
            <wp:effectExtent l="0" t="0" r="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4419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Figure S18.</w:t>
      </w:r>
      <w:r>
        <w:rPr>
          <w:rFonts w:ascii="Arial" w:hAnsi="Arial" w:cs="Arial"/>
          <w:color w:val="auto"/>
        </w:rPr>
        <w:t xml:space="preserve"> Flow cytometry plots of CD8+ T cells in LNs, spleen and PBMCs after different treatments.</w:t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drawing>
          <wp:inline distT="0" distB="0" distL="0" distR="0">
            <wp:extent cx="5399405" cy="312928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1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color w:val="auto"/>
        </w:rPr>
      </w:pPr>
      <w:r>
        <w:rPr>
          <w:rFonts w:ascii="Arial" w:hAnsi="Arial" w:cs="Arial"/>
          <w:b/>
          <w:bCs/>
          <w:color w:val="auto"/>
        </w:rPr>
        <w:t>Figure S19.</w:t>
      </w:r>
      <w:r>
        <w:rPr>
          <w:color w:val="auto"/>
        </w:rPr>
        <w:t xml:space="preserve"> Immunofluorescence images of </w:t>
      </w:r>
      <w:r>
        <w:rPr>
          <w:rFonts w:ascii="Arial" w:hAnsi="Arial" w:cs="Arial"/>
          <w:color w:val="auto"/>
        </w:rPr>
        <w:t xml:space="preserve">Treg cells and functional CD8+T cells infiltrated tumor sections after different treatments (A); (B) Quantitation of Treg cells based on flow cytometry; (C) Quantitation of Treg cells based on </w:t>
      </w:r>
      <w:r>
        <w:rPr>
          <w:color w:val="auto"/>
        </w:rPr>
        <w:t>immunofluorescence images.</w:t>
      </w:r>
    </w:p>
    <w:p>
      <w:pPr>
        <w:spacing w:line="360" w:lineRule="auto"/>
        <w:jc w:val="center"/>
        <w:rPr>
          <w:rFonts w:ascii="Arial" w:hAnsi="Arial" w:cs="Arial"/>
          <w:color w:val="auto"/>
        </w:rPr>
      </w:pPr>
    </w:p>
    <w:p>
      <w:pPr>
        <w:spacing w:line="360" w:lineRule="auto"/>
        <w:jc w:val="center"/>
        <w:rPr>
          <w:rFonts w:ascii="Arial" w:hAnsi="Arial" w:cs="Arial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6B4640"/>
    <w:rsid w:val="00085A31"/>
    <w:rsid w:val="00222F14"/>
    <w:rsid w:val="003B3563"/>
    <w:rsid w:val="003E692C"/>
    <w:rsid w:val="003F4DE8"/>
    <w:rsid w:val="00451D53"/>
    <w:rsid w:val="004D59B9"/>
    <w:rsid w:val="005110A7"/>
    <w:rsid w:val="006E640C"/>
    <w:rsid w:val="00720D47"/>
    <w:rsid w:val="007314CA"/>
    <w:rsid w:val="00775F69"/>
    <w:rsid w:val="0084533C"/>
    <w:rsid w:val="008678C3"/>
    <w:rsid w:val="00984C0A"/>
    <w:rsid w:val="009B6760"/>
    <w:rsid w:val="009E5083"/>
    <w:rsid w:val="00AA0682"/>
    <w:rsid w:val="00AA28C2"/>
    <w:rsid w:val="00AF4B99"/>
    <w:rsid w:val="00B41C9E"/>
    <w:rsid w:val="00B45AF5"/>
    <w:rsid w:val="00B55A40"/>
    <w:rsid w:val="00BB1BA3"/>
    <w:rsid w:val="00C502CF"/>
    <w:rsid w:val="00C95B01"/>
    <w:rsid w:val="00D034C3"/>
    <w:rsid w:val="00DE284B"/>
    <w:rsid w:val="00E0064F"/>
    <w:rsid w:val="00F50598"/>
    <w:rsid w:val="00FA3289"/>
    <w:rsid w:val="01D2203C"/>
    <w:rsid w:val="06354E3D"/>
    <w:rsid w:val="08764774"/>
    <w:rsid w:val="0FD07651"/>
    <w:rsid w:val="16A32198"/>
    <w:rsid w:val="1B9060CA"/>
    <w:rsid w:val="1C6C71B6"/>
    <w:rsid w:val="2C787A57"/>
    <w:rsid w:val="300D7EE0"/>
    <w:rsid w:val="3057527C"/>
    <w:rsid w:val="30886633"/>
    <w:rsid w:val="341C1E2B"/>
    <w:rsid w:val="34AE5155"/>
    <w:rsid w:val="39DE0E93"/>
    <w:rsid w:val="3E6E102C"/>
    <w:rsid w:val="41EE1440"/>
    <w:rsid w:val="446D1EAA"/>
    <w:rsid w:val="45593C92"/>
    <w:rsid w:val="466F078B"/>
    <w:rsid w:val="4BCF7ACD"/>
    <w:rsid w:val="50FB61A1"/>
    <w:rsid w:val="53300CC9"/>
    <w:rsid w:val="55072AE7"/>
    <w:rsid w:val="566B4640"/>
    <w:rsid w:val="5C4E42DC"/>
    <w:rsid w:val="5E106227"/>
    <w:rsid w:val="60196598"/>
    <w:rsid w:val="67E15FCC"/>
    <w:rsid w:val="710636B8"/>
    <w:rsid w:val="76470DE6"/>
    <w:rsid w:val="795B0CA0"/>
    <w:rsid w:val="79665C5A"/>
    <w:rsid w:val="7D270EA9"/>
    <w:rsid w:val="7F1C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kern w:val="2"/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chart" Target="charts/chart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customXml" Target="../customXml/item1.xml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E:\&#32784;&#20809;&#28909;&#35838;&#39064;&#25991;&#29486;&#26816;&#32034;\&#35770;&#25991;&#25163;&#31295;\&#25237;&#31295;\theranostics\&#20462;&#22238;\Met&#26631;&#26354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0379023035452"/>
          <c:y val="0.0438569206842924"/>
          <c:w val="0.794134945270381"/>
          <c:h val="0.812638583301048"/>
        </c:manualLayout>
      </c:layout>
      <c:scatterChart>
        <c:scatterStyle val="lineMarker"/>
        <c:varyColors val="0"/>
        <c:ser>
          <c:idx val="0"/>
          <c:order val="0"/>
          <c:tx>
            <c:strRef>
              <c:f>[Met标曲.xls]Sheet1!$B$2</c:f>
              <c:strCache>
                <c:ptCount val="1"/>
                <c:pt idx="0">
                  <c:v>Auc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trendline>
            <c:spPr>
              <a:ln w="2540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74464956706421"/>
                  <c:y val="0.00541457475214946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anchor="ctr" anchorCtr="1"/>
                <a:lstStyle/>
                <a:p>
                  <a:pPr>
                    <a:defRPr lang="zh-CN" sz="1200" b="0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</c:trendlineLbl>
          </c:trendline>
          <c:xVal>
            <c:numRef>
              <c:f>[Met标曲.xls]Sheet1!$A$3:$A$10</c:f>
              <c:numCache>
                <c:formatCode>General</c:formatCode>
                <c:ptCount val="8"/>
                <c:pt idx="0">
                  <c:v>0</c:v>
                </c:pt>
                <c:pt idx="1">
                  <c:v>0.005</c:v>
                </c:pt>
                <c:pt idx="2">
                  <c:v>0.01</c:v>
                </c:pt>
                <c:pt idx="3">
                  <c:v>0.025</c:v>
                </c:pt>
                <c:pt idx="4">
                  <c:v>0.05</c:v>
                </c:pt>
                <c:pt idx="5">
                  <c:v>0.1</c:v>
                </c:pt>
                <c:pt idx="6">
                  <c:v>0.25</c:v>
                </c:pt>
                <c:pt idx="7">
                  <c:v>0.5</c:v>
                </c:pt>
              </c:numCache>
            </c:numRef>
          </c:xVal>
          <c:yVal>
            <c:numRef>
              <c:f>[Met标曲.xls]Sheet1!$B$3:$B$10</c:f>
              <c:numCache>
                <c:formatCode>General</c:formatCode>
                <c:ptCount val="8"/>
                <c:pt idx="0">
                  <c:v>0</c:v>
                </c:pt>
                <c:pt idx="1">
                  <c:v>349.3</c:v>
                </c:pt>
                <c:pt idx="2">
                  <c:v>849.9</c:v>
                </c:pt>
                <c:pt idx="3">
                  <c:v>2439.3</c:v>
                </c:pt>
                <c:pt idx="4">
                  <c:v>6949.9</c:v>
                </c:pt>
                <c:pt idx="5">
                  <c:v>18180.8</c:v>
                </c:pt>
                <c:pt idx="6">
                  <c:v>51076.9</c:v>
                </c:pt>
                <c:pt idx="7">
                  <c:v>102375.8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50953573"/>
        <c:axId val="645593845"/>
      </c:scatterChart>
      <c:valAx>
        <c:axId val="350953573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b="1">
                    <a:solidFill>
                      <a:schemeClr val="tx1"/>
                    </a:solidFill>
                  </a:rPr>
                  <a:t>Concention (mg/mL)</a:t>
                </a:r>
                <a:endParaRPr lang="en-US" altLang="zh-CN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404353863747754"/>
              <c:y val="0.88584382679332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254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645593845"/>
        <c:crosses val="autoZero"/>
        <c:crossBetween val="midCat"/>
      </c:valAx>
      <c:valAx>
        <c:axId val="645593845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4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 b="1">
                    <a:solidFill>
                      <a:schemeClr val="tx1"/>
                    </a:solidFill>
                  </a:rPr>
                  <a:t>peak area</a:t>
                </a:r>
                <a:endParaRPr lang="en-US" sz="1400" b="1">
                  <a:solidFill>
                    <a:schemeClr val="tx1"/>
                  </a:solidFill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254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Arial" panose="020B0604020202020204" pitchFamily="2" charset="0"/>
                <a:ea typeface="Arial" panose="020B0604020202020204" pitchFamily="2" charset="0"/>
                <a:cs typeface="Arial" panose="020B0604020202020204" pitchFamily="2" charset="0"/>
                <a:sym typeface="Arial" panose="020B0604020202020204" pitchFamily="2" charset="0"/>
              </a:defRPr>
            </a:pPr>
          </a:p>
        </c:txPr>
        <c:crossAx val="350953573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E6E87B-CAF5-4670-9672-01D84D8D5F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417</Words>
  <Characters>2377</Characters>
  <Lines>19</Lines>
  <Paragraphs>5</Paragraphs>
  <TotalTime>1</TotalTime>
  <ScaleCrop>false</ScaleCrop>
  <LinksUpToDate>false</LinksUpToDate>
  <CharactersWithSpaces>2789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2020-07-22T08:42:00Z</dcterms:created>
  <dc:creator>llh</dc:creator>
  <cp:lastModifiedBy>llh</cp:lastModifiedBy>
  <dcterms:modified xsi:type="dcterms:W3CDTF">2021-06-29T13:57:27Z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A99AE53C0AC443AAB83A4CFDEB18B73C</vt:lpwstr>
  </property>
</Properties>
</file>