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17D44" w14:textId="77777777" w:rsidR="00E13830" w:rsidRDefault="00E13830" w:rsidP="00E13830">
      <w:pPr>
        <w:widowControl/>
        <w:spacing w:line="240" w:lineRule="auto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Supplementary data</w:t>
      </w:r>
    </w:p>
    <w:p w14:paraId="22DF62AF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 xml:space="preserve">Fig. S1. </w:t>
      </w:r>
      <w:r>
        <w:rPr>
          <w:rFonts w:hint="eastAsia"/>
          <w:sz w:val="24"/>
        </w:rPr>
        <w:t>Two-dimensional distribution of metabolic features in positive ionization mode, plotted as mass-to-charge ratio (m/z) versus chromatographic retention time (RT).</w:t>
      </w:r>
    </w:p>
    <w:p w14:paraId="6ED9AA44" w14:textId="77777777" w:rsidR="00E13830" w:rsidRDefault="00E13830" w:rsidP="00E1383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Fig. S2.</w:t>
      </w:r>
      <w:r>
        <w:rPr>
          <w:rFonts w:hint="eastAsia"/>
          <w:sz w:val="24"/>
        </w:rPr>
        <w:t xml:space="preserve"> Two-dimensional negative-ion mode mass feature plot displaying mass-to-charge ratio (m/z) versus chromatographic retention time (RT). Each point represents a metabolic feature, with color gradient indicating local density distribution (red = high density, blue = low density) across the m/z-RT feature space.</w:t>
      </w:r>
    </w:p>
    <w:p w14:paraId="2F65D29D" w14:textId="77777777" w:rsidR="00E13830" w:rsidRDefault="00E13830" w:rsidP="00E1383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Fig. S3. </w:t>
      </w:r>
      <w:r>
        <w:rPr>
          <w:rFonts w:hint="eastAsia"/>
          <w:sz w:val="24"/>
        </w:rPr>
        <w:t>Circular bar plot of average MS/MS-identified metabolite intensities, with color-coding representing distinct metabolite classes.</w:t>
      </w:r>
    </w:p>
    <w:p w14:paraId="704D97B1" w14:textId="77777777" w:rsidR="00E13830" w:rsidRDefault="00E13830" w:rsidP="00E1383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Fig. S4. </w:t>
      </w:r>
      <w:r>
        <w:rPr>
          <w:rFonts w:hint="eastAsia"/>
          <w:sz w:val="24"/>
        </w:rPr>
        <w:t>Differential ion statistics across comparison groups.</w:t>
      </w:r>
    </w:p>
    <w:p w14:paraId="6BC14627" w14:textId="77777777" w:rsidR="00E13830" w:rsidRDefault="00E13830" w:rsidP="00E1383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Fig. S5. </w:t>
      </w:r>
      <w:r>
        <w:rPr>
          <w:rFonts w:hint="eastAsia"/>
          <w:sz w:val="24"/>
        </w:rPr>
        <w:t>Top 5 most intensely expressed metabolites in each sample group.</w:t>
      </w:r>
    </w:p>
    <w:p w14:paraId="70AD32E3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 xml:space="preserve">Fig. S6. </w:t>
      </w:r>
      <w:r>
        <w:rPr>
          <w:rFonts w:hint="eastAsia"/>
          <w:sz w:val="24"/>
        </w:rPr>
        <w:t>No significant effects on peanut root growth were observed under treatment with the two selected metabolites.</w:t>
      </w:r>
    </w:p>
    <w:p w14:paraId="3F861DE2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(A) Molecular and structural formulae of metabolites. </w:t>
      </w:r>
    </w:p>
    <w:p w14:paraId="173544D7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sz w:val="24"/>
        </w:rPr>
        <w:t>(B) Root length of peanut treated with metabolites.</w:t>
      </w:r>
    </w:p>
    <w:p w14:paraId="719EA87F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sz w:val="24"/>
        </w:rPr>
        <w:t>(C) Significance analysis of peanut root length between treatment and control groups. Asterisks indicate statistical significance: *</w:t>
      </w:r>
      <w:r>
        <w:rPr>
          <w:rFonts w:hint="eastAsia"/>
          <w:i/>
          <w:iCs/>
          <w:sz w:val="24"/>
        </w:rPr>
        <w:t>p</w:t>
      </w:r>
      <w:r>
        <w:rPr>
          <w:rFonts w:hint="eastAsia"/>
          <w:sz w:val="24"/>
        </w:rPr>
        <w:t xml:space="preserve"> &lt; 0.05, **</w:t>
      </w:r>
      <w:r>
        <w:rPr>
          <w:rFonts w:hint="eastAsia"/>
          <w:i/>
          <w:iCs/>
          <w:sz w:val="24"/>
        </w:rPr>
        <w:t>p</w:t>
      </w:r>
      <w:r>
        <w:rPr>
          <w:rFonts w:hint="eastAsia"/>
          <w:sz w:val="24"/>
        </w:rPr>
        <w:t xml:space="preserve"> &lt; 0.01.</w:t>
      </w:r>
    </w:p>
    <w:p w14:paraId="6EB2F969" w14:textId="77777777" w:rsidR="00E13830" w:rsidRDefault="00E13830" w:rsidP="00E13830">
      <w:pPr>
        <w:spacing w:line="360" w:lineRule="auto"/>
        <w:rPr>
          <w:b/>
          <w:bCs/>
          <w:sz w:val="24"/>
        </w:rPr>
      </w:pPr>
      <w:r>
        <w:rPr>
          <w:rFonts w:hint="eastAsia"/>
          <w:sz w:val="24"/>
        </w:rPr>
        <w:t>(D) Comparative analysis of root length across different treatment groups. Bars with different lowercase letters indicate statistically significant differences (</w:t>
      </w:r>
      <w:r>
        <w:rPr>
          <w:rFonts w:hint="eastAsia"/>
          <w:i/>
          <w:iCs/>
          <w:sz w:val="24"/>
        </w:rPr>
        <w:t xml:space="preserve">p </w:t>
      </w:r>
      <w:r>
        <w:rPr>
          <w:rFonts w:hint="eastAsia"/>
          <w:sz w:val="24"/>
        </w:rPr>
        <w:t>&lt; 0.05) as determined by one-way ANOVA followed by Tukey's honestly significant difference (HSD) post hoc test.</w:t>
      </w:r>
    </w:p>
    <w:p w14:paraId="631712ED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Table S1.</w:t>
      </w:r>
      <w:r>
        <w:rPr>
          <w:rFonts w:hint="eastAsia"/>
          <w:sz w:val="24"/>
        </w:rPr>
        <w:t xml:space="preserve"> Total metabolic features detected in five soil types under positive/negative ionization modes.</w:t>
      </w:r>
      <w:r>
        <w:rPr>
          <w:rFonts w:hint="eastAsia"/>
          <w:sz w:val="24"/>
        </w:rPr>
        <w:t>​</w:t>
      </w:r>
    </w:p>
    <w:p w14:paraId="073DE997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Table S2</w:t>
      </w:r>
      <w:r>
        <w:rPr>
          <w:rFonts w:hint="eastAsia"/>
          <w:sz w:val="24"/>
        </w:rPr>
        <w:t>. High-confidence metabolites identified through MS/MS spectral matchin</w:t>
      </w:r>
      <w:r>
        <w:rPr>
          <w:rFonts w:hint="eastAsia"/>
          <w:sz w:val="24"/>
        </w:rPr>
        <w:t>​</w:t>
      </w:r>
    </w:p>
    <w:p w14:paraId="6D36F103" w14:textId="77777777" w:rsidR="00E13830" w:rsidRDefault="00E13830" w:rsidP="00E13830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Table S3</w:t>
      </w:r>
      <w:r>
        <w:rPr>
          <w:rFonts w:hint="eastAsia"/>
          <w:sz w:val="24"/>
        </w:rPr>
        <w:t>. Classified organic metabolites from secondary identification.</w:t>
      </w:r>
      <w:r>
        <w:rPr>
          <w:rFonts w:hint="eastAsia"/>
          <w:sz w:val="24"/>
        </w:rPr>
        <w:t>​</w:t>
      </w:r>
    </w:p>
    <w:p w14:paraId="6FC8F1E7" w14:textId="77777777" w:rsidR="00E13830" w:rsidRDefault="00E13830" w:rsidP="00E13830">
      <w:pPr>
        <w:spacing w:line="360" w:lineRule="auto"/>
        <w:rPr>
          <w:sz w:val="24"/>
        </w:rPr>
      </w:pPr>
    </w:p>
    <w:p w14:paraId="0AF527D4" w14:textId="77777777" w:rsidR="00E13830" w:rsidRDefault="00E13830" w:rsidP="00E13830">
      <w:pPr>
        <w:widowControl/>
        <w:spacing w:after="0" w:line="240" w:lineRule="auto"/>
        <w:jc w:val="left"/>
        <w:rPr>
          <w:rFonts w:eastAsiaTheme="minorEastAsia"/>
          <w:b/>
          <w:bCs/>
          <w:sz w:val="24"/>
        </w:rPr>
      </w:pPr>
      <w:r>
        <w:rPr>
          <w:rFonts w:eastAsiaTheme="minorEastAsia"/>
          <w:b/>
          <w:bCs/>
          <w:sz w:val="24"/>
        </w:rPr>
        <w:br w:type="page"/>
      </w:r>
    </w:p>
    <w:p w14:paraId="02FC1F8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830"/>
    <w:rsid w:val="002E281E"/>
    <w:rsid w:val="003201BB"/>
    <w:rsid w:val="00865217"/>
    <w:rsid w:val="00882EE5"/>
    <w:rsid w:val="00E1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6EDE0"/>
  <w15:chartTrackingRefBased/>
  <w15:docId w15:val="{BC8A4975-2123-4F16-905B-CA619C2D3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830"/>
    <w:pPr>
      <w:widowControl w:val="0"/>
      <w:jc w:val="both"/>
    </w:pPr>
    <w:rPr>
      <w:rFonts w:ascii="Times New Roman" w:eastAsia="SimSun" w:hAnsi="Times New Roman" w:cs="Times New Roman"/>
      <w:color w:val="000000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3830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830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830"/>
    <w:pPr>
      <w:keepNext/>
      <w:keepLines/>
      <w:widowControl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830"/>
    <w:pPr>
      <w:keepNext/>
      <w:keepLines/>
      <w:widowControl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830"/>
    <w:pPr>
      <w:keepNext/>
      <w:keepLines/>
      <w:widowControl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830"/>
    <w:pPr>
      <w:keepNext/>
      <w:keepLines/>
      <w:widowControl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830"/>
    <w:pPr>
      <w:keepNext/>
      <w:keepLines/>
      <w:widowControl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830"/>
    <w:pPr>
      <w:keepNext/>
      <w:keepLines/>
      <w:widowControl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830"/>
    <w:pPr>
      <w:keepNext/>
      <w:keepLines/>
      <w:widowControl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830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3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830"/>
    <w:pPr>
      <w:widowControl/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3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830"/>
    <w:pPr>
      <w:widowControl/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3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830"/>
    <w:pPr>
      <w:widowControl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3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8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8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1449</Characters>
  <Application>Microsoft Office Word</Application>
  <DocSecurity>0</DocSecurity>
  <Lines>12</Lines>
  <Paragraphs>3</Paragraphs>
  <ScaleCrop>false</ScaleCrop>
  <Company>Springer Nature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2025-07-22T14:36:00Z</dcterms:created>
  <dcterms:modified xsi:type="dcterms:W3CDTF">2025-07-22T14:36:00Z</dcterms:modified>
</cp:coreProperties>
</file>