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ABDB3" w14:textId="7D6BA86F" w:rsidR="00B75C74" w:rsidRPr="00B75C74" w:rsidRDefault="00B75C74">
      <w:pPr>
        <w:rPr>
          <w:rFonts w:ascii="Times New Roman" w:hAnsi="Times New Roman" w:cs="Times New Roman" w:hint="eastAsia"/>
          <w:b/>
          <w:bCs/>
        </w:rPr>
      </w:pPr>
      <w:r w:rsidRPr="00B75C74">
        <w:rPr>
          <w:rFonts w:ascii="Times New Roman" w:hAnsi="Times New Roman" w:cs="Times New Roman"/>
          <w:b/>
          <w:bCs/>
        </w:rPr>
        <w:t xml:space="preserve">Supplementary Text </w:t>
      </w:r>
      <w:r w:rsidR="00707160">
        <w:rPr>
          <w:rFonts w:ascii="Times New Roman" w:hAnsi="Times New Roman" w:cs="Times New Roman" w:hint="eastAsia"/>
          <w:b/>
          <w:bCs/>
        </w:rPr>
        <w:t>4</w:t>
      </w:r>
      <w:r w:rsidRPr="00B75C74">
        <w:rPr>
          <w:rFonts w:ascii="Times New Roman" w:hAnsi="Times New Roman" w:cs="Times New Roman"/>
          <w:b/>
          <w:bCs/>
        </w:rPr>
        <w:t xml:space="preserve">. </w:t>
      </w:r>
      <w:r w:rsidR="00217D20">
        <w:rPr>
          <w:rFonts w:ascii="Times New Roman" w:hAnsi="Times New Roman" w:cs="Times New Roman" w:hint="eastAsia"/>
          <w:b/>
          <w:bCs/>
        </w:rPr>
        <w:t xml:space="preserve">Detailed procedures of </w:t>
      </w:r>
      <w:r w:rsidR="00707160">
        <w:rPr>
          <w:rFonts w:ascii="Times New Roman" w:hAnsi="Times New Roman" w:cs="Times New Roman" w:hint="eastAsia"/>
          <w:b/>
          <w:bCs/>
        </w:rPr>
        <w:t>siRNA</w:t>
      </w:r>
    </w:p>
    <w:p w14:paraId="66A1EC1E" w14:textId="7E266C29" w:rsidR="00B75C74" w:rsidRPr="00C53329" w:rsidRDefault="007008B6" w:rsidP="007008B6">
      <w:pPr>
        <w:spacing w:line="480" w:lineRule="auto"/>
        <w:rPr>
          <w:rFonts w:ascii="Times New Roman" w:hAnsi="Times New Roman" w:cs="Times New Roman"/>
          <w:sz w:val="24"/>
        </w:rPr>
      </w:pPr>
      <w:r w:rsidRPr="00F9031C">
        <w:rPr>
          <w:rFonts w:ascii="Times New Roman" w:hAnsi="Times New Roman" w:cs="Times New Roman"/>
          <w:sz w:val="24"/>
        </w:rPr>
        <w:t xml:space="preserve">We transfected human-specific siRNA targeting ADRB1 or ADRB2 (10 </w:t>
      </w:r>
      <w:proofErr w:type="spellStart"/>
      <w:r w:rsidRPr="00F9031C">
        <w:rPr>
          <w:rFonts w:ascii="Times New Roman" w:hAnsi="Times New Roman" w:cs="Times New Roman"/>
          <w:sz w:val="24"/>
        </w:rPr>
        <w:t>nM</w:t>
      </w:r>
      <w:proofErr w:type="spellEnd"/>
      <w:r w:rsidRPr="00F9031C">
        <w:rPr>
          <w:rFonts w:ascii="Times New Roman" w:hAnsi="Times New Roman" w:cs="Times New Roman"/>
          <w:sz w:val="24"/>
        </w:rPr>
        <w:t xml:space="preserve">) using Lipofectamine </w:t>
      </w:r>
      <w:proofErr w:type="spellStart"/>
      <w:r w:rsidRPr="00F9031C">
        <w:rPr>
          <w:rFonts w:ascii="Times New Roman" w:hAnsi="Times New Roman" w:cs="Times New Roman"/>
          <w:sz w:val="24"/>
        </w:rPr>
        <w:t>RNAiMAX</w:t>
      </w:r>
      <w:proofErr w:type="spellEnd"/>
      <w:r w:rsidRPr="00F9031C">
        <w:rPr>
          <w:rFonts w:ascii="Times New Roman" w:hAnsi="Times New Roman" w:cs="Times New Roman"/>
          <w:sz w:val="24"/>
        </w:rPr>
        <w:t xml:space="preserve"> (Invitrogen, </w:t>
      </w:r>
      <w:proofErr w:type="spellStart"/>
      <w:r w:rsidRPr="00F9031C">
        <w:rPr>
          <w:rFonts w:ascii="Times New Roman" w:hAnsi="Times New Roman" w:cs="Times New Roman"/>
          <w:sz w:val="24"/>
        </w:rPr>
        <w:t>Thermo</w:t>
      </w:r>
      <w:proofErr w:type="spellEnd"/>
      <w:r w:rsidRPr="00F9031C">
        <w:rPr>
          <w:rFonts w:ascii="Times New Roman" w:hAnsi="Times New Roman" w:cs="Times New Roman"/>
          <w:sz w:val="24"/>
        </w:rPr>
        <w:t xml:space="preserve"> Fisher Scientific Inc.,). Kanamycin and bovine serum-free RPMI medium was used during transfection, and after 24 hours, the medium was replaced with RPMI medium containing 10% bovine serum. Cells were further cultured for 24 hours before being used for experiments. For ADRB1 </w:t>
      </w:r>
      <w:proofErr w:type="gramStart"/>
      <w:r w:rsidRPr="00F9031C">
        <w:rPr>
          <w:rFonts w:ascii="Times New Roman" w:hAnsi="Times New Roman" w:cs="Times New Roman"/>
          <w:sz w:val="24"/>
        </w:rPr>
        <w:t>knockdown,  siADRB</w:t>
      </w:r>
      <w:proofErr w:type="gramEnd"/>
      <w:r w:rsidRPr="00F9031C">
        <w:rPr>
          <w:rFonts w:ascii="Times New Roman" w:hAnsi="Times New Roman" w:cs="Times New Roman"/>
          <w:sz w:val="24"/>
        </w:rPr>
        <w:t xml:space="preserve">1(1) (ID:s1118), siADRB1(2) (ID:s1119) were used. For ADRB2 </w:t>
      </w:r>
      <w:proofErr w:type="gramStart"/>
      <w:r w:rsidRPr="00F9031C">
        <w:rPr>
          <w:rFonts w:ascii="Times New Roman" w:hAnsi="Times New Roman" w:cs="Times New Roman"/>
          <w:sz w:val="24"/>
        </w:rPr>
        <w:t>knockdown,  siADRB</w:t>
      </w:r>
      <w:proofErr w:type="gramEnd"/>
      <w:r w:rsidRPr="00F9031C">
        <w:rPr>
          <w:rFonts w:ascii="Times New Roman" w:hAnsi="Times New Roman" w:cs="Times New Roman"/>
          <w:sz w:val="24"/>
        </w:rPr>
        <w:t xml:space="preserve">2(1) (ID:s1122), siADRB2(2) (ID:s1123) were used. The Silencer Negative Control siRNA #1 (Cat. No. AM4611) was used as a negative control. ADRB siRNAs and negative control </w:t>
      </w:r>
      <w:proofErr w:type="gramStart"/>
      <w:r w:rsidRPr="00F9031C">
        <w:rPr>
          <w:rFonts w:ascii="Times New Roman" w:hAnsi="Times New Roman" w:cs="Times New Roman"/>
          <w:sz w:val="24"/>
        </w:rPr>
        <w:t>siRNA</w:t>
      </w:r>
      <w:proofErr w:type="gramEnd"/>
      <w:r w:rsidRPr="00F9031C">
        <w:rPr>
          <w:rFonts w:ascii="Times New Roman" w:hAnsi="Times New Roman" w:cs="Times New Roman"/>
          <w:sz w:val="24"/>
        </w:rPr>
        <w:t xml:space="preserve"> were purchased from </w:t>
      </w:r>
      <w:proofErr w:type="spellStart"/>
      <w:r w:rsidRPr="00F9031C">
        <w:rPr>
          <w:rFonts w:ascii="Times New Roman" w:hAnsi="Times New Roman" w:cs="Times New Roman"/>
          <w:sz w:val="24"/>
        </w:rPr>
        <w:t>Thermo</w:t>
      </w:r>
      <w:proofErr w:type="spellEnd"/>
      <w:r w:rsidRPr="00F9031C">
        <w:rPr>
          <w:rFonts w:ascii="Times New Roman" w:hAnsi="Times New Roman" w:cs="Times New Roman"/>
          <w:sz w:val="24"/>
        </w:rPr>
        <w:t xml:space="preserve"> Fisher Scientific.</w:t>
      </w:r>
    </w:p>
    <w:sectPr w:rsidR="00B75C74" w:rsidRPr="00C533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280AC" w14:textId="77777777" w:rsidR="00A6515F" w:rsidRDefault="00A6515F" w:rsidP="00217D20">
      <w:pPr>
        <w:spacing w:after="0" w:line="240" w:lineRule="auto"/>
      </w:pPr>
      <w:r>
        <w:separator/>
      </w:r>
    </w:p>
  </w:endnote>
  <w:endnote w:type="continuationSeparator" w:id="0">
    <w:p w14:paraId="5E340D72" w14:textId="77777777" w:rsidR="00A6515F" w:rsidRDefault="00A6515F" w:rsidP="00217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D2C38" w14:textId="77777777" w:rsidR="00A6515F" w:rsidRDefault="00A6515F" w:rsidP="00217D20">
      <w:pPr>
        <w:spacing w:after="0" w:line="240" w:lineRule="auto"/>
      </w:pPr>
      <w:r>
        <w:separator/>
      </w:r>
    </w:p>
  </w:footnote>
  <w:footnote w:type="continuationSeparator" w:id="0">
    <w:p w14:paraId="3745BE10" w14:textId="77777777" w:rsidR="00A6515F" w:rsidRDefault="00A6515F" w:rsidP="00217D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74"/>
    <w:rsid w:val="0003223F"/>
    <w:rsid w:val="00217D20"/>
    <w:rsid w:val="00386CFB"/>
    <w:rsid w:val="007008B6"/>
    <w:rsid w:val="00707160"/>
    <w:rsid w:val="007C2B35"/>
    <w:rsid w:val="0099115E"/>
    <w:rsid w:val="00A6515F"/>
    <w:rsid w:val="00AB0268"/>
    <w:rsid w:val="00B75C74"/>
    <w:rsid w:val="00C53329"/>
    <w:rsid w:val="00DC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DB490"/>
  <w15:chartTrackingRefBased/>
  <w15:docId w15:val="{8109A8D1-5EE0-4CB1-AD21-8330D596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C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C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C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C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C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C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C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C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5C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5C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5C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5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5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5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5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5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5C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5C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5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C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5C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5C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C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5C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5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5C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5C7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17D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17D20"/>
  </w:style>
  <w:style w:type="paragraph" w:styleId="ac">
    <w:name w:val="footer"/>
    <w:basedOn w:val="a"/>
    <w:link w:val="ad"/>
    <w:uiPriority w:val="99"/>
    <w:unhideWhenUsed/>
    <w:rsid w:val="00217D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17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 Naito</dc:creator>
  <cp:keywords/>
  <dc:description/>
  <cp:lastModifiedBy>Sei Naito</cp:lastModifiedBy>
  <cp:revision>4</cp:revision>
  <dcterms:created xsi:type="dcterms:W3CDTF">2024-12-04T10:31:00Z</dcterms:created>
  <dcterms:modified xsi:type="dcterms:W3CDTF">2024-12-04T10:32:00Z</dcterms:modified>
</cp:coreProperties>
</file>