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9655" w14:textId="0A9CA184" w:rsidR="005202FD" w:rsidRPr="002441C6" w:rsidRDefault="00271A54" w:rsidP="00B44E1D">
      <w:pPr>
        <w:spacing w:line="360" w:lineRule="auto"/>
        <w:ind w:firstLine="0"/>
        <w:jc w:val="center"/>
        <w:rPr>
          <w:rFonts w:asciiTheme="majorHAnsi" w:hAnsiTheme="majorHAnsi" w:cs="Calibri"/>
          <w:b/>
          <w:bCs/>
          <w:lang w:val="en-US"/>
        </w:rPr>
      </w:pPr>
      <w:r w:rsidRPr="002441C6">
        <w:rPr>
          <w:rFonts w:asciiTheme="majorHAnsi" w:hAnsiTheme="majorHAnsi" w:cs="Calibri"/>
          <w:b/>
          <w:bCs/>
          <w:lang w:val="en-US"/>
        </w:rPr>
        <w:t>SUPPLEMENTARY METHODS</w:t>
      </w:r>
    </w:p>
    <w:p w14:paraId="6402A892" w14:textId="77777777" w:rsidR="005202FD" w:rsidRPr="002441C6" w:rsidRDefault="005202FD" w:rsidP="000707C8">
      <w:pPr>
        <w:spacing w:line="360" w:lineRule="auto"/>
        <w:ind w:firstLine="0"/>
        <w:jc w:val="both"/>
        <w:rPr>
          <w:rFonts w:asciiTheme="majorHAnsi" w:hAnsiTheme="majorHAnsi" w:cs="Calibri"/>
          <w:b/>
          <w:bCs/>
          <w:lang w:val="en-US"/>
        </w:rPr>
      </w:pPr>
    </w:p>
    <w:p w14:paraId="32C7DDD9" w14:textId="49A3EE26" w:rsidR="00E667CA" w:rsidRPr="002441C6" w:rsidRDefault="006723A4" w:rsidP="000707C8">
      <w:pPr>
        <w:spacing w:line="360" w:lineRule="auto"/>
        <w:ind w:firstLine="0"/>
        <w:jc w:val="both"/>
        <w:rPr>
          <w:rFonts w:asciiTheme="majorHAnsi" w:hAnsiTheme="majorHAnsi" w:cs="Calibri"/>
          <w:b/>
          <w:bCs/>
          <w:lang w:val="en-US"/>
        </w:rPr>
      </w:pPr>
      <w:r w:rsidRPr="002441C6">
        <w:rPr>
          <w:rFonts w:asciiTheme="majorHAnsi" w:hAnsiTheme="majorHAnsi" w:cs="Calibri"/>
          <w:b/>
          <w:bCs/>
          <w:lang w:val="en-US"/>
        </w:rPr>
        <w:t>1</w:t>
      </w:r>
      <w:r w:rsidR="00155353" w:rsidRPr="002441C6">
        <w:rPr>
          <w:rFonts w:asciiTheme="majorHAnsi" w:hAnsiTheme="majorHAnsi" w:cs="Calibri"/>
          <w:b/>
          <w:bCs/>
          <w:lang w:val="en-US"/>
        </w:rPr>
        <w:t xml:space="preserve">. </w:t>
      </w:r>
      <w:r w:rsidR="00E667CA" w:rsidRPr="002441C6">
        <w:rPr>
          <w:rFonts w:asciiTheme="majorHAnsi" w:hAnsiTheme="majorHAnsi" w:cs="Calibri"/>
          <w:b/>
          <w:bCs/>
          <w:lang w:val="en-US"/>
        </w:rPr>
        <w:t>Deviations from the pre-registration</w:t>
      </w:r>
    </w:p>
    <w:p w14:paraId="2A60A25F" w14:textId="5BD49752" w:rsidR="005202FD" w:rsidRPr="002441C6" w:rsidRDefault="00155353" w:rsidP="000707C8">
      <w:pPr>
        <w:spacing w:after="0" w:line="360" w:lineRule="auto"/>
        <w:jc w:val="both"/>
        <w:rPr>
          <w:rFonts w:asciiTheme="majorHAnsi" w:hAnsiTheme="majorHAnsi" w:cs="Calibri"/>
          <w:lang w:val="en-US"/>
        </w:rPr>
      </w:pPr>
      <w:r w:rsidRPr="002441C6">
        <w:rPr>
          <w:rFonts w:asciiTheme="majorHAnsi" w:hAnsiTheme="majorHAnsi" w:cs="Calibri"/>
          <w:lang w:val="en-US"/>
        </w:rPr>
        <w:t>Our research aims, hypotheses, and analysis plan were pre</w:t>
      </w:r>
      <w:r w:rsidRPr="002441C6">
        <w:rPr>
          <w:rFonts w:ascii="Cambria Math" w:hAnsi="Cambria Math" w:cs="Cambria Math"/>
          <w:lang w:val="en-US"/>
        </w:rPr>
        <w:t>‐</w:t>
      </w:r>
      <w:r w:rsidRPr="002441C6">
        <w:rPr>
          <w:rFonts w:asciiTheme="majorHAnsi" w:hAnsiTheme="majorHAnsi" w:cs="Calibri"/>
          <w:lang w:val="en-US"/>
        </w:rPr>
        <w:t xml:space="preserve">registered on the Open Science Framework </w:t>
      </w:r>
      <w:r w:rsidR="002441C6">
        <w:rPr>
          <w:rFonts w:asciiTheme="majorHAnsi" w:hAnsiTheme="majorHAnsi" w:cs="Calibri"/>
          <w:lang w:val="en-US"/>
        </w:rPr>
        <w:t>before</w:t>
      </w:r>
      <w:r w:rsidRPr="002441C6">
        <w:rPr>
          <w:rFonts w:asciiTheme="majorHAnsi" w:hAnsiTheme="majorHAnsi" w:cs="Calibri"/>
          <w:lang w:val="en-US"/>
        </w:rPr>
        <w:t xml:space="preserve"> accessing the data (</w:t>
      </w:r>
      <w:hyperlink r:id="rId8" w:history="1">
        <w:r w:rsidRPr="002441C6">
          <w:rPr>
            <w:rStyle w:val="Hyperlink"/>
            <w:rFonts w:asciiTheme="majorHAnsi" w:hAnsiTheme="majorHAnsi" w:cs="Calibri"/>
            <w:lang w:val="en-US"/>
          </w:rPr>
          <w:t>https://osf.io/dqbnj/?view_only=f2510b6766bc4b86bf9344fee1139233</w:t>
        </w:r>
      </w:hyperlink>
      <w:r w:rsidRPr="002441C6">
        <w:rPr>
          <w:rFonts w:asciiTheme="majorHAnsi" w:hAnsiTheme="majorHAnsi" w:cs="Calibri"/>
          <w:lang w:val="en-US"/>
        </w:rPr>
        <w:t xml:space="preserve">). We made small deviations </w:t>
      </w:r>
      <w:r w:rsidR="007E22B3" w:rsidRPr="002441C6">
        <w:rPr>
          <w:rFonts w:asciiTheme="majorHAnsi" w:hAnsiTheme="majorHAnsi" w:cs="Calibri"/>
          <w:lang w:val="en-US"/>
        </w:rPr>
        <w:t>from our pre-registered analysis plan</w:t>
      </w:r>
      <w:r w:rsidRPr="002441C6">
        <w:rPr>
          <w:rFonts w:asciiTheme="majorHAnsi" w:hAnsiTheme="majorHAnsi" w:cs="Calibri"/>
          <w:lang w:val="en-US"/>
        </w:rPr>
        <w:t xml:space="preserve"> related to data availability</w:t>
      </w:r>
      <w:r w:rsidR="00271A54" w:rsidRPr="002441C6">
        <w:rPr>
          <w:rFonts w:asciiTheme="majorHAnsi" w:hAnsiTheme="majorHAnsi" w:cs="Calibri"/>
          <w:lang w:val="en-US"/>
        </w:rPr>
        <w:t xml:space="preserve"> and for completeness</w:t>
      </w:r>
      <w:r w:rsidR="007E22B3" w:rsidRPr="002441C6">
        <w:rPr>
          <w:rFonts w:asciiTheme="majorHAnsi" w:hAnsiTheme="majorHAnsi" w:cs="Calibri"/>
          <w:lang w:val="en-US"/>
        </w:rPr>
        <w:t>. First, w</w:t>
      </w:r>
      <w:r w:rsidR="00E667CA" w:rsidRPr="002441C6">
        <w:rPr>
          <w:rFonts w:asciiTheme="majorHAnsi" w:hAnsiTheme="majorHAnsi" w:cs="Calibri"/>
          <w:lang w:val="en-US"/>
        </w:rPr>
        <w:t xml:space="preserve">hile the pre-registration states that analyses would be conducted on measures collected across raters, parent ratings were used in the main analyses because parents completed the largest number of relevant assessments across </w:t>
      </w:r>
      <w:r w:rsidR="007E22B3" w:rsidRPr="002441C6">
        <w:rPr>
          <w:rFonts w:asciiTheme="majorHAnsi" w:hAnsiTheme="majorHAnsi" w:cs="Calibri"/>
          <w:lang w:val="en-US"/>
        </w:rPr>
        <w:t>all three waves</w:t>
      </w:r>
      <w:r w:rsidR="00E667CA" w:rsidRPr="002441C6">
        <w:rPr>
          <w:rFonts w:asciiTheme="majorHAnsi" w:hAnsiTheme="majorHAnsi" w:cs="Calibri"/>
          <w:lang w:val="en-US"/>
        </w:rPr>
        <w:t xml:space="preserve">, whereas self- and teacher-reports were available only for a subset of measures. </w:t>
      </w:r>
      <w:r w:rsidR="00810854" w:rsidRPr="002441C6">
        <w:rPr>
          <w:rFonts w:asciiTheme="majorHAnsi" w:hAnsiTheme="majorHAnsi" w:cs="Calibri"/>
          <w:lang w:val="en-US"/>
        </w:rPr>
        <w:t>Separate additional</w:t>
      </w:r>
      <w:r w:rsidR="00E667CA" w:rsidRPr="002441C6">
        <w:rPr>
          <w:rFonts w:asciiTheme="majorHAnsi" w:hAnsiTheme="majorHAnsi" w:cs="Calibri"/>
          <w:lang w:val="en-US"/>
        </w:rPr>
        <w:t xml:space="preserve"> analyses were conducted on the age 16 self-report ratings</w:t>
      </w:r>
      <w:r w:rsidR="007E22B3" w:rsidRPr="002441C6">
        <w:rPr>
          <w:rFonts w:asciiTheme="majorHAnsi" w:hAnsiTheme="majorHAnsi" w:cs="Calibri"/>
          <w:lang w:val="en-US"/>
        </w:rPr>
        <w:t>. Second, a</w:t>
      </w:r>
      <w:r w:rsidR="00E667CA" w:rsidRPr="002441C6">
        <w:rPr>
          <w:rFonts w:asciiTheme="majorHAnsi" w:hAnsiTheme="majorHAnsi" w:cs="Calibri"/>
          <w:lang w:val="en-US"/>
        </w:rPr>
        <w:t>nalyses on age 16 parent-report data included the abbreviated Autism Spectrum Quotient (AQ) scale</w:t>
      </w:r>
      <w:r w:rsidR="005C42C1" w:rsidRPr="002441C6">
        <w:rPr>
          <w:rFonts w:asciiTheme="majorHAnsi" w:hAnsiTheme="majorHAnsi" w:cs="Calibri"/>
          <w:lang w:val="en-US"/>
        </w:rPr>
        <w:t xml:space="preserve"> and the Eating Disorder Diagnostic Scale (EDDS)</w:t>
      </w:r>
      <w:r w:rsidR="00E667CA" w:rsidRPr="002441C6">
        <w:rPr>
          <w:rFonts w:asciiTheme="majorHAnsi" w:hAnsiTheme="majorHAnsi" w:cs="Calibri"/>
          <w:lang w:val="en-US"/>
        </w:rPr>
        <w:t xml:space="preserve">, </w:t>
      </w:r>
      <w:r w:rsidR="005C42C1" w:rsidRPr="002441C6">
        <w:rPr>
          <w:rFonts w:asciiTheme="majorHAnsi" w:hAnsiTheme="majorHAnsi" w:cs="Calibri"/>
          <w:lang w:val="en-US"/>
        </w:rPr>
        <w:t>which were</w:t>
      </w:r>
      <w:r w:rsidR="00E667CA" w:rsidRPr="002441C6">
        <w:rPr>
          <w:rFonts w:asciiTheme="majorHAnsi" w:hAnsiTheme="majorHAnsi" w:cs="Calibri"/>
          <w:lang w:val="en-US"/>
        </w:rPr>
        <w:t xml:space="preserve"> accidentally omitted from the preregistration</w:t>
      </w:r>
      <w:r w:rsidR="005C42C1" w:rsidRPr="002441C6">
        <w:rPr>
          <w:rFonts w:asciiTheme="majorHAnsi" w:hAnsiTheme="majorHAnsi" w:cs="Calibri"/>
          <w:lang w:val="en-US"/>
        </w:rPr>
        <w:t>. Third, the a</w:t>
      </w:r>
      <w:r w:rsidR="00E667CA" w:rsidRPr="002441C6">
        <w:rPr>
          <w:rFonts w:asciiTheme="majorHAnsi" w:hAnsiTheme="majorHAnsi" w:cs="Calibri"/>
          <w:lang w:val="en-US"/>
        </w:rPr>
        <w:t xml:space="preserve">nalyses of age 16 self-report data did not include </w:t>
      </w:r>
      <w:r w:rsidR="0078310F" w:rsidRPr="002441C6">
        <w:rPr>
          <w:rFonts w:asciiTheme="majorHAnsi" w:hAnsiTheme="majorHAnsi" w:cs="Calibri"/>
          <w:lang w:val="en-US"/>
        </w:rPr>
        <w:t xml:space="preserve">items </w:t>
      </w:r>
      <w:r w:rsidR="00C26AA2" w:rsidRPr="002441C6">
        <w:rPr>
          <w:rFonts w:asciiTheme="majorHAnsi" w:hAnsiTheme="majorHAnsi" w:cs="Calibri"/>
          <w:lang w:val="en-US"/>
        </w:rPr>
        <w:t>about a</w:t>
      </w:r>
      <w:r w:rsidR="00E667CA" w:rsidRPr="002441C6">
        <w:rPr>
          <w:rFonts w:asciiTheme="majorHAnsi" w:hAnsiTheme="majorHAnsi" w:cs="Calibri"/>
          <w:lang w:val="en-US"/>
        </w:rPr>
        <w:t xml:space="preserve">lcohol, </w:t>
      </w:r>
      <w:r w:rsidR="00C26AA2" w:rsidRPr="002441C6">
        <w:rPr>
          <w:rFonts w:asciiTheme="majorHAnsi" w:hAnsiTheme="majorHAnsi" w:cs="Calibri"/>
          <w:lang w:val="en-US"/>
        </w:rPr>
        <w:t>t</w:t>
      </w:r>
      <w:r w:rsidR="00E667CA" w:rsidRPr="002441C6">
        <w:rPr>
          <w:rFonts w:asciiTheme="majorHAnsi" w:hAnsiTheme="majorHAnsi" w:cs="Calibri"/>
          <w:lang w:val="en-US"/>
        </w:rPr>
        <w:t xml:space="preserve">obacco, </w:t>
      </w:r>
      <w:r w:rsidR="00C26AA2" w:rsidRPr="002441C6">
        <w:rPr>
          <w:rFonts w:asciiTheme="majorHAnsi" w:hAnsiTheme="majorHAnsi" w:cs="Calibri"/>
          <w:lang w:val="en-US"/>
        </w:rPr>
        <w:t>c</w:t>
      </w:r>
      <w:r w:rsidR="00E667CA" w:rsidRPr="002441C6">
        <w:rPr>
          <w:rFonts w:asciiTheme="majorHAnsi" w:hAnsiTheme="majorHAnsi" w:cs="Calibri"/>
          <w:lang w:val="en-US"/>
        </w:rPr>
        <w:t xml:space="preserve">annabis and </w:t>
      </w:r>
      <w:r w:rsidR="00C26AA2" w:rsidRPr="002441C6">
        <w:rPr>
          <w:rFonts w:asciiTheme="majorHAnsi" w:hAnsiTheme="majorHAnsi" w:cs="Calibri"/>
          <w:lang w:val="en-US"/>
        </w:rPr>
        <w:t>d</w:t>
      </w:r>
      <w:r w:rsidR="00E667CA" w:rsidRPr="002441C6">
        <w:rPr>
          <w:rFonts w:asciiTheme="majorHAnsi" w:hAnsiTheme="majorHAnsi" w:cs="Calibri"/>
          <w:lang w:val="en-US"/>
        </w:rPr>
        <w:t xml:space="preserve">rug </w:t>
      </w:r>
      <w:r w:rsidR="00C26AA2" w:rsidRPr="002441C6">
        <w:rPr>
          <w:rFonts w:asciiTheme="majorHAnsi" w:hAnsiTheme="majorHAnsi" w:cs="Calibri"/>
          <w:lang w:val="en-US"/>
        </w:rPr>
        <w:t>u</w:t>
      </w:r>
      <w:r w:rsidR="00E667CA" w:rsidRPr="002441C6">
        <w:rPr>
          <w:rFonts w:asciiTheme="majorHAnsi" w:hAnsiTheme="majorHAnsi" w:cs="Calibri"/>
          <w:lang w:val="en-US"/>
        </w:rPr>
        <w:t>se</w:t>
      </w:r>
      <w:r w:rsidR="0078310F" w:rsidRPr="002441C6">
        <w:rPr>
          <w:rFonts w:asciiTheme="majorHAnsi" w:hAnsiTheme="majorHAnsi" w:cs="Calibri"/>
          <w:lang w:val="en-US"/>
        </w:rPr>
        <w:t xml:space="preserve"> and </w:t>
      </w:r>
      <w:r w:rsidR="00C26AA2" w:rsidRPr="002441C6">
        <w:rPr>
          <w:rFonts w:asciiTheme="majorHAnsi" w:hAnsiTheme="majorHAnsi" w:cs="Calibri"/>
          <w:lang w:val="en-US"/>
        </w:rPr>
        <w:t xml:space="preserve">from the </w:t>
      </w:r>
      <w:r w:rsidR="0078310F" w:rsidRPr="002441C6">
        <w:rPr>
          <w:rFonts w:asciiTheme="majorHAnsi" w:hAnsiTheme="majorHAnsi" w:cs="Calibri"/>
          <w:lang w:val="en-US"/>
        </w:rPr>
        <w:t>Hypomania checklist (HCL-16) scales</w:t>
      </w:r>
      <w:r w:rsidR="00E667CA" w:rsidRPr="002441C6">
        <w:rPr>
          <w:rFonts w:asciiTheme="majorHAnsi" w:hAnsiTheme="majorHAnsi" w:cs="Calibri"/>
          <w:lang w:val="en-US"/>
        </w:rPr>
        <w:t xml:space="preserve"> (included in the pre-registration) because </w:t>
      </w:r>
      <w:r w:rsidR="00C26AA2" w:rsidRPr="002441C6">
        <w:rPr>
          <w:rFonts w:asciiTheme="majorHAnsi" w:hAnsiTheme="majorHAnsi" w:cs="Calibri"/>
          <w:lang w:val="en-US"/>
        </w:rPr>
        <w:t>these</w:t>
      </w:r>
      <w:r w:rsidR="00E667CA" w:rsidRPr="002441C6">
        <w:rPr>
          <w:rFonts w:asciiTheme="majorHAnsi" w:hAnsiTheme="majorHAnsi" w:cs="Calibri"/>
          <w:lang w:val="en-US"/>
        </w:rPr>
        <w:t xml:space="preserve"> </w:t>
      </w:r>
      <w:r w:rsidR="00C26AA2" w:rsidRPr="002441C6">
        <w:rPr>
          <w:rFonts w:asciiTheme="majorHAnsi" w:hAnsiTheme="majorHAnsi" w:cs="Calibri"/>
          <w:lang w:val="en-US"/>
        </w:rPr>
        <w:t>data were</w:t>
      </w:r>
      <w:r w:rsidR="00E667CA" w:rsidRPr="002441C6">
        <w:rPr>
          <w:rFonts w:asciiTheme="majorHAnsi" w:hAnsiTheme="majorHAnsi" w:cs="Calibri"/>
          <w:lang w:val="en-US"/>
        </w:rPr>
        <w:t xml:space="preserve"> collected </w:t>
      </w:r>
      <w:r w:rsidR="00C26AA2" w:rsidRPr="002441C6">
        <w:rPr>
          <w:rFonts w:asciiTheme="majorHAnsi" w:hAnsiTheme="majorHAnsi" w:cs="Calibri"/>
          <w:lang w:val="en-US"/>
        </w:rPr>
        <w:t xml:space="preserve">only </w:t>
      </w:r>
      <w:r w:rsidR="00E667CA" w:rsidRPr="002441C6">
        <w:rPr>
          <w:rFonts w:asciiTheme="majorHAnsi" w:hAnsiTheme="majorHAnsi" w:cs="Calibri"/>
          <w:lang w:val="en-US"/>
        </w:rPr>
        <w:t xml:space="preserve">in a </w:t>
      </w:r>
      <w:r w:rsidR="005C42C1" w:rsidRPr="002441C6">
        <w:rPr>
          <w:rFonts w:asciiTheme="majorHAnsi" w:hAnsiTheme="majorHAnsi" w:cs="Calibri"/>
          <w:lang w:val="en-US"/>
        </w:rPr>
        <w:t>minority</w:t>
      </w:r>
      <w:r w:rsidR="00E667CA" w:rsidRPr="002441C6">
        <w:rPr>
          <w:rFonts w:asciiTheme="majorHAnsi" w:hAnsiTheme="majorHAnsi" w:cs="Calibri"/>
          <w:lang w:val="en-US"/>
        </w:rPr>
        <w:t xml:space="preserve"> of participants completing </w:t>
      </w:r>
      <w:r w:rsidR="00475BEC">
        <w:rPr>
          <w:rFonts w:asciiTheme="majorHAnsi" w:hAnsiTheme="majorHAnsi" w:cs="Calibri"/>
          <w:lang w:val="en-US"/>
        </w:rPr>
        <w:t xml:space="preserve">other assessments at </w:t>
      </w:r>
      <w:r w:rsidR="00E667CA" w:rsidRPr="002441C6">
        <w:rPr>
          <w:rFonts w:asciiTheme="majorHAnsi" w:hAnsiTheme="majorHAnsi" w:cs="Calibri"/>
          <w:lang w:val="en-US"/>
        </w:rPr>
        <w:t>this wave</w:t>
      </w:r>
      <w:r w:rsidR="005C42C1" w:rsidRPr="002441C6">
        <w:rPr>
          <w:rFonts w:asciiTheme="majorHAnsi" w:hAnsiTheme="majorHAnsi" w:cs="Calibri"/>
          <w:lang w:val="en-US"/>
        </w:rPr>
        <w:t>. Fourth, a</w:t>
      </w:r>
      <w:r w:rsidR="00E667CA" w:rsidRPr="002441C6">
        <w:rPr>
          <w:rFonts w:asciiTheme="majorHAnsi" w:hAnsiTheme="majorHAnsi" w:cs="Calibri"/>
          <w:lang w:val="en-US"/>
        </w:rPr>
        <w:t xml:space="preserve">nalyses </w:t>
      </w:r>
      <w:r w:rsidR="003D4A92" w:rsidRPr="002441C6">
        <w:rPr>
          <w:rFonts w:asciiTheme="majorHAnsi" w:hAnsiTheme="majorHAnsi" w:cs="Calibri"/>
          <w:lang w:val="en-US"/>
        </w:rPr>
        <w:t xml:space="preserve">on </w:t>
      </w:r>
      <w:r w:rsidR="00475BEC">
        <w:rPr>
          <w:rFonts w:asciiTheme="majorHAnsi" w:hAnsiTheme="majorHAnsi" w:cs="Calibri"/>
          <w:lang w:val="en-US"/>
        </w:rPr>
        <w:t xml:space="preserve">the </w:t>
      </w:r>
      <w:r w:rsidR="00E667CA" w:rsidRPr="002441C6">
        <w:rPr>
          <w:rFonts w:asciiTheme="majorHAnsi" w:hAnsiTheme="majorHAnsi" w:cs="Calibri"/>
          <w:lang w:val="en-US"/>
        </w:rPr>
        <w:t xml:space="preserve">temporal stability of the neurodevelopmental spectrum also included </w:t>
      </w:r>
      <w:r w:rsidR="00EA782D">
        <w:rPr>
          <w:rFonts w:asciiTheme="majorHAnsi" w:hAnsiTheme="majorHAnsi" w:cs="Calibri"/>
          <w:lang w:val="en-US"/>
        </w:rPr>
        <w:t xml:space="preserve">phenotypic </w:t>
      </w:r>
      <w:r w:rsidR="00E667CA" w:rsidRPr="002441C6">
        <w:rPr>
          <w:rFonts w:asciiTheme="majorHAnsi" w:hAnsiTheme="majorHAnsi" w:cs="Calibri"/>
          <w:lang w:val="en-US"/>
        </w:rPr>
        <w:t>mixed models looking at associations between neurodevelopmental factors over time, controlling for twin relatedness, age, and sex</w:t>
      </w:r>
      <w:r w:rsidR="00EA782D">
        <w:rPr>
          <w:rFonts w:asciiTheme="majorHAnsi" w:hAnsiTheme="majorHAnsi" w:cs="Calibri"/>
          <w:lang w:val="en-US"/>
        </w:rPr>
        <w:t>, in addition to equivalent twin analyses mentioned in the preregistration</w:t>
      </w:r>
      <w:r w:rsidR="005C42C1" w:rsidRPr="002441C6">
        <w:rPr>
          <w:rFonts w:asciiTheme="majorHAnsi" w:hAnsiTheme="majorHAnsi" w:cs="Calibri"/>
          <w:lang w:val="en-US"/>
        </w:rPr>
        <w:t>. Fifth, a</w:t>
      </w:r>
      <w:r w:rsidR="00E667CA" w:rsidRPr="002441C6">
        <w:rPr>
          <w:rFonts w:asciiTheme="majorHAnsi" w:hAnsiTheme="majorHAnsi" w:cs="Calibri"/>
          <w:lang w:val="en-US"/>
        </w:rPr>
        <w:t xml:space="preserve">nalyses </w:t>
      </w:r>
      <w:r w:rsidR="00504CAE" w:rsidRPr="002441C6">
        <w:rPr>
          <w:rFonts w:asciiTheme="majorHAnsi" w:hAnsiTheme="majorHAnsi" w:cs="Calibri"/>
          <w:lang w:val="en-US"/>
        </w:rPr>
        <w:t xml:space="preserve">looking at </w:t>
      </w:r>
      <w:r w:rsidR="00E667CA" w:rsidRPr="002441C6">
        <w:rPr>
          <w:rFonts w:asciiTheme="majorHAnsi" w:hAnsiTheme="majorHAnsi" w:cs="Calibri"/>
          <w:lang w:val="en-US"/>
        </w:rPr>
        <w:t xml:space="preserve">associations with cognitive and educational outcomes also included twin modelling </w:t>
      </w:r>
      <w:r w:rsidR="00EB3FC5" w:rsidRPr="002441C6">
        <w:rPr>
          <w:rFonts w:asciiTheme="majorHAnsi" w:hAnsiTheme="majorHAnsi" w:cs="Calibri"/>
          <w:lang w:val="en-US"/>
        </w:rPr>
        <w:t xml:space="preserve">to estimate genetic and environmental effects on these associations, </w:t>
      </w:r>
      <w:r w:rsidR="00E667CA" w:rsidRPr="002441C6">
        <w:rPr>
          <w:rFonts w:asciiTheme="majorHAnsi" w:hAnsiTheme="majorHAnsi" w:cs="Calibri"/>
          <w:lang w:val="en-US"/>
        </w:rPr>
        <w:t>mirroring the phenotypic analyses</w:t>
      </w:r>
      <w:r w:rsidR="00FC24F8" w:rsidRPr="002441C6">
        <w:rPr>
          <w:rFonts w:asciiTheme="majorHAnsi" w:hAnsiTheme="majorHAnsi" w:cs="Calibri"/>
          <w:lang w:val="en-US"/>
        </w:rPr>
        <w:t>. Six</w:t>
      </w:r>
      <w:r w:rsidR="00313ABB" w:rsidRPr="002441C6">
        <w:rPr>
          <w:rFonts w:asciiTheme="majorHAnsi" w:hAnsiTheme="majorHAnsi" w:cs="Calibri"/>
          <w:lang w:val="en-US"/>
        </w:rPr>
        <w:t>th, in analyses of genetic and early environmental/developmental predictors, we did not include t</w:t>
      </w:r>
      <w:r w:rsidR="008B6CD5" w:rsidRPr="002441C6">
        <w:rPr>
          <w:rFonts w:asciiTheme="majorHAnsi" w:hAnsiTheme="majorHAnsi" w:cs="Calibri"/>
          <w:lang w:val="en-US"/>
        </w:rPr>
        <w:t xml:space="preserve">he </w:t>
      </w:r>
      <w:r w:rsidR="00313ABB" w:rsidRPr="002441C6">
        <w:rPr>
          <w:rFonts w:asciiTheme="majorHAnsi" w:hAnsiTheme="majorHAnsi" w:cs="Calibri"/>
          <w:lang w:val="en-US"/>
        </w:rPr>
        <w:t>c</w:t>
      </w:r>
      <w:r w:rsidR="008B6CD5" w:rsidRPr="002441C6">
        <w:rPr>
          <w:rFonts w:asciiTheme="majorHAnsi" w:hAnsiTheme="majorHAnsi" w:cs="Calibri"/>
          <w:lang w:val="en-US"/>
        </w:rPr>
        <w:t>ross-disorder ADHD-ASD-TS-OCD polygenic score because summary statistics were not publicly available</w:t>
      </w:r>
      <w:r w:rsidR="00313ABB" w:rsidRPr="002441C6">
        <w:rPr>
          <w:rFonts w:asciiTheme="majorHAnsi" w:hAnsiTheme="majorHAnsi" w:cs="Calibri"/>
          <w:lang w:val="en-US"/>
        </w:rPr>
        <w:t xml:space="preserve">, nor the </w:t>
      </w:r>
      <w:r w:rsidR="00504CAE" w:rsidRPr="002441C6">
        <w:rPr>
          <w:rFonts w:asciiTheme="majorHAnsi" w:hAnsiTheme="majorHAnsi" w:cs="Calibri"/>
          <w:lang w:val="en-US"/>
        </w:rPr>
        <w:t>TEDS perinatal outliers’ composites</w:t>
      </w:r>
      <w:r w:rsidR="00313ABB" w:rsidRPr="002441C6">
        <w:rPr>
          <w:rFonts w:asciiTheme="majorHAnsi" w:hAnsiTheme="majorHAnsi" w:cs="Calibri"/>
          <w:lang w:val="en-US"/>
        </w:rPr>
        <w:t xml:space="preserve"> as</w:t>
      </w:r>
      <w:r w:rsidR="00504CAE" w:rsidRPr="002441C6">
        <w:rPr>
          <w:rFonts w:asciiTheme="majorHAnsi" w:hAnsiTheme="majorHAnsi" w:cs="Calibri"/>
          <w:lang w:val="en-US"/>
        </w:rPr>
        <w:t xml:space="preserve"> these outliers reflect binary variables derived from continuous variables included in our </w:t>
      </w:r>
      <w:proofErr w:type="gramStart"/>
      <w:r w:rsidR="00504CAE" w:rsidRPr="002441C6">
        <w:rPr>
          <w:rFonts w:asciiTheme="majorHAnsi" w:hAnsiTheme="majorHAnsi" w:cs="Calibri"/>
          <w:lang w:val="en-US"/>
        </w:rPr>
        <w:t>analyses, and</w:t>
      </w:r>
      <w:proofErr w:type="gramEnd"/>
      <w:r w:rsidR="00504CAE" w:rsidRPr="002441C6">
        <w:rPr>
          <w:rFonts w:asciiTheme="majorHAnsi" w:hAnsiTheme="majorHAnsi" w:cs="Calibri"/>
          <w:lang w:val="en-US"/>
        </w:rPr>
        <w:t xml:space="preserve"> were therefore redundant</w:t>
      </w:r>
      <w:r w:rsidR="00FC24F8" w:rsidRPr="002441C6">
        <w:rPr>
          <w:rFonts w:asciiTheme="majorHAnsi" w:hAnsiTheme="majorHAnsi" w:cs="Calibri"/>
          <w:lang w:val="en-US"/>
        </w:rPr>
        <w:t>.</w:t>
      </w:r>
    </w:p>
    <w:p w14:paraId="4CA3A733" w14:textId="77777777" w:rsidR="00155353" w:rsidRPr="002441C6" w:rsidRDefault="00155353" w:rsidP="000707C8">
      <w:pPr>
        <w:spacing w:line="360" w:lineRule="auto"/>
        <w:ind w:firstLine="567"/>
        <w:jc w:val="both"/>
        <w:rPr>
          <w:rFonts w:asciiTheme="majorHAnsi" w:hAnsiTheme="majorHAnsi" w:cs="Calibri"/>
          <w:lang w:val="en-US"/>
        </w:rPr>
      </w:pPr>
    </w:p>
    <w:p w14:paraId="58370619" w14:textId="1C9C60DB" w:rsidR="006723A4" w:rsidRPr="002441C6" w:rsidRDefault="006723A4" w:rsidP="000707C8">
      <w:pPr>
        <w:spacing w:line="360" w:lineRule="auto"/>
        <w:ind w:firstLine="0"/>
        <w:jc w:val="both"/>
        <w:rPr>
          <w:rFonts w:asciiTheme="majorHAnsi" w:hAnsiTheme="majorHAnsi" w:cs="Calibri"/>
          <w:b/>
          <w:bCs/>
          <w:lang w:val="en-US"/>
        </w:rPr>
      </w:pPr>
      <w:r w:rsidRPr="002441C6">
        <w:rPr>
          <w:rFonts w:asciiTheme="majorHAnsi" w:hAnsiTheme="majorHAnsi" w:cs="Calibri"/>
          <w:b/>
          <w:bCs/>
          <w:lang w:val="en-US"/>
        </w:rPr>
        <w:t>2. DNA collection, genotyping, and polygenic scores</w:t>
      </w:r>
    </w:p>
    <w:p w14:paraId="51F1C532" w14:textId="198FA78B" w:rsidR="006723A4" w:rsidRPr="002441C6" w:rsidRDefault="006723A4" w:rsidP="000707C8">
      <w:pPr>
        <w:spacing w:line="360" w:lineRule="auto"/>
        <w:jc w:val="both"/>
        <w:rPr>
          <w:rFonts w:asciiTheme="majorHAnsi" w:hAnsiTheme="majorHAnsi" w:cs="Calibri"/>
          <w:lang w:val="en-US"/>
        </w:rPr>
      </w:pPr>
      <w:r w:rsidRPr="002441C6">
        <w:rPr>
          <w:rFonts w:asciiTheme="majorHAnsi" w:hAnsiTheme="majorHAnsi" w:cs="Calibri"/>
          <w:lang w:val="en-US"/>
        </w:rPr>
        <w:t xml:space="preserve">DNA samples have been obtained from 12,500 individuals and genotyped on one of the two DNA microarrays (Affymetrix </w:t>
      </w:r>
      <w:proofErr w:type="spellStart"/>
      <w:r w:rsidRPr="002441C6">
        <w:rPr>
          <w:rFonts w:asciiTheme="majorHAnsi" w:hAnsiTheme="majorHAnsi" w:cs="Calibri"/>
          <w:lang w:val="en-US"/>
        </w:rPr>
        <w:t>GeneChip</w:t>
      </w:r>
      <w:proofErr w:type="spellEnd"/>
      <w:r w:rsidRPr="002441C6">
        <w:rPr>
          <w:rFonts w:asciiTheme="majorHAnsi" w:hAnsiTheme="majorHAnsi" w:cs="Calibri"/>
          <w:lang w:val="en-US"/>
        </w:rPr>
        <w:t xml:space="preserve"> 6.0 or Illumina </w:t>
      </w:r>
      <w:proofErr w:type="spellStart"/>
      <w:r w:rsidRPr="002441C6">
        <w:rPr>
          <w:rFonts w:asciiTheme="majorHAnsi" w:hAnsiTheme="majorHAnsi" w:cs="Calibri"/>
          <w:lang w:val="en-US"/>
        </w:rPr>
        <w:t>HumanOmniExpressExome</w:t>
      </w:r>
      <w:proofErr w:type="spellEnd"/>
      <w:r w:rsidRPr="002441C6">
        <w:rPr>
          <w:rFonts w:asciiTheme="majorHAnsi" w:hAnsiTheme="majorHAnsi" w:cs="Calibri"/>
          <w:lang w:val="en-US"/>
        </w:rPr>
        <w:t xml:space="preserve"> chips). After stringent quality control, the total number of TEDS participants available for genomic analyses was 10,346 (including 7,026 </w:t>
      </w:r>
      <w:r w:rsidRPr="002441C6">
        <w:rPr>
          <w:rFonts w:asciiTheme="majorHAnsi" w:hAnsiTheme="majorHAnsi" w:cs="Calibri"/>
          <w:lang w:val="en-US"/>
        </w:rPr>
        <w:lastRenderedPageBreak/>
        <w:t xml:space="preserve">unrelated individuals and 3,320 additional dizygotic [DZ] co-twins). Of these, 7,289 individuals were genotyped on Illumina arrays, and 3,057 individuals were genotyped on Affymetrix arrays (see </w:t>
      </w:r>
      <w:r w:rsidR="00800B96" w:rsidRPr="002441C6">
        <w:rPr>
          <w:rFonts w:asciiTheme="majorHAnsi" w:hAnsiTheme="majorHAnsi" w:cs="Calibri"/>
        </w:rPr>
        <w:t>[1]</w:t>
      </w:r>
      <w:r w:rsidRPr="002441C6">
        <w:rPr>
          <w:rFonts w:asciiTheme="majorHAnsi" w:hAnsiTheme="majorHAnsi" w:cs="Calibri"/>
          <w:lang w:val="en-US"/>
        </w:rPr>
        <w:t xml:space="preserve"> for a detailed description). Genomic data </w:t>
      </w:r>
      <w:proofErr w:type="gramStart"/>
      <w:r w:rsidRPr="002441C6">
        <w:rPr>
          <w:rFonts w:asciiTheme="majorHAnsi" w:hAnsiTheme="majorHAnsi" w:cs="Calibri"/>
          <w:lang w:val="en-US"/>
        </w:rPr>
        <w:t>were</w:t>
      </w:r>
      <w:proofErr w:type="gramEnd"/>
      <w:r w:rsidRPr="002441C6">
        <w:rPr>
          <w:rFonts w:asciiTheme="majorHAnsi" w:hAnsiTheme="majorHAnsi" w:cs="Calibri"/>
          <w:lang w:val="en-US"/>
        </w:rPr>
        <w:t xml:space="preserve"> available for a subsample of participants included at age 7 (N=8,262), 12 (N=7,080), and 16 (N=6,030). </w:t>
      </w:r>
    </w:p>
    <w:p w14:paraId="43270061" w14:textId="22633ED3" w:rsidR="006723A4" w:rsidRPr="002441C6" w:rsidRDefault="006723A4" w:rsidP="000707C8">
      <w:pPr>
        <w:spacing w:line="360" w:lineRule="auto"/>
        <w:jc w:val="both"/>
        <w:rPr>
          <w:rFonts w:asciiTheme="majorHAnsi" w:hAnsiTheme="majorHAnsi" w:cs="Calibri"/>
          <w:lang w:val="en-US"/>
        </w:rPr>
      </w:pPr>
      <w:r w:rsidRPr="002441C6">
        <w:rPr>
          <w:rFonts w:asciiTheme="majorHAnsi" w:hAnsiTheme="majorHAnsi" w:cs="Calibri"/>
          <w:lang w:val="en-US"/>
        </w:rPr>
        <w:t xml:space="preserve">We calculated the polygenic scores </w:t>
      </w:r>
      <w:r w:rsidR="00D6039B" w:rsidRPr="002441C6">
        <w:rPr>
          <w:rFonts w:asciiTheme="majorHAnsi" w:hAnsiTheme="majorHAnsi" w:cs="Calibri"/>
          <w:lang w:val="en-US"/>
        </w:rPr>
        <w:t xml:space="preserve">using </w:t>
      </w:r>
      <w:proofErr w:type="spellStart"/>
      <w:r w:rsidR="00D6039B" w:rsidRPr="002441C6">
        <w:rPr>
          <w:rFonts w:asciiTheme="majorHAnsi" w:hAnsiTheme="majorHAnsi" w:cs="Calibri"/>
          <w:lang w:val="en-US"/>
        </w:rPr>
        <w:t>LDpred</w:t>
      </w:r>
      <w:proofErr w:type="spellEnd"/>
      <w:r w:rsidR="00D6039B" w:rsidRPr="002441C6">
        <w:rPr>
          <w:rFonts w:asciiTheme="majorHAnsi" w:hAnsiTheme="majorHAnsi" w:cs="Calibri"/>
          <w:lang w:val="en-US"/>
        </w:rPr>
        <w:t xml:space="preserve"> and, since 2022, LDpred2-auto </w:t>
      </w:r>
      <w:r w:rsidR="00D6039B" w:rsidRPr="002441C6">
        <w:rPr>
          <w:rFonts w:asciiTheme="majorHAnsi" w:hAnsiTheme="majorHAnsi" w:cs="Calibri"/>
        </w:rPr>
        <w:t>[2, 3]</w:t>
      </w:r>
      <w:r w:rsidR="00D6039B" w:rsidRPr="002441C6">
        <w:rPr>
          <w:rFonts w:asciiTheme="majorHAnsi" w:hAnsiTheme="majorHAnsi" w:cs="Calibri"/>
          <w:lang w:val="en-US"/>
        </w:rPr>
        <w:t xml:space="preserve"> </w:t>
      </w:r>
      <w:r w:rsidRPr="002441C6">
        <w:rPr>
          <w:rFonts w:asciiTheme="majorHAnsi" w:hAnsiTheme="majorHAnsi" w:cs="Calibri"/>
          <w:lang w:val="en-US"/>
        </w:rPr>
        <w:t>based on the largest available genome-wide association study (GWAS) for each phenotype of interest (</w:t>
      </w:r>
      <w:r w:rsidR="000B19F8" w:rsidRPr="002441C6">
        <w:rPr>
          <w:rFonts w:asciiTheme="majorHAnsi" w:hAnsiTheme="majorHAnsi" w:cs="Calibri"/>
        </w:rPr>
        <w:t xml:space="preserve">Supplementary Table </w:t>
      </w:r>
      <w:r w:rsidRPr="002441C6">
        <w:rPr>
          <w:rFonts w:asciiTheme="majorHAnsi" w:hAnsiTheme="majorHAnsi" w:cs="Calibri"/>
          <w:lang w:val="en-US"/>
        </w:rPr>
        <w:t>2)</w:t>
      </w:r>
      <w:r w:rsidR="00DB6B13" w:rsidRPr="002441C6">
        <w:rPr>
          <w:rFonts w:asciiTheme="majorHAnsi" w:hAnsiTheme="majorHAnsi" w:cs="Calibri"/>
          <w:lang w:val="en-US"/>
        </w:rPr>
        <w:t xml:space="preserve">. </w:t>
      </w:r>
      <w:r w:rsidR="00E263F5" w:rsidRPr="00E263F5">
        <w:rPr>
          <w:rFonts w:asciiTheme="majorHAnsi" w:hAnsiTheme="majorHAnsi" w:cs="Calibri"/>
          <w:lang w:val="en-US"/>
        </w:rPr>
        <w:t xml:space="preserve">All available SNPs </w:t>
      </w:r>
      <w:r w:rsidR="00E263F5">
        <w:rPr>
          <w:rFonts w:asciiTheme="majorHAnsi" w:hAnsiTheme="majorHAnsi" w:cs="Calibri"/>
          <w:lang w:val="en-US"/>
        </w:rPr>
        <w:t>were</w:t>
      </w:r>
      <w:r w:rsidR="00E263F5" w:rsidRPr="00E263F5">
        <w:rPr>
          <w:rFonts w:asciiTheme="majorHAnsi" w:hAnsiTheme="majorHAnsi" w:cs="Calibri"/>
          <w:lang w:val="en-US"/>
        </w:rPr>
        <w:t xml:space="preserve"> included in the polygenic scores (i.e., p-value threshold of 1)</w:t>
      </w:r>
      <w:r w:rsidR="00E263F5">
        <w:rPr>
          <w:rFonts w:asciiTheme="majorHAnsi" w:hAnsiTheme="majorHAnsi" w:cs="Calibri"/>
          <w:lang w:val="en-US"/>
        </w:rPr>
        <w:t xml:space="preserve">, in line with previous work in this sample </w:t>
      </w:r>
      <w:r w:rsidR="00E15398" w:rsidRPr="00E15398">
        <w:rPr>
          <w:rFonts w:ascii="Aptos Display" w:hAnsi="Aptos Display" w:cs="Times New Roman"/>
          <w:kern w:val="0"/>
        </w:rPr>
        <w:t>[4–6]</w:t>
      </w:r>
      <w:r w:rsidR="00E263F5">
        <w:rPr>
          <w:rFonts w:asciiTheme="majorHAnsi" w:hAnsiTheme="majorHAnsi" w:cs="Calibri"/>
          <w:lang w:val="en-US"/>
        </w:rPr>
        <w:t xml:space="preserve">. </w:t>
      </w:r>
      <w:r w:rsidRPr="002441C6">
        <w:rPr>
          <w:rFonts w:asciiTheme="majorHAnsi" w:hAnsiTheme="majorHAnsi" w:cs="Calibri"/>
          <w:lang w:val="en-US"/>
        </w:rPr>
        <w:t>Further information on individual GWAS and summary statistics can be found elsewhere (</w:t>
      </w:r>
      <w:hyperlink r:id="rId9" w:history="1">
        <w:r w:rsidRPr="002441C6">
          <w:rPr>
            <w:rStyle w:val="Hyperlink"/>
            <w:rFonts w:asciiTheme="majorHAnsi" w:hAnsiTheme="majorHAnsi" w:cs="Calibri"/>
            <w:lang w:val="en-US"/>
          </w:rPr>
          <w:t>https://www.med.unc.edu/pgc/download-results/</w:t>
        </w:r>
      </w:hyperlink>
      <w:r w:rsidRPr="002441C6">
        <w:rPr>
          <w:rFonts w:asciiTheme="majorHAnsi" w:hAnsiTheme="majorHAnsi" w:cs="Calibri"/>
          <w:lang w:val="en-US"/>
        </w:rPr>
        <w:t xml:space="preserve">; </w:t>
      </w:r>
      <w:hyperlink r:id="rId10" w:anchor="list" w:history="1">
        <w:r w:rsidRPr="002441C6">
          <w:rPr>
            <w:rStyle w:val="Hyperlink"/>
            <w:rFonts w:asciiTheme="majorHAnsi" w:hAnsiTheme="majorHAnsi" w:cs="Calibri"/>
            <w:lang w:val="en-US"/>
          </w:rPr>
          <w:t>https://www.teds.ac.uk/datadictionary/studies/measures/polygenic_scores.htm#list</w:t>
        </w:r>
      </w:hyperlink>
      <w:r w:rsidRPr="002441C6">
        <w:rPr>
          <w:rFonts w:asciiTheme="majorHAnsi" w:hAnsiTheme="majorHAnsi" w:cs="Calibri"/>
          <w:lang w:val="en-US"/>
        </w:rPr>
        <w:t>)</w:t>
      </w:r>
    </w:p>
    <w:p w14:paraId="4A4674AF" w14:textId="77777777" w:rsidR="006723A4" w:rsidRPr="002441C6" w:rsidRDefault="006723A4" w:rsidP="000707C8">
      <w:pPr>
        <w:spacing w:line="360" w:lineRule="auto"/>
        <w:ind w:firstLine="0"/>
        <w:jc w:val="both"/>
        <w:rPr>
          <w:rFonts w:asciiTheme="majorHAnsi" w:hAnsiTheme="majorHAnsi" w:cs="Calibri"/>
          <w:lang w:val="en-US"/>
        </w:rPr>
      </w:pPr>
    </w:p>
    <w:p w14:paraId="2AEDD4DE" w14:textId="6FD531DB" w:rsidR="00DC6215" w:rsidRPr="002441C6" w:rsidRDefault="00155353" w:rsidP="000707C8">
      <w:pPr>
        <w:tabs>
          <w:tab w:val="left" w:pos="1725"/>
        </w:tabs>
        <w:spacing w:line="360" w:lineRule="auto"/>
        <w:ind w:firstLine="0"/>
        <w:jc w:val="both"/>
        <w:rPr>
          <w:rFonts w:asciiTheme="majorHAnsi" w:hAnsiTheme="majorHAnsi" w:cs="Calibri"/>
          <w:b/>
          <w:bCs/>
        </w:rPr>
      </w:pPr>
      <w:r w:rsidRPr="002441C6">
        <w:rPr>
          <w:rFonts w:asciiTheme="majorHAnsi" w:hAnsiTheme="majorHAnsi" w:cs="Calibri"/>
          <w:b/>
          <w:bCs/>
        </w:rPr>
        <w:t xml:space="preserve">3. </w:t>
      </w:r>
      <w:r w:rsidR="00DC6215" w:rsidRPr="002441C6">
        <w:rPr>
          <w:rFonts w:asciiTheme="majorHAnsi" w:hAnsiTheme="majorHAnsi" w:cs="Calibri"/>
          <w:b/>
          <w:bCs/>
        </w:rPr>
        <w:t>Twin analyses</w:t>
      </w:r>
    </w:p>
    <w:p w14:paraId="010C0306" w14:textId="476E734B" w:rsidR="00DC6215" w:rsidRPr="002441C6" w:rsidRDefault="00DC6215" w:rsidP="000707C8">
      <w:pPr>
        <w:tabs>
          <w:tab w:val="left" w:pos="567"/>
        </w:tabs>
        <w:spacing w:line="360" w:lineRule="auto"/>
        <w:ind w:firstLine="0"/>
        <w:jc w:val="both"/>
        <w:rPr>
          <w:rFonts w:asciiTheme="majorHAnsi" w:hAnsiTheme="majorHAnsi" w:cs="Calibri"/>
        </w:rPr>
      </w:pPr>
      <w:r w:rsidRPr="002441C6">
        <w:rPr>
          <w:rFonts w:asciiTheme="majorHAnsi" w:hAnsiTheme="majorHAnsi" w:cs="Calibri"/>
        </w:rPr>
        <w:tab/>
        <w:t xml:space="preserve">The twin method offers a natural experiment to estimate the proportion of phenotypic variance of a trait or covariation between traits explained by genetic and environmental effects, using the known genetic relatedness between monozygotic (MZ) and dizygotic (DZ) twin pairs. MZ twins share 100% of their segregating genes, while DZ twins share on average 50% of their segregating genes. Both MZ and DZ twin pairs share 100% of the environmental effects of growing up in the same family. Twin model-fitting analyses can decompose phenotypic variance into contributions of additive genetic effects (A), common environmental effects (C) which make members of a twin pair </w:t>
      </w:r>
      <w:proofErr w:type="gramStart"/>
      <w:r w:rsidRPr="002441C6">
        <w:rPr>
          <w:rFonts w:asciiTheme="majorHAnsi" w:hAnsiTheme="majorHAnsi" w:cs="Calibri"/>
        </w:rPr>
        <w:t>similar to</w:t>
      </w:r>
      <w:proofErr w:type="gramEnd"/>
      <w:r w:rsidRPr="002441C6">
        <w:rPr>
          <w:rFonts w:asciiTheme="majorHAnsi" w:hAnsiTheme="majorHAnsi" w:cs="Calibri"/>
        </w:rPr>
        <w:t xml:space="preserve"> one another, and individual-specific environmental effects (E) which make members of a twin pair differ, including measurement error. If MZ correlations on trait similarity are larger than DZ correlations, then genetic influences on a trait can be assumed. In the event of twin correlations in MZ twins more than twice as large as those in DZ twins, indicating non-additive genetic effects, models decomposing A, non-additive genetic effects (D) and E effects are tested instead, as C and D cannot be simultaneously estimated </w:t>
      </w:r>
      <w:r w:rsidR="00E15398" w:rsidRPr="00E15398">
        <w:rPr>
          <w:rFonts w:ascii="Aptos Display" w:hAnsi="Aptos Display"/>
        </w:rPr>
        <w:t>[7]</w:t>
      </w:r>
      <w:r w:rsidRPr="002441C6">
        <w:rPr>
          <w:rFonts w:asciiTheme="majorHAnsi" w:hAnsiTheme="majorHAnsi" w:cs="Calibri"/>
        </w:rPr>
        <w:t xml:space="preserve">. Twin analyses were run in the R package </w:t>
      </w:r>
      <w:proofErr w:type="spellStart"/>
      <w:r w:rsidRPr="002441C6">
        <w:rPr>
          <w:rFonts w:asciiTheme="majorHAnsi" w:hAnsiTheme="majorHAnsi" w:cs="Calibri"/>
        </w:rPr>
        <w:t>OpenMx</w:t>
      </w:r>
      <w:proofErr w:type="spellEnd"/>
      <w:r w:rsidRPr="002441C6">
        <w:rPr>
          <w:rFonts w:asciiTheme="majorHAnsi" w:hAnsiTheme="majorHAnsi" w:cs="Calibri"/>
        </w:rPr>
        <w:t xml:space="preserve"> </w:t>
      </w:r>
      <w:r w:rsidR="00E15398" w:rsidRPr="00E15398">
        <w:rPr>
          <w:rFonts w:ascii="Aptos Display" w:hAnsi="Aptos Display"/>
        </w:rPr>
        <w:t>[8]</w:t>
      </w:r>
      <w:r w:rsidRPr="002441C6">
        <w:rPr>
          <w:rFonts w:asciiTheme="majorHAnsi" w:hAnsiTheme="majorHAnsi" w:cs="Calibri"/>
        </w:rPr>
        <w:t xml:space="preserve"> </w:t>
      </w:r>
      <w:r w:rsidR="009F0B2E" w:rsidRPr="002441C6">
        <w:rPr>
          <w:rFonts w:asciiTheme="majorHAnsi" w:hAnsiTheme="majorHAnsi" w:cs="Calibri"/>
        </w:rPr>
        <w:t>using the standardized residuals of sex and age</w:t>
      </w:r>
      <w:r w:rsidRPr="002441C6">
        <w:rPr>
          <w:rFonts w:asciiTheme="majorHAnsi" w:hAnsiTheme="majorHAnsi" w:cs="Calibri"/>
        </w:rPr>
        <w:t xml:space="preserve">, as is standard </w:t>
      </w:r>
      <w:r w:rsidR="009F0B2E" w:rsidRPr="002441C6">
        <w:rPr>
          <w:rFonts w:asciiTheme="majorHAnsi" w:hAnsiTheme="majorHAnsi" w:cs="Calibri"/>
        </w:rPr>
        <w:t>practice</w:t>
      </w:r>
      <w:r w:rsidRPr="002441C6">
        <w:rPr>
          <w:rFonts w:asciiTheme="majorHAnsi" w:hAnsiTheme="majorHAnsi" w:cs="Calibri"/>
        </w:rPr>
        <w:t xml:space="preserve"> </w:t>
      </w:r>
      <w:r w:rsidR="009F0B2E" w:rsidRPr="002441C6">
        <w:rPr>
          <w:rFonts w:asciiTheme="majorHAnsi" w:hAnsiTheme="majorHAnsi" w:cs="Calibri"/>
        </w:rPr>
        <w:t>in</w:t>
      </w:r>
      <w:r w:rsidRPr="002441C6">
        <w:rPr>
          <w:rFonts w:asciiTheme="majorHAnsi" w:hAnsiTheme="majorHAnsi" w:cs="Calibri"/>
        </w:rPr>
        <w:t xml:space="preserve"> quantitative genetic model-fitting </w:t>
      </w:r>
      <w:r w:rsidR="00E15398" w:rsidRPr="00E15398">
        <w:rPr>
          <w:rFonts w:ascii="Aptos Display" w:hAnsi="Aptos Display"/>
        </w:rPr>
        <w:t>[9]</w:t>
      </w:r>
      <w:r w:rsidRPr="002441C6">
        <w:rPr>
          <w:rFonts w:asciiTheme="majorHAnsi" w:hAnsiTheme="majorHAnsi" w:cs="Calibri"/>
        </w:rPr>
        <w:t xml:space="preserve">. </w:t>
      </w:r>
    </w:p>
    <w:p w14:paraId="76974EE7" w14:textId="77777777" w:rsidR="00AB3BCC" w:rsidRPr="002441C6" w:rsidRDefault="00AB3BCC" w:rsidP="000707C8">
      <w:pPr>
        <w:tabs>
          <w:tab w:val="left" w:pos="567"/>
        </w:tabs>
        <w:spacing w:line="360" w:lineRule="auto"/>
        <w:ind w:firstLine="0"/>
        <w:jc w:val="both"/>
        <w:rPr>
          <w:rFonts w:asciiTheme="majorHAnsi" w:hAnsiTheme="majorHAnsi" w:cs="Calibri"/>
        </w:rPr>
      </w:pPr>
    </w:p>
    <w:p w14:paraId="0B333F43" w14:textId="6A15BEED" w:rsidR="00AB3BCC" w:rsidRPr="002441C6" w:rsidRDefault="00AB3BCC" w:rsidP="000707C8">
      <w:pPr>
        <w:tabs>
          <w:tab w:val="left" w:pos="1725"/>
        </w:tabs>
        <w:spacing w:line="360" w:lineRule="auto"/>
        <w:ind w:firstLine="0"/>
        <w:jc w:val="both"/>
        <w:rPr>
          <w:rFonts w:asciiTheme="majorHAnsi" w:hAnsiTheme="majorHAnsi" w:cs="Calibri"/>
          <w:b/>
          <w:bCs/>
        </w:rPr>
      </w:pPr>
      <w:r w:rsidRPr="002441C6">
        <w:rPr>
          <w:rFonts w:asciiTheme="majorHAnsi" w:hAnsiTheme="majorHAnsi" w:cs="Calibri"/>
          <w:b/>
          <w:bCs/>
        </w:rPr>
        <w:t>4. Single-polygenic-score vs. multi-polygenic-score analysis</w:t>
      </w:r>
    </w:p>
    <w:p w14:paraId="6A028CE2" w14:textId="73C07C85" w:rsidR="00C95C56" w:rsidRPr="002441C6" w:rsidRDefault="00AB3BCC" w:rsidP="000707C8">
      <w:pPr>
        <w:tabs>
          <w:tab w:val="left" w:pos="1725"/>
        </w:tabs>
        <w:spacing w:line="360" w:lineRule="auto"/>
        <w:ind w:firstLine="567"/>
        <w:jc w:val="both"/>
        <w:rPr>
          <w:rFonts w:asciiTheme="majorHAnsi" w:hAnsiTheme="majorHAnsi" w:cs="Calibri"/>
          <w:b/>
          <w:bCs/>
          <w:color w:val="000000" w:themeColor="text1"/>
          <w:lang w:val="en-US"/>
        </w:rPr>
      </w:pPr>
      <w:r w:rsidRPr="002441C6">
        <w:rPr>
          <w:rFonts w:asciiTheme="majorHAnsi" w:hAnsiTheme="majorHAnsi" w:cs="Calibri"/>
        </w:rPr>
        <w:lastRenderedPageBreak/>
        <w:t xml:space="preserve"> </w:t>
      </w:r>
      <w:r w:rsidR="00C95C56" w:rsidRPr="002441C6">
        <w:rPr>
          <w:rFonts w:asciiTheme="majorHAnsi" w:hAnsiTheme="majorHAnsi" w:cs="Calibri"/>
        </w:rPr>
        <w:t>A</w:t>
      </w:r>
      <w:r w:rsidRPr="002441C6">
        <w:rPr>
          <w:rFonts w:asciiTheme="majorHAnsi" w:hAnsiTheme="majorHAnsi" w:cs="Calibri"/>
        </w:rPr>
        <w:t xml:space="preserve"> pre-registered exploratory analysis </w:t>
      </w:r>
      <w:r w:rsidR="00C95C56" w:rsidRPr="002441C6">
        <w:rPr>
          <w:rFonts w:asciiTheme="majorHAnsi" w:hAnsiTheme="majorHAnsi" w:cs="Calibri"/>
        </w:rPr>
        <w:t xml:space="preserve">compared </w:t>
      </w:r>
      <w:r w:rsidR="00C95C56" w:rsidRPr="002441C6">
        <w:rPr>
          <w:rFonts w:asciiTheme="majorHAnsi" w:hAnsiTheme="majorHAnsi" w:cs="Calibri"/>
          <w:color w:val="000000" w:themeColor="text1"/>
          <w:lang w:val="en-US"/>
        </w:rPr>
        <w:t>a single-polygenic-score with a multi-polygenic-score approach</w:t>
      </w:r>
      <w:r w:rsidR="00A911B8" w:rsidRPr="002441C6">
        <w:rPr>
          <w:rFonts w:asciiTheme="majorHAnsi" w:hAnsiTheme="majorHAnsi" w:cs="Calibri"/>
          <w:color w:val="000000" w:themeColor="text1"/>
          <w:lang w:val="en-US"/>
        </w:rPr>
        <w:t xml:space="preserve"> for </w:t>
      </w:r>
      <w:r w:rsidR="00063D8F" w:rsidRPr="002441C6">
        <w:rPr>
          <w:rFonts w:asciiTheme="majorHAnsi" w:hAnsiTheme="majorHAnsi" w:cs="Calibri"/>
          <w:color w:val="000000" w:themeColor="text1"/>
          <w:lang w:val="en-US"/>
        </w:rPr>
        <w:t>predicting</w:t>
      </w:r>
      <w:r w:rsidR="00A911B8" w:rsidRPr="002441C6">
        <w:rPr>
          <w:rFonts w:asciiTheme="majorHAnsi" w:hAnsiTheme="majorHAnsi" w:cs="Calibri"/>
          <w:color w:val="000000" w:themeColor="text1"/>
          <w:lang w:val="en-US"/>
        </w:rPr>
        <w:t xml:space="preserve"> the neurodevelopmental factor across development</w:t>
      </w:r>
      <w:r w:rsidR="005419BB" w:rsidRPr="002441C6">
        <w:rPr>
          <w:rFonts w:asciiTheme="majorHAnsi" w:hAnsiTheme="majorHAnsi" w:cs="Calibri"/>
          <w:color w:val="000000" w:themeColor="text1"/>
          <w:lang w:val="en-US"/>
        </w:rPr>
        <w:t xml:space="preserve"> </w:t>
      </w:r>
      <w:bookmarkStart w:id="0" w:name="_Hlk189771906"/>
      <w:r w:rsidR="00E15398" w:rsidRPr="00E15398">
        <w:rPr>
          <w:rFonts w:ascii="Aptos Display" w:hAnsi="Aptos Display"/>
        </w:rPr>
        <w:t>[4, 5, 10]</w:t>
      </w:r>
      <w:bookmarkEnd w:id="0"/>
      <w:r w:rsidR="00C95C56" w:rsidRPr="002441C6">
        <w:rPr>
          <w:rFonts w:asciiTheme="majorHAnsi" w:hAnsiTheme="majorHAnsi" w:cs="Calibri"/>
          <w:color w:val="000000" w:themeColor="text1"/>
          <w:lang w:val="en-US"/>
        </w:rPr>
        <w:t xml:space="preserve">. Specifically, we </w:t>
      </w:r>
      <w:r w:rsidR="00C95C56" w:rsidRPr="002441C6">
        <w:rPr>
          <w:rFonts w:asciiTheme="majorHAnsi" w:hAnsiTheme="majorHAnsi" w:cs="Calibri"/>
        </w:rPr>
        <w:t xml:space="preserve">compared </w:t>
      </w:r>
      <w:r w:rsidR="00C95C56" w:rsidRPr="002441C6">
        <w:rPr>
          <w:rFonts w:asciiTheme="majorHAnsi" w:hAnsiTheme="majorHAnsi" w:cs="Calibri"/>
          <w:color w:val="000000" w:themeColor="text1"/>
          <w:lang w:val="en-US"/>
        </w:rPr>
        <w:t xml:space="preserve">the </w:t>
      </w:r>
      <w:r w:rsidR="00065407" w:rsidRPr="002441C6">
        <w:rPr>
          <w:rFonts w:asciiTheme="majorHAnsi" w:hAnsiTheme="majorHAnsi" w:cs="Calibri"/>
        </w:rPr>
        <w:t xml:space="preserve">predictive power (i.e., variance explained) </w:t>
      </w:r>
      <w:r w:rsidR="00C95C56" w:rsidRPr="002441C6">
        <w:rPr>
          <w:rFonts w:asciiTheme="majorHAnsi" w:hAnsiTheme="majorHAnsi" w:cs="Calibri"/>
          <w:color w:val="000000" w:themeColor="text1"/>
          <w:lang w:val="en-US"/>
        </w:rPr>
        <w:t xml:space="preserve">in the neurodevelopmental factor explained by the most predictive polygenic score at each age </w:t>
      </w:r>
      <w:r w:rsidR="00A911B8" w:rsidRPr="002441C6">
        <w:rPr>
          <w:rFonts w:asciiTheme="majorHAnsi" w:hAnsiTheme="majorHAnsi" w:cs="Calibri"/>
          <w:color w:val="000000" w:themeColor="text1"/>
          <w:lang w:val="en-US"/>
        </w:rPr>
        <w:t xml:space="preserve">(ADHD polygenic score) </w:t>
      </w:r>
      <w:r w:rsidR="004C6310" w:rsidRPr="002441C6">
        <w:rPr>
          <w:rFonts w:asciiTheme="majorHAnsi" w:hAnsiTheme="majorHAnsi" w:cs="Calibri"/>
          <w:color w:val="000000" w:themeColor="text1"/>
          <w:lang w:val="en-US"/>
        </w:rPr>
        <w:t xml:space="preserve">(model 1), </w:t>
      </w:r>
      <w:r w:rsidR="00C95C56" w:rsidRPr="002441C6">
        <w:rPr>
          <w:rFonts w:asciiTheme="majorHAnsi" w:hAnsiTheme="majorHAnsi" w:cs="Calibri"/>
          <w:color w:val="000000" w:themeColor="text1"/>
          <w:lang w:val="en-US"/>
        </w:rPr>
        <w:t xml:space="preserve">jointly by </w:t>
      </w:r>
      <w:r w:rsidR="00DF68A3" w:rsidRPr="002441C6">
        <w:rPr>
          <w:rFonts w:asciiTheme="majorHAnsi" w:hAnsiTheme="majorHAnsi" w:cs="Calibri"/>
          <w:color w:val="000000" w:themeColor="text1"/>
          <w:lang w:val="en-US"/>
        </w:rPr>
        <w:t xml:space="preserve">the 18 </w:t>
      </w:r>
      <w:r w:rsidR="00C95C56" w:rsidRPr="002441C6">
        <w:rPr>
          <w:rFonts w:asciiTheme="majorHAnsi" w:hAnsiTheme="majorHAnsi" w:cs="Calibri"/>
          <w:color w:val="000000" w:themeColor="text1"/>
          <w:lang w:val="en-US"/>
        </w:rPr>
        <w:t xml:space="preserve">polygenic scores included </w:t>
      </w:r>
      <w:r w:rsidR="00DF63A6" w:rsidRPr="002441C6">
        <w:rPr>
          <w:rFonts w:asciiTheme="majorHAnsi" w:hAnsiTheme="majorHAnsi" w:cs="Calibri"/>
          <w:color w:val="000000" w:themeColor="text1"/>
          <w:lang w:val="en-US"/>
        </w:rPr>
        <w:t>i</w:t>
      </w:r>
      <w:r w:rsidR="00DF68A3" w:rsidRPr="002441C6">
        <w:rPr>
          <w:rFonts w:asciiTheme="majorHAnsi" w:hAnsiTheme="majorHAnsi" w:cs="Calibri"/>
          <w:color w:val="000000" w:themeColor="text1"/>
          <w:lang w:val="en-US"/>
        </w:rPr>
        <w:t xml:space="preserve">n our primary analyses </w:t>
      </w:r>
      <w:r w:rsidR="004C6310" w:rsidRPr="002441C6">
        <w:rPr>
          <w:rFonts w:asciiTheme="majorHAnsi" w:hAnsiTheme="majorHAnsi" w:cs="Calibri"/>
          <w:color w:val="000000" w:themeColor="text1"/>
          <w:lang w:val="en-US"/>
        </w:rPr>
        <w:t>(model 2),</w:t>
      </w:r>
      <w:r w:rsidR="00DF68A3" w:rsidRPr="002441C6">
        <w:rPr>
          <w:rFonts w:asciiTheme="majorHAnsi" w:hAnsiTheme="majorHAnsi" w:cs="Calibri"/>
          <w:color w:val="000000" w:themeColor="text1"/>
          <w:lang w:val="en-US"/>
        </w:rPr>
        <w:t xml:space="preserve"> </w:t>
      </w:r>
      <w:r w:rsidR="00063D8F" w:rsidRPr="002441C6">
        <w:rPr>
          <w:rFonts w:asciiTheme="majorHAnsi" w:hAnsiTheme="majorHAnsi" w:cs="Calibri"/>
          <w:color w:val="000000" w:themeColor="text1"/>
          <w:lang w:val="en-US"/>
        </w:rPr>
        <w:t>and jointly</w:t>
      </w:r>
      <w:r w:rsidR="00DF68A3" w:rsidRPr="002441C6">
        <w:rPr>
          <w:rFonts w:asciiTheme="majorHAnsi" w:hAnsiTheme="majorHAnsi" w:cs="Calibri"/>
          <w:color w:val="000000" w:themeColor="text1"/>
          <w:lang w:val="en-US"/>
        </w:rPr>
        <w:t xml:space="preserve"> </w:t>
      </w:r>
      <w:r w:rsidR="004C6310" w:rsidRPr="002441C6">
        <w:rPr>
          <w:rFonts w:asciiTheme="majorHAnsi" w:hAnsiTheme="majorHAnsi" w:cs="Calibri"/>
          <w:color w:val="000000" w:themeColor="text1"/>
          <w:lang w:val="en-US"/>
        </w:rPr>
        <w:t xml:space="preserve">by these 18 polygenic scores and 17 additional polygenic scores for </w:t>
      </w:r>
      <w:r w:rsidR="00C95C56" w:rsidRPr="002441C6">
        <w:rPr>
          <w:rFonts w:asciiTheme="majorHAnsi" w:hAnsiTheme="majorHAnsi" w:cs="Calibri"/>
          <w:color w:val="000000" w:themeColor="text1"/>
          <w:lang w:val="en-US"/>
        </w:rPr>
        <w:t>other psychiatric disorders and associated traits</w:t>
      </w:r>
      <w:r w:rsidR="00DF63A6" w:rsidRPr="002441C6">
        <w:rPr>
          <w:rFonts w:asciiTheme="majorHAnsi" w:hAnsiTheme="majorHAnsi" w:cs="Calibri"/>
          <w:color w:val="000000" w:themeColor="text1"/>
          <w:lang w:val="en-US"/>
        </w:rPr>
        <w:t xml:space="preserve"> </w:t>
      </w:r>
      <w:r w:rsidR="004C6310" w:rsidRPr="002441C6">
        <w:rPr>
          <w:rFonts w:asciiTheme="majorHAnsi" w:hAnsiTheme="majorHAnsi" w:cs="Calibri"/>
          <w:color w:val="000000" w:themeColor="text1"/>
          <w:lang w:val="en-US"/>
        </w:rPr>
        <w:t xml:space="preserve">(e.g., personality) </w:t>
      </w:r>
      <w:r w:rsidR="00DF63A6" w:rsidRPr="002441C6">
        <w:rPr>
          <w:rFonts w:asciiTheme="majorHAnsi" w:hAnsiTheme="majorHAnsi" w:cs="Calibri"/>
          <w:color w:val="000000" w:themeColor="text1"/>
          <w:lang w:val="en-US"/>
        </w:rPr>
        <w:t>(</w:t>
      </w:r>
      <w:r w:rsidR="000B19F8" w:rsidRPr="002441C6">
        <w:rPr>
          <w:rFonts w:asciiTheme="majorHAnsi" w:hAnsiTheme="majorHAnsi" w:cs="Calibri"/>
        </w:rPr>
        <w:t xml:space="preserve">Supplementary Table </w:t>
      </w:r>
      <w:r w:rsidR="00DF63A6" w:rsidRPr="002441C6">
        <w:rPr>
          <w:rFonts w:asciiTheme="majorHAnsi" w:hAnsiTheme="majorHAnsi" w:cs="Calibri"/>
          <w:color w:val="000000" w:themeColor="text1"/>
          <w:lang w:val="en-US"/>
        </w:rPr>
        <w:t>2)</w:t>
      </w:r>
      <w:r w:rsidR="00211288" w:rsidRPr="002441C6">
        <w:rPr>
          <w:rFonts w:asciiTheme="majorHAnsi" w:hAnsiTheme="majorHAnsi" w:cs="Calibri"/>
          <w:color w:val="000000" w:themeColor="text1"/>
          <w:lang w:val="en-US"/>
        </w:rPr>
        <w:t xml:space="preserve">. These analyses were run using elastic net models, which are designed to model linear relationships with the penalties of both </w:t>
      </w:r>
      <w:r w:rsidR="00F80881" w:rsidRPr="002441C6">
        <w:rPr>
          <w:rFonts w:asciiTheme="majorHAnsi" w:hAnsiTheme="majorHAnsi" w:cs="Calibri"/>
          <w:color w:val="000000" w:themeColor="text1"/>
          <w:lang w:val="en-US"/>
        </w:rPr>
        <w:t>LASSO</w:t>
      </w:r>
      <w:r w:rsidR="00211288" w:rsidRPr="002441C6">
        <w:rPr>
          <w:rFonts w:asciiTheme="majorHAnsi" w:hAnsiTheme="majorHAnsi" w:cs="Calibri"/>
          <w:color w:val="000000" w:themeColor="text1"/>
          <w:lang w:val="en-US"/>
        </w:rPr>
        <w:t xml:space="preserve"> and </w:t>
      </w:r>
      <w:r w:rsidR="00F80881" w:rsidRPr="002441C6">
        <w:rPr>
          <w:rFonts w:asciiTheme="majorHAnsi" w:hAnsiTheme="majorHAnsi" w:cs="Calibri"/>
          <w:color w:val="000000" w:themeColor="text1"/>
          <w:lang w:val="en-US"/>
        </w:rPr>
        <w:t>r</w:t>
      </w:r>
      <w:r w:rsidR="00211288" w:rsidRPr="002441C6">
        <w:rPr>
          <w:rFonts w:asciiTheme="majorHAnsi" w:hAnsiTheme="majorHAnsi" w:cs="Calibri"/>
          <w:color w:val="000000" w:themeColor="text1"/>
          <w:lang w:val="en-US"/>
        </w:rPr>
        <w:t xml:space="preserve">idge regression, </w:t>
      </w:r>
      <w:r w:rsidR="00F80881" w:rsidRPr="002441C6">
        <w:rPr>
          <w:rFonts w:asciiTheme="majorHAnsi" w:hAnsiTheme="majorHAnsi" w:cs="Calibri"/>
          <w:color w:val="000000" w:themeColor="text1"/>
          <w:lang w:val="en-US"/>
        </w:rPr>
        <w:t>allowing us to manage</w:t>
      </w:r>
      <w:r w:rsidR="00211288" w:rsidRPr="002441C6">
        <w:rPr>
          <w:rFonts w:asciiTheme="majorHAnsi" w:hAnsiTheme="majorHAnsi" w:cs="Calibri"/>
          <w:color w:val="000000" w:themeColor="text1"/>
          <w:lang w:val="en-US"/>
        </w:rPr>
        <w:t xml:space="preserve"> multicollinearity and </w:t>
      </w:r>
      <w:r w:rsidR="00F80881" w:rsidRPr="002441C6">
        <w:rPr>
          <w:rFonts w:asciiTheme="majorHAnsi" w:hAnsiTheme="majorHAnsi" w:cs="Calibri"/>
          <w:color w:val="000000" w:themeColor="text1"/>
          <w:lang w:val="en-US"/>
        </w:rPr>
        <w:t>enhance</w:t>
      </w:r>
      <w:r w:rsidR="00211288" w:rsidRPr="002441C6">
        <w:rPr>
          <w:rFonts w:asciiTheme="majorHAnsi" w:hAnsiTheme="majorHAnsi" w:cs="Calibri"/>
          <w:color w:val="000000" w:themeColor="text1"/>
          <w:lang w:val="en-US"/>
        </w:rPr>
        <w:t xml:space="preserve"> model prediction accuracy. </w:t>
      </w:r>
      <w:r w:rsidR="00F01408" w:rsidRPr="002441C6">
        <w:rPr>
          <w:rFonts w:asciiTheme="majorHAnsi" w:hAnsiTheme="majorHAnsi" w:cs="Calibri"/>
        </w:rPr>
        <w:t xml:space="preserve">We </w:t>
      </w:r>
      <w:r w:rsidR="00065407" w:rsidRPr="002441C6">
        <w:rPr>
          <w:rFonts w:asciiTheme="majorHAnsi" w:hAnsiTheme="majorHAnsi" w:cs="Calibri"/>
        </w:rPr>
        <w:t>ran elastic net models using</w:t>
      </w:r>
      <w:r w:rsidR="00F01408" w:rsidRPr="002441C6">
        <w:rPr>
          <w:rFonts w:asciiTheme="majorHAnsi" w:hAnsiTheme="majorHAnsi" w:cs="Calibri"/>
        </w:rPr>
        <w:t xml:space="preserve"> the </w:t>
      </w:r>
      <w:r w:rsidR="00F01408" w:rsidRPr="002441C6">
        <w:rPr>
          <w:rFonts w:asciiTheme="majorHAnsi" w:hAnsiTheme="majorHAnsi" w:cs="Calibri"/>
          <w:i/>
          <w:iCs/>
        </w:rPr>
        <w:t>caret</w:t>
      </w:r>
      <w:r w:rsidR="00F01408" w:rsidRPr="002441C6">
        <w:rPr>
          <w:rFonts w:asciiTheme="majorHAnsi" w:hAnsiTheme="majorHAnsi" w:cs="Calibri"/>
        </w:rPr>
        <w:t xml:space="preserve"> and </w:t>
      </w:r>
      <w:proofErr w:type="spellStart"/>
      <w:r w:rsidR="00F01408" w:rsidRPr="002441C6">
        <w:rPr>
          <w:rFonts w:asciiTheme="majorHAnsi" w:hAnsiTheme="majorHAnsi" w:cs="Calibri"/>
          <w:i/>
          <w:iCs/>
        </w:rPr>
        <w:t>glmnet</w:t>
      </w:r>
      <w:proofErr w:type="spellEnd"/>
      <w:r w:rsidR="00F01408" w:rsidRPr="002441C6">
        <w:rPr>
          <w:rFonts w:asciiTheme="majorHAnsi" w:hAnsiTheme="majorHAnsi" w:cs="Calibri"/>
        </w:rPr>
        <w:t xml:space="preserve"> package</w:t>
      </w:r>
      <w:r w:rsidR="002645EE" w:rsidRPr="002441C6">
        <w:rPr>
          <w:rFonts w:asciiTheme="majorHAnsi" w:hAnsiTheme="majorHAnsi" w:cs="Calibri"/>
        </w:rPr>
        <w:t>s</w:t>
      </w:r>
      <w:r w:rsidR="00F01408" w:rsidRPr="002441C6">
        <w:rPr>
          <w:rFonts w:asciiTheme="majorHAnsi" w:hAnsiTheme="majorHAnsi" w:cs="Calibri"/>
        </w:rPr>
        <w:t xml:space="preserve"> in R, optimizing the hyper-parameters through tuning and cross-validation. </w:t>
      </w:r>
      <w:r w:rsidR="00B165F1">
        <w:rPr>
          <w:rFonts w:asciiTheme="majorHAnsi" w:hAnsiTheme="majorHAnsi" w:cs="Calibri"/>
        </w:rPr>
        <w:t>For these analyses, unlike other analyses using mixed models to account for family relatedness, w</w:t>
      </w:r>
      <w:r w:rsidR="00F80881" w:rsidRPr="002441C6">
        <w:rPr>
          <w:rFonts w:asciiTheme="majorHAnsi" w:hAnsiTheme="majorHAnsi" w:cs="Calibri"/>
          <w:color w:val="000000" w:themeColor="text1"/>
          <w:lang w:val="en-US"/>
        </w:rPr>
        <w:t xml:space="preserve">e </w:t>
      </w:r>
      <w:r w:rsidR="00DF68A3" w:rsidRPr="002441C6">
        <w:rPr>
          <w:rFonts w:asciiTheme="majorHAnsi" w:hAnsiTheme="majorHAnsi" w:cs="Calibri"/>
          <w:color w:val="000000" w:themeColor="text1"/>
          <w:lang w:val="en-US"/>
        </w:rPr>
        <w:t xml:space="preserve">randomly </w:t>
      </w:r>
      <w:r w:rsidR="00F01408" w:rsidRPr="002441C6">
        <w:rPr>
          <w:rFonts w:asciiTheme="majorHAnsi" w:hAnsiTheme="majorHAnsi" w:cs="Calibri"/>
          <w:color w:val="000000" w:themeColor="text1"/>
          <w:lang w:val="en-US"/>
        </w:rPr>
        <w:t>selected</w:t>
      </w:r>
      <w:r w:rsidR="00DF68A3" w:rsidRPr="002441C6">
        <w:rPr>
          <w:rFonts w:asciiTheme="majorHAnsi" w:hAnsiTheme="majorHAnsi" w:cs="Calibri"/>
          <w:color w:val="000000" w:themeColor="text1"/>
          <w:lang w:val="en-US"/>
        </w:rPr>
        <w:t xml:space="preserve"> one twin per family </w:t>
      </w:r>
      <w:r w:rsidR="002645EE" w:rsidRPr="002441C6">
        <w:rPr>
          <w:rFonts w:asciiTheme="majorHAnsi" w:hAnsiTheme="majorHAnsi" w:cs="Calibri"/>
          <w:color w:val="000000" w:themeColor="text1"/>
          <w:lang w:val="en-US"/>
        </w:rPr>
        <w:t>to</w:t>
      </w:r>
      <w:r w:rsidR="00DF68A3" w:rsidRPr="002441C6">
        <w:rPr>
          <w:rFonts w:asciiTheme="majorHAnsi" w:hAnsiTheme="majorHAnsi" w:cs="Calibri"/>
          <w:color w:val="000000" w:themeColor="text1"/>
          <w:lang w:val="en-US"/>
        </w:rPr>
        <w:t xml:space="preserve"> avoid possible overfitting due to the inclusion of related individuals. </w:t>
      </w:r>
      <w:r w:rsidR="00063D8F" w:rsidRPr="002441C6">
        <w:rPr>
          <w:rFonts w:asciiTheme="majorHAnsi" w:hAnsiTheme="majorHAnsi" w:cs="Calibri"/>
        </w:rPr>
        <w:t xml:space="preserve">To compare the </w:t>
      </w:r>
      <w:bookmarkStart w:id="1" w:name="_Hlk189770837"/>
      <w:r w:rsidR="00063D8F" w:rsidRPr="002441C6">
        <w:rPr>
          <w:rFonts w:asciiTheme="majorHAnsi" w:hAnsiTheme="majorHAnsi" w:cs="Calibri"/>
        </w:rPr>
        <w:t xml:space="preserve">predictive power </w:t>
      </w:r>
      <w:bookmarkEnd w:id="1"/>
      <w:r w:rsidR="00063D8F" w:rsidRPr="002441C6">
        <w:rPr>
          <w:rFonts w:asciiTheme="majorHAnsi" w:hAnsiTheme="majorHAnsi" w:cs="Calibri"/>
        </w:rPr>
        <w:t xml:space="preserve">of </w:t>
      </w:r>
      <w:r w:rsidR="00C9559C" w:rsidRPr="002441C6">
        <w:rPr>
          <w:rFonts w:asciiTheme="majorHAnsi" w:hAnsiTheme="majorHAnsi" w:cs="Calibri"/>
        </w:rPr>
        <w:t xml:space="preserve">the </w:t>
      </w:r>
      <w:r w:rsidR="00323072" w:rsidRPr="002441C6">
        <w:rPr>
          <w:rFonts w:asciiTheme="majorHAnsi" w:hAnsiTheme="majorHAnsi" w:cs="Calibri"/>
        </w:rPr>
        <w:t xml:space="preserve">most predictive </w:t>
      </w:r>
      <w:r w:rsidR="00C9559C" w:rsidRPr="002441C6">
        <w:rPr>
          <w:rFonts w:asciiTheme="majorHAnsi" w:hAnsiTheme="majorHAnsi" w:cs="Calibri"/>
        </w:rPr>
        <w:t>single polygenic score (</w:t>
      </w:r>
      <w:r w:rsidR="00323072" w:rsidRPr="002441C6">
        <w:rPr>
          <w:rFonts w:asciiTheme="majorHAnsi" w:hAnsiTheme="majorHAnsi" w:cs="Calibri"/>
        </w:rPr>
        <w:t xml:space="preserve">ADHD, </w:t>
      </w:r>
      <w:r w:rsidR="00C9559C" w:rsidRPr="002441C6">
        <w:rPr>
          <w:rFonts w:asciiTheme="majorHAnsi" w:hAnsiTheme="majorHAnsi" w:cs="Calibri"/>
        </w:rPr>
        <w:t xml:space="preserve">model 1) and </w:t>
      </w:r>
      <w:r w:rsidR="00D82252" w:rsidRPr="002441C6">
        <w:rPr>
          <w:rFonts w:asciiTheme="majorHAnsi" w:hAnsiTheme="majorHAnsi" w:cs="Calibri"/>
        </w:rPr>
        <w:t>mode</w:t>
      </w:r>
      <w:r w:rsidR="00323072" w:rsidRPr="002441C6">
        <w:rPr>
          <w:rFonts w:asciiTheme="majorHAnsi" w:hAnsiTheme="majorHAnsi" w:cs="Calibri"/>
        </w:rPr>
        <w:t>l</w:t>
      </w:r>
      <w:r w:rsidR="00D82252" w:rsidRPr="002441C6">
        <w:rPr>
          <w:rFonts w:asciiTheme="majorHAnsi" w:hAnsiTheme="majorHAnsi" w:cs="Calibri"/>
        </w:rPr>
        <w:t>s</w:t>
      </w:r>
      <w:r w:rsidR="00595A01" w:rsidRPr="002441C6">
        <w:rPr>
          <w:rFonts w:asciiTheme="majorHAnsi" w:hAnsiTheme="majorHAnsi" w:cs="Calibri"/>
        </w:rPr>
        <w:t xml:space="preserve"> including multiple polygenic scores (models 2 and 3), </w:t>
      </w:r>
      <w:r w:rsidR="00063D8F" w:rsidRPr="002441C6">
        <w:rPr>
          <w:rFonts w:asciiTheme="majorHAnsi" w:hAnsiTheme="majorHAnsi" w:cs="Calibri"/>
        </w:rPr>
        <w:t xml:space="preserve">we used bootstrapping with 1000 iterations for each analysis. This involved generating multiple resamples of the data to estimate the distribution of the R-squared values for both the single PGS and the elastic net models. The comparison aimed to determine whether the </w:t>
      </w:r>
      <w:r w:rsidR="00D82252" w:rsidRPr="002441C6">
        <w:rPr>
          <w:rFonts w:asciiTheme="majorHAnsi" w:hAnsiTheme="majorHAnsi" w:cs="Calibri"/>
        </w:rPr>
        <w:t xml:space="preserve">multi-polygenic-score approach </w:t>
      </w:r>
      <w:r w:rsidR="00063D8F" w:rsidRPr="002441C6">
        <w:rPr>
          <w:rFonts w:asciiTheme="majorHAnsi" w:hAnsiTheme="majorHAnsi" w:cs="Calibri"/>
        </w:rPr>
        <w:t>leverag</w:t>
      </w:r>
      <w:r w:rsidR="00595A01" w:rsidRPr="002441C6">
        <w:rPr>
          <w:rFonts w:asciiTheme="majorHAnsi" w:hAnsiTheme="majorHAnsi" w:cs="Calibri"/>
        </w:rPr>
        <w:t>ing</w:t>
      </w:r>
      <w:r w:rsidR="00063D8F" w:rsidRPr="002441C6">
        <w:rPr>
          <w:rFonts w:asciiTheme="majorHAnsi" w:hAnsiTheme="majorHAnsi" w:cs="Calibri"/>
        </w:rPr>
        <w:t xml:space="preserve"> multiple predictors simultaneously offers a significant advantage over single </w:t>
      </w:r>
      <w:r w:rsidR="00D82252" w:rsidRPr="002441C6">
        <w:rPr>
          <w:rFonts w:asciiTheme="majorHAnsi" w:hAnsiTheme="majorHAnsi" w:cs="Calibri"/>
        </w:rPr>
        <w:t>polygenic score</w:t>
      </w:r>
      <w:r w:rsidR="00063D8F" w:rsidRPr="002441C6">
        <w:rPr>
          <w:rFonts w:asciiTheme="majorHAnsi" w:hAnsiTheme="majorHAnsi" w:cs="Calibri"/>
        </w:rPr>
        <w:t xml:space="preserve"> predictions in explaining the variance in </w:t>
      </w:r>
      <w:r w:rsidR="00D82252" w:rsidRPr="002441C6">
        <w:rPr>
          <w:rFonts w:asciiTheme="majorHAnsi" w:hAnsiTheme="majorHAnsi" w:cs="Calibri"/>
        </w:rPr>
        <w:t>the neurodevelopmental factors</w:t>
      </w:r>
      <w:r w:rsidR="00063D8F" w:rsidRPr="002441C6">
        <w:rPr>
          <w:rFonts w:asciiTheme="majorHAnsi" w:hAnsiTheme="majorHAnsi" w:cs="Calibri"/>
        </w:rPr>
        <w:t>.</w:t>
      </w:r>
      <w:r w:rsidR="00D82252" w:rsidRPr="002441C6">
        <w:rPr>
          <w:rFonts w:asciiTheme="majorHAnsi" w:hAnsiTheme="majorHAnsi" w:cs="Calibri"/>
        </w:rPr>
        <w:t xml:space="preserve"> </w:t>
      </w:r>
      <w:r w:rsidR="00DF63A6" w:rsidRPr="002441C6">
        <w:rPr>
          <w:rFonts w:asciiTheme="majorHAnsi" w:hAnsiTheme="majorHAnsi" w:cs="Calibri"/>
          <w:color w:val="000000" w:themeColor="text1"/>
          <w:lang w:val="en-US"/>
        </w:rPr>
        <w:t>Non-overlapping CI indicated a significant increase in predictive power</w:t>
      </w:r>
      <w:r w:rsidR="00355E00">
        <w:rPr>
          <w:rFonts w:asciiTheme="majorHAnsi" w:hAnsiTheme="majorHAnsi" w:cs="Calibri"/>
          <w:color w:val="000000" w:themeColor="text1"/>
          <w:lang w:val="en-US"/>
        </w:rPr>
        <w:t xml:space="preserve"> </w:t>
      </w:r>
      <w:r w:rsidR="00355E00" w:rsidRPr="002441C6">
        <w:rPr>
          <w:rFonts w:asciiTheme="majorHAnsi" w:hAnsiTheme="majorHAnsi" w:cs="Calibri"/>
          <w:color w:val="000000" w:themeColor="text1"/>
          <w:lang w:val="en-US"/>
        </w:rPr>
        <w:t>(</w:t>
      </w:r>
      <w:r w:rsidR="00355E00" w:rsidRPr="002441C6">
        <w:rPr>
          <w:rFonts w:asciiTheme="majorHAnsi" w:hAnsiTheme="majorHAnsi" w:cs="Calibri"/>
        </w:rPr>
        <w:t xml:space="preserve">Supplementary </w:t>
      </w:r>
      <w:r w:rsidR="00355E00">
        <w:rPr>
          <w:rFonts w:asciiTheme="majorHAnsi" w:hAnsiTheme="majorHAnsi" w:cs="Calibri"/>
        </w:rPr>
        <w:t>Figure 3</w:t>
      </w:r>
      <w:r w:rsidR="00355E00" w:rsidRPr="002441C6">
        <w:rPr>
          <w:rFonts w:asciiTheme="majorHAnsi" w:hAnsiTheme="majorHAnsi" w:cs="Calibri"/>
          <w:color w:val="000000" w:themeColor="text1"/>
          <w:lang w:val="en-US"/>
        </w:rPr>
        <w:t>)</w:t>
      </w:r>
      <w:r w:rsidR="00DF63A6" w:rsidRPr="002441C6">
        <w:rPr>
          <w:rFonts w:asciiTheme="majorHAnsi" w:hAnsiTheme="majorHAnsi" w:cs="Calibri"/>
          <w:color w:val="000000" w:themeColor="text1"/>
          <w:lang w:val="en-US"/>
        </w:rPr>
        <w:t>.</w:t>
      </w:r>
    </w:p>
    <w:p w14:paraId="100BDCD3" w14:textId="77777777" w:rsidR="00AB3BCC" w:rsidRPr="002441C6" w:rsidRDefault="00AB3BCC" w:rsidP="000707C8">
      <w:pPr>
        <w:tabs>
          <w:tab w:val="left" w:pos="567"/>
        </w:tabs>
        <w:spacing w:line="360" w:lineRule="auto"/>
        <w:ind w:firstLine="0"/>
        <w:jc w:val="both"/>
        <w:rPr>
          <w:rFonts w:asciiTheme="majorHAnsi" w:hAnsiTheme="majorHAnsi" w:cs="Calibri"/>
        </w:rPr>
      </w:pPr>
    </w:p>
    <w:p w14:paraId="19389661" w14:textId="77777777" w:rsidR="00DC6215" w:rsidRPr="002441C6" w:rsidRDefault="00DC6215" w:rsidP="000707C8">
      <w:pPr>
        <w:spacing w:line="360" w:lineRule="auto"/>
        <w:ind w:firstLine="567"/>
        <w:jc w:val="both"/>
        <w:rPr>
          <w:rFonts w:asciiTheme="majorHAnsi" w:hAnsiTheme="majorHAnsi" w:cs="Calibri"/>
        </w:rPr>
      </w:pPr>
    </w:p>
    <w:p w14:paraId="4B85D164" w14:textId="77777777" w:rsidR="005202FD" w:rsidRPr="002441C6" w:rsidRDefault="005202FD" w:rsidP="000707C8">
      <w:pPr>
        <w:spacing w:line="360" w:lineRule="auto"/>
        <w:jc w:val="both"/>
        <w:rPr>
          <w:rFonts w:asciiTheme="majorHAnsi" w:hAnsiTheme="majorHAnsi" w:cs="Calibri"/>
        </w:rPr>
      </w:pPr>
      <w:r w:rsidRPr="002441C6">
        <w:rPr>
          <w:rFonts w:asciiTheme="majorHAnsi" w:hAnsiTheme="majorHAnsi" w:cs="Calibri"/>
        </w:rPr>
        <w:br w:type="page"/>
      </w:r>
    </w:p>
    <w:p w14:paraId="39FE9BAE" w14:textId="1F1ACDB6" w:rsidR="005202FD" w:rsidRPr="002441C6" w:rsidRDefault="00271A54" w:rsidP="00B44E1D">
      <w:pPr>
        <w:spacing w:line="360" w:lineRule="auto"/>
        <w:ind w:firstLine="0"/>
        <w:jc w:val="center"/>
        <w:rPr>
          <w:rFonts w:asciiTheme="majorHAnsi" w:hAnsiTheme="majorHAnsi" w:cs="Calibri"/>
          <w:b/>
          <w:bCs/>
          <w:lang w:val="en-US"/>
        </w:rPr>
      </w:pPr>
      <w:r w:rsidRPr="002441C6">
        <w:rPr>
          <w:rFonts w:asciiTheme="majorHAnsi" w:hAnsiTheme="majorHAnsi" w:cs="Calibri"/>
          <w:b/>
          <w:bCs/>
          <w:lang w:val="en-US"/>
        </w:rPr>
        <w:lastRenderedPageBreak/>
        <w:t>SUPPLEMENTARY RESULTS</w:t>
      </w:r>
    </w:p>
    <w:p w14:paraId="5C90D0F9" w14:textId="77777777" w:rsidR="00271A54" w:rsidRPr="002441C6" w:rsidRDefault="00271A54" w:rsidP="000707C8">
      <w:pPr>
        <w:spacing w:line="360" w:lineRule="auto"/>
        <w:ind w:firstLine="0"/>
        <w:jc w:val="both"/>
        <w:rPr>
          <w:rFonts w:asciiTheme="majorHAnsi" w:hAnsiTheme="majorHAnsi" w:cs="Calibri"/>
          <w:b/>
          <w:bCs/>
          <w:lang w:val="en-US"/>
        </w:rPr>
      </w:pPr>
    </w:p>
    <w:p w14:paraId="77A7305C" w14:textId="638CD854" w:rsidR="005202FD" w:rsidRPr="002441C6" w:rsidRDefault="00271A54" w:rsidP="000707C8">
      <w:pPr>
        <w:spacing w:line="360" w:lineRule="auto"/>
        <w:ind w:firstLine="0"/>
        <w:jc w:val="both"/>
        <w:rPr>
          <w:rFonts w:asciiTheme="majorHAnsi" w:hAnsiTheme="majorHAnsi" w:cs="Calibri"/>
          <w:b/>
          <w:bCs/>
          <w:lang w:val="en-US"/>
        </w:rPr>
      </w:pPr>
      <w:r w:rsidRPr="002441C6">
        <w:rPr>
          <w:rFonts w:asciiTheme="majorHAnsi" w:hAnsiTheme="majorHAnsi" w:cs="Calibri"/>
          <w:b/>
          <w:bCs/>
          <w:lang w:val="en-US"/>
        </w:rPr>
        <w:t xml:space="preserve">1. </w:t>
      </w:r>
      <w:r w:rsidR="005202FD" w:rsidRPr="002441C6">
        <w:rPr>
          <w:rFonts w:asciiTheme="majorHAnsi" w:hAnsiTheme="majorHAnsi" w:cs="Calibri"/>
          <w:b/>
          <w:bCs/>
          <w:lang w:val="en-US"/>
        </w:rPr>
        <w:t>Hierarchical dimensional structure in childhood (age 7</w:t>
      </w:r>
      <w:r w:rsidR="006C4F87">
        <w:rPr>
          <w:rFonts w:asciiTheme="majorHAnsi" w:hAnsiTheme="majorHAnsi" w:cs="Calibri"/>
          <w:b/>
          <w:bCs/>
          <w:lang w:val="en-US"/>
        </w:rPr>
        <w:t>, parent-report</w:t>
      </w:r>
      <w:r w:rsidR="005202FD" w:rsidRPr="002441C6">
        <w:rPr>
          <w:rFonts w:asciiTheme="majorHAnsi" w:hAnsiTheme="majorHAnsi" w:cs="Calibri"/>
          <w:b/>
          <w:bCs/>
          <w:lang w:val="en-US"/>
        </w:rPr>
        <w:t>)</w:t>
      </w:r>
    </w:p>
    <w:p w14:paraId="13DF3145" w14:textId="18780389" w:rsidR="002200A1" w:rsidRPr="002441C6" w:rsidRDefault="009F2AE6" w:rsidP="000707C8">
      <w:pPr>
        <w:spacing w:after="0" w:line="360" w:lineRule="auto"/>
        <w:jc w:val="both"/>
        <w:rPr>
          <w:rFonts w:asciiTheme="majorHAnsi" w:hAnsiTheme="majorHAnsi" w:cs="Calibri"/>
          <w:lang w:val="en-US"/>
        </w:rPr>
      </w:pPr>
      <w:r w:rsidRPr="002441C6">
        <w:rPr>
          <w:rFonts w:asciiTheme="majorHAnsi" w:hAnsiTheme="majorHAnsi" w:cs="Calibri"/>
          <w:lang w:val="en-US"/>
        </w:rPr>
        <w:t xml:space="preserve">Prior to analyses, we checked for items with very low endorsement (&gt;95% of participants had 0 responses) and with very high correlations (r&gt;.85), and removed diagnosed autism due to its low </w:t>
      </w:r>
      <w:r w:rsidR="00DA6E72" w:rsidRPr="006C4F87">
        <w:rPr>
          <w:rFonts w:asciiTheme="majorHAnsi" w:hAnsiTheme="majorHAnsi" w:cs="Calibri"/>
          <w:lang w:val="en-US"/>
        </w:rPr>
        <w:t>endorsement</w:t>
      </w:r>
      <w:r w:rsidR="002A7124" w:rsidRPr="006C4F87">
        <w:rPr>
          <w:rFonts w:cs="Calibri"/>
          <w:lang w:val="en-US"/>
        </w:rPr>
        <w:t>,</w:t>
      </w:r>
      <w:r w:rsidR="002A7124" w:rsidRPr="00FC00D2">
        <w:rPr>
          <w:rFonts w:cs="Calibri"/>
          <w:lang w:val="en-US"/>
        </w:rPr>
        <w:t xml:space="preserve"> following </w:t>
      </w:r>
      <w:r w:rsidR="002A7124">
        <w:rPr>
          <w:rFonts w:cs="Calibri"/>
          <w:lang w:val="en-US"/>
        </w:rPr>
        <w:t xml:space="preserve">standard </w:t>
      </w:r>
      <w:r w:rsidR="002A7124" w:rsidRPr="00FC00D2">
        <w:rPr>
          <w:rFonts w:cs="Calibri"/>
          <w:lang w:val="en-US"/>
        </w:rPr>
        <w:t xml:space="preserve">analytic procedures applied in previous work </w:t>
      </w:r>
      <w:r w:rsidR="007633F4" w:rsidRPr="007633F4">
        <w:rPr>
          <w:rFonts w:ascii="Aptos" w:hAnsi="Aptos" w:cs="Times New Roman"/>
          <w:kern w:val="0"/>
        </w:rPr>
        <w:t>[11–13]</w:t>
      </w:r>
      <w:r w:rsidR="002A7124" w:rsidRPr="00FC00D2">
        <w:rPr>
          <w:rFonts w:cs="Calibri"/>
          <w:lang w:val="en-US"/>
        </w:rPr>
        <w:t xml:space="preserve">. </w:t>
      </w:r>
      <w:r w:rsidRPr="002441C6">
        <w:rPr>
          <w:rFonts w:asciiTheme="majorHAnsi" w:hAnsiTheme="majorHAnsi" w:cs="Calibri"/>
          <w:lang w:val="en-US"/>
        </w:rPr>
        <w:t xml:space="preserve"> </w:t>
      </w:r>
      <w:r w:rsidR="005202FD" w:rsidRPr="002441C6">
        <w:rPr>
          <w:rFonts w:asciiTheme="majorHAnsi" w:hAnsiTheme="majorHAnsi" w:cs="Calibri"/>
          <w:lang w:val="en-US"/>
        </w:rPr>
        <w:t xml:space="preserve">A total of 74 items from age 7 assessments were included in ESEM and parallel analyses. Parallel analyses indicated that up to 15 factors could be extracted. As parallel analysis </w:t>
      </w:r>
      <w:r w:rsidRPr="002441C6">
        <w:rPr>
          <w:rFonts w:asciiTheme="majorHAnsi" w:hAnsiTheme="majorHAnsi" w:cs="Calibri"/>
          <w:lang w:val="en-US"/>
        </w:rPr>
        <w:t>tends</w:t>
      </w:r>
      <w:r w:rsidR="005202FD" w:rsidRPr="002441C6">
        <w:rPr>
          <w:rFonts w:asciiTheme="majorHAnsi" w:hAnsiTheme="majorHAnsi" w:cs="Calibri"/>
          <w:lang w:val="en-US"/>
        </w:rPr>
        <w:t xml:space="preserve"> to over-factor, we also examined the interpretability of these factor solutions, defined as the presence of at least 4 clear primary loadings (highest loading ≥0.35 and at least 0.10 greater than all other loadings) for each factor, in line with previous work</w:t>
      </w:r>
      <w:r w:rsidR="00323072" w:rsidRPr="002441C6">
        <w:rPr>
          <w:rFonts w:asciiTheme="majorHAnsi" w:hAnsiTheme="majorHAnsi" w:cs="Calibri"/>
          <w:lang w:val="en-US"/>
        </w:rPr>
        <w:t xml:space="preserve"> </w:t>
      </w:r>
      <w:r w:rsidR="007633F4" w:rsidRPr="007633F4">
        <w:rPr>
          <w:rFonts w:ascii="Aptos Display" w:hAnsi="Aptos Display" w:cs="Times New Roman"/>
          <w:kern w:val="0"/>
        </w:rPr>
        <w:t>[13–15]</w:t>
      </w:r>
      <w:r w:rsidR="005202FD" w:rsidRPr="002441C6">
        <w:rPr>
          <w:rFonts w:asciiTheme="majorHAnsi" w:hAnsiTheme="majorHAnsi" w:cs="Calibri"/>
          <w:lang w:val="en-US"/>
        </w:rPr>
        <w:t xml:space="preserve">. Solutions including 1 to 7 factors were acceptable </w:t>
      </w:r>
      <w:r w:rsidR="00DA6E72" w:rsidRPr="7D37F588">
        <w:rPr>
          <w:rFonts w:asciiTheme="majorHAnsi" w:hAnsiTheme="majorHAnsi" w:cs="Calibri"/>
          <w:lang w:val="en-US"/>
        </w:rPr>
        <w:t>(</w:t>
      </w:r>
      <w:r w:rsidR="00DA6E72" w:rsidRPr="7D37F588">
        <w:rPr>
          <w:rFonts w:asciiTheme="majorHAnsi" w:hAnsiTheme="majorHAnsi" w:cs="Calibri"/>
        </w:rPr>
        <w:t xml:space="preserve">Supplementary Table </w:t>
      </w:r>
      <w:r w:rsidR="00DA6E72" w:rsidRPr="7D37F588">
        <w:rPr>
          <w:rFonts w:asciiTheme="majorHAnsi" w:hAnsiTheme="majorHAnsi" w:cs="Calibri"/>
          <w:lang w:val="en-US"/>
        </w:rPr>
        <w:t xml:space="preserve">5). </w:t>
      </w:r>
      <w:r w:rsidR="005202FD" w:rsidRPr="002441C6">
        <w:rPr>
          <w:rFonts w:asciiTheme="majorHAnsi" w:hAnsiTheme="majorHAnsi" w:cs="Calibri"/>
          <w:lang w:val="en-US"/>
        </w:rPr>
        <w:t>Solutions with more than 7 factors showed poor interpretability as each included at least one factor with only three or fewer primary loadings.</w:t>
      </w:r>
    </w:p>
    <w:p w14:paraId="1B42C54A" w14:textId="1D44F4CF" w:rsidR="005202FD" w:rsidRPr="002441C6" w:rsidRDefault="005202FD" w:rsidP="000707C8">
      <w:pPr>
        <w:spacing w:after="0" w:line="360" w:lineRule="auto"/>
        <w:jc w:val="both"/>
        <w:rPr>
          <w:rFonts w:asciiTheme="majorHAnsi" w:hAnsiTheme="majorHAnsi" w:cs="Calibri"/>
          <w:lang w:val="en-US"/>
        </w:rPr>
      </w:pPr>
      <w:r w:rsidRPr="002441C6">
        <w:rPr>
          <w:rFonts w:asciiTheme="majorHAnsi" w:hAnsiTheme="majorHAnsi" w:cs="Calibri"/>
          <w:lang w:val="en-US"/>
        </w:rPr>
        <w:t xml:space="preserve">Using Goldberg’s bass-ackwards </w:t>
      </w:r>
      <w:proofErr w:type="gramStart"/>
      <w:r w:rsidRPr="002441C6">
        <w:rPr>
          <w:rFonts w:asciiTheme="majorHAnsi" w:hAnsiTheme="majorHAnsi" w:cs="Calibri"/>
          <w:lang w:val="en-US"/>
        </w:rPr>
        <w:t>approach</w:t>
      </w:r>
      <w:r w:rsidR="007633F4" w:rsidRPr="007633F4">
        <w:rPr>
          <w:rFonts w:ascii="Aptos Display" w:hAnsi="Aptos Display"/>
        </w:rPr>
        <w:t>[</w:t>
      </w:r>
      <w:proofErr w:type="gramEnd"/>
      <w:r w:rsidR="007633F4" w:rsidRPr="007633F4">
        <w:rPr>
          <w:rFonts w:ascii="Aptos Display" w:hAnsi="Aptos Display"/>
        </w:rPr>
        <w:t>16]</w:t>
      </w:r>
      <w:r w:rsidRPr="002441C6">
        <w:rPr>
          <w:rFonts w:asciiTheme="majorHAnsi" w:hAnsiTheme="majorHAnsi" w:cs="Calibri"/>
          <w:lang w:val="en-US"/>
        </w:rPr>
        <w:t>, models including 1 to 7 factors were arranged in a hierarchical structure, with paths linking across levels representing large associations (Fig</w:t>
      </w:r>
      <w:r w:rsidR="00291A05" w:rsidRPr="002441C6">
        <w:rPr>
          <w:rFonts w:asciiTheme="majorHAnsi" w:hAnsiTheme="majorHAnsi" w:cs="Calibri"/>
          <w:lang w:val="en-US"/>
        </w:rPr>
        <w:t>ure</w:t>
      </w:r>
      <w:r w:rsidRPr="002441C6">
        <w:rPr>
          <w:rFonts w:asciiTheme="majorHAnsi" w:hAnsiTheme="majorHAnsi" w:cs="Calibri"/>
          <w:lang w:val="en-US"/>
        </w:rPr>
        <w:t xml:space="preserve"> 1). The 1-factor structure reflected a general psychopathology factor, or p, with strong loadings on most items (</w:t>
      </w:r>
      <w:r w:rsidR="000B19F8" w:rsidRPr="002441C6">
        <w:rPr>
          <w:rFonts w:asciiTheme="majorHAnsi" w:hAnsiTheme="majorHAnsi" w:cs="Calibri"/>
        </w:rPr>
        <w:t xml:space="preserve">Supplementary Table </w:t>
      </w:r>
      <w:r w:rsidR="00DA6E72">
        <w:rPr>
          <w:rFonts w:asciiTheme="majorHAnsi" w:hAnsiTheme="majorHAnsi" w:cs="Calibri"/>
        </w:rPr>
        <w:t>5</w:t>
      </w:r>
      <w:r w:rsidRPr="002441C6">
        <w:rPr>
          <w:rFonts w:asciiTheme="majorHAnsi" w:hAnsiTheme="majorHAnsi" w:cs="Calibri"/>
          <w:lang w:val="en-US"/>
        </w:rPr>
        <w:t xml:space="preserve">). The 2-factor solution showed broad internalizing and neurodevelopmental/externalizing factors. In the 3-factor solution, the neurodevelopmental/externalizing factor split into separate factors capturing neurodevelopmental traits </w:t>
      </w:r>
      <w:bookmarkStart w:id="2" w:name="_Hlk178845943"/>
      <w:r w:rsidRPr="002441C6">
        <w:rPr>
          <w:rFonts w:asciiTheme="majorHAnsi" w:hAnsiTheme="majorHAnsi" w:cs="Calibri"/>
          <w:lang w:val="en-US"/>
        </w:rPr>
        <w:t>(including attention, learning and motor difficulties</w:t>
      </w:r>
      <w:r w:rsidR="006B4408" w:rsidRPr="002441C6">
        <w:rPr>
          <w:rFonts w:asciiTheme="majorHAnsi" w:hAnsiTheme="majorHAnsi" w:cs="Calibri"/>
          <w:lang w:val="en-US"/>
        </w:rPr>
        <w:t>, and low prosociality</w:t>
      </w:r>
      <w:r w:rsidRPr="002441C6">
        <w:rPr>
          <w:rFonts w:asciiTheme="majorHAnsi" w:hAnsiTheme="majorHAnsi" w:cs="Calibri"/>
          <w:lang w:val="en-US"/>
        </w:rPr>
        <w:t xml:space="preserve">) </w:t>
      </w:r>
      <w:bookmarkEnd w:id="2"/>
      <w:r w:rsidRPr="002441C6">
        <w:rPr>
          <w:rFonts w:asciiTheme="majorHAnsi" w:hAnsiTheme="majorHAnsi" w:cs="Calibri"/>
          <w:lang w:val="en-US"/>
        </w:rPr>
        <w:t xml:space="preserve">and externalizing behaviors (including </w:t>
      </w:r>
      <w:r w:rsidR="004F192A" w:rsidRPr="002441C6">
        <w:rPr>
          <w:rFonts w:asciiTheme="majorHAnsi" w:hAnsiTheme="majorHAnsi" w:cs="Calibri"/>
          <w:lang w:val="en-US"/>
        </w:rPr>
        <w:t>hyperactivity-impulsivity</w:t>
      </w:r>
      <w:r w:rsidRPr="002441C6">
        <w:rPr>
          <w:rFonts w:asciiTheme="majorHAnsi" w:hAnsiTheme="majorHAnsi" w:cs="Calibri"/>
          <w:lang w:val="en-US"/>
        </w:rPr>
        <w:t xml:space="preserve"> and antisocial behavior). In the 4-factor structure, a factor capturing </w:t>
      </w:r>
      <w:r w:rsidR="006E6231" w:rsidRPr="002441C6">
        <w:rPr>
          <w:rFonts w:asciiTheme="majorHAnsi" w:hAnsiTheme="majorHAnsi" w:cs="Calibri"/>
          <w:lang w:val="en-US"/>
        </w:rPr>
        <w:t>low prosociality</w:t>
      </w:r>
      <w:r w:rsidRPr="002441C6">
        <w:rPr>
          <w:rFonts w:asciiTheme="majorHAnsi" w:hAnsiTheme="majorHAnsi" w:cs="Calibri"/>
          <w:lang w:val="en-US"/>
        </w:rPr>
        <w:t xml:space="preserve"> (e.g. inconsiderate, unhelpful, unking to other children) emerged from the neurodevelopmental factor. In the 5-factor solution, the broad internalizing factor split into distress/social difficulties (e.g., solitary, tendency to blame themselves, and be self-critical) and fear (e.g., nervous/clingy, afraid of social situations, shy/timid) factors. In the 6-factor structure, the distress/social difficulties factor split into a more defined distress factor (e.g., worries, tendency to blame themselves, self-critical) and a factor capturing social difficulties</w:t>
      </w:r>
      <w:r w:rsidR="000537D9" w:rsidRPr="002441C6">
        <w:rPr>
          <w:rFonts w:asciiTheme="majorHAnsi" w:hAnsiTheme="majorHAnsi" w:cs="Calibri"/>
          <w:lang w:val="en-US"/>
        </w:rPr>
        <w:t xml:space="preserve"> and repetitive and restricted behaviors and interests</w:t>
      </w:r>
      <w:r w:rsidRPr="002441C6">
        <w:rPr>
          <w:rFonts w:asciiTheme="majorHAnsi" w:hAnsiTheme="majorHAnsi" w:cs="Calibri"/>
          <w:lang w:val="en-US"/>
        </w:rPr>
        <w:t xml:space="preserve"> (e.g., </w:t>
      </w:r>
      <w:r w:rsidR="00696899" w:rsidRPr="002441C6">
        <w:rPr>
          <w:rFonts w:asciiTheme="majorHAnsi" w:hAnsiTheme="majorHAnsi" w:cs="Calibri"/>
          <w:lang w:val="en-US"/>
        </w:rPr>
        <w:t>different social interactions, unusual</w:t>
      </w:r>
      <w:r w:rsidR="008D3A00" w:rsidRPr="002441C6">
        <w:rPr>
          <w:rFonts w:asciiTheme="majorHAnsi" w:hAnsiTheme="majorHAnsi" w:cs="Calibri"/>
          <w:lang w:val="en-US"/>
        </w:rPr>
        <w:t xml:space="preserve"> interests</w:t>
      </w:r>
      <w:r w:rsidRPr="002441C6">
        <w:rPr>
          <w:rFonts w:asciiTheme="majorHAnsi" w:hAnsiTheme="majorHAnsi" w:cs="Calibri"/>
          <w:lang w:val="en-US"/>
        </w:rPr>
        <w:t>).</w:t>
      </w:r>
      <w:r w:rsidR="002200A1" w:rsidRPr="002441C6">
        <w:rPr>
          <w:rFonts w:asciiTheme="majorHAnsi" w:hAnsiTheme="majorHAnsi" w:cs="Calibri"/>
          <w:lang w:val="en-US"/>
        </w:rPr>
        <w:t xml:space="preserve"> </w:t>
      </w:r>
      <w:r w:rsidRPr="002441C6">
        <w:rPr>
          <w:rFonts w:asciiTheme="majorHAnsi" w:hAnsiTheme="majorHAnsi" w:cs="Calibri"/>
          <w:lang w:val="en-US"/>
        </w:rPr>
        <w:t xml:space="preserve">Finally, in the 7-factor structure, an inattention-hyperactivity factor (capturing </w:t>
      </w:r>
      <w:bookmarkStart w:id="3" w:name="_Hlk180839378"/>
      <w:r w:rsidRPr="002441C6">
        <w:rPr>
          <w:rFonts w:asciiTheme="majorHAnsi" w:hAnsiTheme="majorHAnsi" w:cs="Calibri"/>
          <w:lang w:val="en-US"/>
        </w:rPr>
        <w:t xml:space="preserve">ADHD symptoms) </w:t>
      </w:r>
      <w:bookmarkEnd w:id="3"/>
      <w:r w:rsidRPr="002441C6">
        <w:rPr>
          <w:rFonts w:asciiTheme="majorHAnsi" w:hAnsiTheme="majorHAnsi" w:cs="Calibri"/>
          <w:lang w:val="en-US"/>
        </w:rPr>
        <w:t xml:space="preserve">emerged from content migrating from the externalizing factor and the neurodevelopmental factor; the remaining externalizing content formed a narrower antisocial behavior factor (e.g., tendency to lie/cheat, and consider themselves </w:t>
      </w:r>
      <w:r w:rsidRPr="002441C6">
        <w:rPr>
          <w:rFonts w:asciiTheme="majorHAnsi" w:hAnsiTheme="majorHAnsi" w:cs="Calibri"/>
          <w:lang w:val="en-US"/>
        </w:rPr>
        <w:lastRenderedPageBreak/>
        <w:t xml:space="preserve">more important than others), whereas the remaining neurodevelopmental content delineated a factor capturing learning difficulties </w:t>
      </w:r>
      <w:bookmarkStart w:id="4" w:name="_Hlk180839447"/>
      <w:r w:rsidRPr="002441C6">
        <w:rPr>
          <w:rFonts w:asciiTheme="majorHAnsi" w:hAnsiTheme="majorHAnsi" w:cs="Calibri"/>
          <w:lang w:val="en-US"/>
        </w:rPr>
        <w:t>(</w:t>
      </w:r>
      <w:r w:rsidR="000308B7" w:rsidRPr="002441C6">
        <w:rPr>
          <w:rFonts w:asciiTheme="majorHAnsi" w:hAnsiTheme="majorHAnsi" w:cs="Calibri"/>
          <w:lang w:val="en-US"/>
        </w:rPr>
        <w:t>e</w:t>
      </w:r>
      <w:r w:rsidRPr="002441C6">
        <w:rPr>
          <w:rFonts w:asciiTheme="majorHAnsi" w:hAnsiTheme="majorHAnsi" w:cs="Calibri"/>
          <w:lang w:val="en-US"/>
        </w:rPr>
        <w:t>.</w:t>
      </w:r>
      <w:r w:rsidR="000308B7" w:rsidRPr="002441C6">
        <w:rPr>
          <w:rFonts w:asciiTheme="majorHAnsi" w:hAnsiTheme="majorHAnsi" w:cs="Calibri"/>
          <w:lang w:val="en-US"/>
        </w:rPr>
        <w:t>g.</w:t>
      </w:r>
      <w:r w:rsidRPr="002441C6">
        <w:rPr>
          <w:rFonts w:asciiTheme="majorHAnsi" w:hAnsiTheme="majorHAnsi" w:cs="Calibri"/>
          <w:lang w:val="en-US"/>
        </w:rPr>
        <w:t xml:space="preserve">, difficulties </w:t>
      </w:r>
      <w:r w:rsidR="00142ECF" w:rsidRPr="002441C6">
        <w:rPr>
          <w:rFonts w:asciiTheme="majorHAnsi" w:hAnsiTheme="majorHAnsi" w:cs="Calibri"/>
          <w:lang w:val="en-US"/>
        </w:rPr>
        <w:t xml:space="preserve">with </w:t>
      </w:r>
      <w:r w:rsidRPr="002441C6">
        <w:rPr>
          <w:rFonts w:asciiTheme="majorHAnsi" w:hAnsiTheme="majorHAnsi" w:cs="Calibri"/>
          <w:lang w:val="en-US"/>
        </w:rPr>
        <w:t xml:space="preserve">writing, reading, </w:t>
      </w:r>
      <w:r w:rsidR="000308B7" w:rsidRPr="002441C6">
        <w:rPr>
          <w:rFonts w:asciiTheme="majorHAnsi" w:hAnsiTheme="majorHAnsi" w:cs="Calibri"/>
          <w:lang w:val="en-US"/>
        </w:rPr>
        <w:t xml:space="preserve">math, coordination, </w:t>
      </w:r>
      <w:r w:rsidR="00142ECF" w:rsidRPr="002441C6">
        <w:rPr>
          <w:rFonts w:asciiTheme="majorHAnsi" w:hAnsiTheme="majorHAnsi" w:cs="Calibri"/>
          <w:lang w:val="en-US"/>
        </w:rPr>
        <w:t>speech</w:t>
      </w:r>
      <w:r w:rsidRPr="002441C6">
        <w:rPr>
          <w:rFonts w:asciiTheme="majorHAnsi" w:hAnsiTheme="majorHAnsi" w:cs="Calibri"/>
          <w:lang w:val="en-US"/>
        </w:rPr>
        <w:t>)</w:t>
      </w:r>
      <w:bookmarkEnd w:id="4"/>
      <w:r w:rsidRPr="002441C6">
        <w:rPr>
          <w:rFonts w:asciiTheme="majorHAnsi" w:hAnsiTheme="majorHAnsi" w:cs="Calibri"/>
          <w:lang w:val="en-US"/>
        </w:rPr>
        <w:t>.</w:t>
      </w:r>
    </w:p>
    <w:p w14:paraId="6B976FF6" w14:textId="77777777" w:rsidR="005202FD" w:rsidRPr="002441C6" w:rsidRDefault="005202FD" w:rsidP="000707C8">
      <w:pPr>
        <w:spacing w:after="0" w:line="360" w:lineRule="auto"/>
        <w:jc w:val="both"/>
        <w:rPr>
          <w:rFonts w:asciiTheme="majorHAnsi" w:hAnsiTheme="majorHAnsi" w:cs="Calibri"/>
          <w:lang w:val="en-US"/>
        </w:rPr>
      </w:pPr>
    </w:p>
    <w:p w14:paraId="2BAF2688" w14:textId="1F4F571B" w:rsidR="005202FD" w:rsidRPr="002441C6" w:rsidRDefault="00271A54" w:rsidP="000707C8">
      <w:pPr>
        <w:spacing w:after="0" w:line="360" w:lineRule="auto"/>
        <w:ind w:firstLine="0"/>
        <w:jc w:val="both"/>
        <w:rPr>
          <w:rFonts w:asciiTheme="majorHAnsi" w:hAnsiTheme="majorHAnsi" w:cs="Calibri"/>
          <w:b/>
          <w:bCs/>
          <w:lang w:val="en-US"/>
        </w:rPr>
      </w:pPr>
      <w:r w:rsidRPr="002441C6">
        <w:rPr>
          <w:rFonts w:asciiTheme="majorHAnsi" w:hAnsiTheme="majorHAnsi" w:cs="Calibri"/>
          <w:b/>
          <w:bCs/>
          <w:lang w:val="en-US"/>
        </w:rPr>
        <w:t xml:space="preserve">2. </w:t>
      </w:r>
      <w:r w:rsidR="005202FD" w:rsidRPr="002441C6">
        <w:rPr>
          <w:rFonts w:asciiTheme="majorHAnsi" w:hAnsiTheme="majorHAnsi" w:cs="Calibri"/>
          <w:b/>
          <w:bCs/>
          <w:lang w:val="en-US"/>
        </w:rPr>
        <w:t>Hierarchical dimensional structure in early adolescence (age 12</w:t>
      </w:r>
      <w:r w:rsidR="006C4F87">
        <w:rPr>
          <w:rFonts w:asciiTheme="majorHAnsi" w:hAnsiTheme="majorHAnsi" w:cs="Calibri"/>
          <w:b/>
          <w:bCs/>
          <w:lang w:val="en-US"/>
        </w:rPr>
        <w:t>, parent-report</w:t>
      </w:r>
      <w:r w:rsidR="005202FD" w:rsidRPr="002441C6">
        <w:rPr>
          <w:rFonts w:asciiTheme="majorHAnsi" w:hAnsiTheme="majorHAnsi" w:cs="Calibri"/>
          <w:b/>
          <w:bCs/>
          <w:lang w:val="en-US"/>
        </w:rPr>
        <w:t>)</w:t>
      </w:r>
    </w:p>
    <w:p w14:paraId="5585A935" w14:textId="4DA6DAC8" w:rsidR="002200A1" w:rsidRPr="002441C6" w:rsidRDefault="009F2AE6" w:rsidP="000707C8">
      <w:pPr>
        <w:spacing w:after="0" w:line="360" w:lineRule="auto"/>
        <w:jc w:val="both"/>
        <w:rPr>
          <w:rFonts w:asciiTheme="majorHAnsi" w:hAnsiTheme="majorHAnsi" w:cs="Calibri"/>
          <w:lang w:val="en-US"/>
        </w:rPr>
      </w:pPr>
      <w:r w:rsidRPr="002441C6">
        <w:rPr>
          <w:rFonts w:asciiTheme="majorHAnsi" w:hAnsiTheme="majorHAnsi" w:cs="Calibri"/>
          <w:lang w:val="en-US"/>
        </w:rPr>
        <w:t>No items showed very low endorsement (&gt;95% of participants had 0 responses) or very high correlations (r&gt;.85), thus a</w:t>
      </w:r>
      <w:r w:rsidR="005202FD" w:rsidRPr="002441C6">
        <w:rPr>
          <w:rFonts w:asciiTheme="majorHAnsi" w:hAnsiTheme="majorHAnsi" w:cs="Calibri"/>
          <w:lang w:val="en-US"/>
        </w:rPr>
        <w:t xml:space="preserve"> total of 104 items from age 12 assessments were included in ESEM and parallel analyses. Parallel analyses indicated that up to 20 factors could be extracted. Solutions including 1 to 6 factors were acceptable based on interpretability (</w:t>
      </w:r>
      <w:r w:rsidR="000B19F8" w:rsidRPr="002441C6">
        <w:rPr>
          <w:rFonts w:asciiTheme="majorHAnsi" w:hAnsiTheme="majorHAnsi" w:cs="Calibri"/>
        </w:rPr>
        <w:t xml:space="preserve">Supplementary Table </w:t>
      </w:r>
      <w:r w:rsidR="0071050F" w:rsidRPr="002441C6">
        <w:rPr>
          <w:rFonts w:asciiTheme="majorHAnsi" w:hAnsiTheme="majorHAnsi" w:cs="Calibri"/>
          <w:lang w:val="en-US"/>
        </w:rPr>
        <w:t>6</w:t>
      </w:r>
      <w:r w:rsidR="005202FD" w:rsidRPr="002441C6">
        <w:rPr>
          <w:rFonts w:asciiTheme="majorHAnsi" w:hAnsiTheme="majorHAnsi" w:cs="Calibri"/>
          <w:lang w:val="en-US"/>
        </w:rPr>
        <w:t>). Solutions with more than 6 factors showed poor interpretability as each included at least one factor with only three or fewer primary loadings.</w:t>
      </w:r>
    </w:p>
    <w:p w14:paraId="5752EC07" w14:textId="7946837A" w:rsidR="005202FD" w:rsidRPr="002441C6" w:rsidRDefault="005202FD" w:rsidP="000707C8">
      <w:pPr>
        <w:spacing w:after="0" w:line="360" w:lineRule="auto"/>
        <w:jc w:val="both"/>
        <w:rPr>
          <w:rFonts w:asciiTheme="majorHAnsi" w:hAnsiTheme="majorHAnsi" w:cs="Calibri"/>
          <w:lang w:val="en-US"/>
        </w:rPr>
      </w:pPr>
      <w:r w:rsidRPr="002441C6">
        <w:rPr>
          <w:rFonts w:asciiTheme="majorHAnsi" w:hAnsiTheme="majorHAnsi" w:cs="Calibri"/>
          <w:lang w:val="en-US"/>
        </w:rPr>
        <w:t>Using Goldberg’s bass-ackwards approach</w:t>
      </w:r>
      <w:r w:rsidR="006C4F87">
        <w:rPr>
          <w:rFonts w:asciiTheme="majorHAnsi" w:hAnsiTheme="majorHAnsi" w:cs="Calibri"/>
          <w:lang w:val="en-US"/>
        </w:rPr>
        <w:t xml:space="preserve"> </w:t>
      </w:r>
      <w:r w:rsidR="007633F4" w:rsidRPr="007633F4">
        <w:rPr>
          <w:rFonts w:ascii="Aptos Display" w:hAnsi="Aptos Display"/>
        </w:rPr>
        <w:t>[16]</w:t>
      </w:r>
      <w:r w:rsidRPr="002441C6">
        <w:rPr>
          <w:rFonts w:asciiTheme="majorHAnsi" w:hAnsiTheme="majorHAnsi" w:cs="Calibri"/>
          <w:lang w:val="en-US"/>
        </w:rPr>
        <w:t xml:space="preserve">, models including 1 to 6 factors were arranged in a hierarchical structure, with paths linking across levels representing large associations </w:t>
      </w:r>
      <w:r w:rsidR="0071050F" w:rsidRPr="002441C6">
        <w:rPr>
          <w:rFonts w:asciiTheme="majorHAnsi" w:hAnsiTheme="majorHAnsi" w:cs="Calibri"/>
          <w:lang w:val="en-US"/>
        </w:rPr>
        <w:t>(Fig</w:t>
      </w:r>
      <w:r w:rsidR="000B19F8" w:rsidRPr="002441C6">
        <w:rPr>
          <w:rFonts w:asciiTheme="majorHAnsi" w:hAnsiTheme="majorHAnsi" w:cs="Calibri"/>
          <w:lang w:val="en-US"/>
        </w:rPr>
        <w:t>ure</w:t>
      </w:r>
      <w:r w:rsidR="0071050F" w:rsidRPr="002441C6">
        <w:rPr>
          <w:rFonts w:asciiTheme="majorHAnsi" w:hAnsiTheme="majorHAnsi" w:cs="Calibri"/>
          <w:lang w:val="en-US"/>
        </w:rPr>
        <w:t xml:space="preserve"> 1)</w:t>
      </w:r>
      <w:r w:rsidRPr="002441C6">
        <w:rPr>
          <w:rFonts w:asciiTheme="majorHAnsi" w:hAnsiTheme="majorHAnsi" w:cs="Calibri"/>
          <w:lang w:val="en-US"/>
        </w:rPr>
        <w:t xml:space="preserve">. A p factor at the apex in the 1-factor structure split into internalizing and neurodevelopmental/externalizing factors in the 2-factor solution. In the 3-factor solution, the neurodevelopmental/externalizing factor split into separate neurodevelopmental (e.g., </w:t>
      </w:r>
      <w:bookmarkStart w:id="5" w:name="_Hlk178846101"/>
      <w:r w:rsidRPr="002441C6">
        <w:rPr>
          <w:rFonts w:asciiTheme="majorHAnsi" w:hAnsiTheme="majorHAnsi" w:cs="Calibri"/>
          <w:lang w:val="en-US"/>
        </w:rPr>
        <w:t xml:space="preserve">inattention, </w:t>
      </w:r>
      <w:r w:rsidR="004F192A" w:rsidRPr="002441C6">
        <w:rPr>
          <w:rFonts w:asciiTheme="majorHAnsi" w:hAnsiTheme="majorHAnsi" w:cs="Calibri"/>
          <w:lang w:val="en-US"/>
        </w:rPr>
        <w:t>hyperactivity-impulsivity</w:t>
      </w:r>
      <w:r w:rsidR="000C2BFD" w:rsidRPr="002441C6">
        <w:rPr>
          <w:rFonts w:asciiTheme="majorHAnsi" w:hAnsiTheme="majorHAnsi" w:cs="Calibri"/>
          <w:lang w:val="en-US"/>
        </w:rPr>
        <w:t xml:space="preserve">, lack of planning, </w:t>
      </w:r>
      <w:r w:rsidRPr="002441C6">
        <w:rPr>
          <w:rFonts w:asciiTheme="majorHAnsi" w:hAnsiTheme="majorHAnsi" w:cs="Calibri"/>
          <w:lang w:val="en-US"/>
        </w:rPr>
        <w:t>pragmatic language difficulties</w:t>
      </w:r>
      <w:bookmarkEnd w:id="5"/>
      <w:r w:rsidRPr="002441C6">
        <w:rPr>
          <w:rFonts w:asciiTheme="majorHAnsi" w:hAnsiTheme="majorHAnsi" w:cs="Calibri"/>
          <w:lang w:val="en-US"/>
        </w:rPr>
        <w:t xml:space="preserve">) and a broad factor encompassing externalizing behavior and social difficulties (e.g., unhelpful if someone is hurt, lies or </w:t>
      </w:r>
      <w:r w:rsidR="004315AA" w:rsidRPr="002441C6">
        <w:rPr>
          <w:rFonts w:asciiTheme="majorHAnsi" w:hAnsiTheme="majorHAnsi" w:cs="Calibri"/>
          <w:lang w:val="en-US"/>
        </w:rPr>
        <w:t>cheats</w:t>
      </w:r>
      <w:r w:rsidRPr="002441C6">
        <w:rPr>
          <w:rFonts w:asciiTheme="majorHAnsi" w:hAnsiTheme="majorHAnsi" w:cs="Calibri"/>
          <w:lang w:val="en-US"/>
        </w:rPr>
        <w:t xml:space="preserve">, does not chat spontaneously). In the 4-factor structure, the latter factor split into a factor encompassing social difficulties and </w:t>
      </w:r>
      <w:r w:rsidR="006E6231" w:rsidRPr="002441C6">
        <w:rPr>
          <w:rFonts w:asciiTheme="majorHAnsi" w:hAnsiTheme="majorHAnsi" w:cs="Calibri"/>
          <w:lang w:val="en-US"/>
        </w:rPr>
        <w:t>low prosociality</w:t>
      </w:r>
      <w:r w:rsidRPr="002441C6">
        <w:rPr>
          <w:rFonts w:asciiTheme="majorHAnsi" w:hAnsiTheme="majorHAnsi" w:cs="Calibri"/>
          <w:lang w:val="en-US"/>
        </w:rPr>
        <w:t xml:space="preserve"> (e.g., unhelpful if someone is hurt, inconsiderate, does not chat spontaneously) and a neurodevelopmental/externalizing factor with additional contributions from the neurodevelopmental factor </w:t>
      </w:r>
      <w:r w:rsidR="002719DE" w:rsidRPr="002441C6">
        <w:rPr>
          <w:rFonts w:asciiTheme="majorHAnsi" w:hAnsiTheme="majorHAnsi" w:cs="Calibri"/>
          <w:lang w:val="en-US"/>
        </w:rPr>
        <w:t xml:space="preserve">from the 3-factor model </w:t>
      </w:r>
      <w:r w:rsidRPr="002441C6">
        <w:rPr>
          <w:rFonts w:asciiTheme="majorHAnsi" w:hAnsiTheme="majorHAnsi" w:cs="Calibri"/>
          <w:lang w:val="en-US"/>
        </w:rPr>
        <w:t>(e.g., very one sided, interrupts or intrudes, lies or cheats), whereas the remaining content in the neurodevelopmental factor formed an inattention factor. In the 5-factor solution, a more delineated social difficult</w:t>
      </w:r>
      <w:r w:rsidR="006E6231" w:rsidRPr="002441C6">
        <w:rPr>
          <w:rFonts w:asciiTheme="majorHAnsi" w:hAnsiTheme="majorHAnsi" w:cs="Calibri"/>
          <w:lang w:val="en-US"/>
        </w:rPr>
        <w:t>ies</w:t>
      </w:r>
      <w:r w:rsidRPr="002441C6">
        <w:rPr>
          <w:rFonts w:asciiTheme="majorHAnsi" w:hAnsiTheme="majorHAnsi" w:cs="Calibri"/>
          <w:lang w:val="en-US"/>
        </w:rPr>
        <w:t xml:space="preserve"> factor (broadly capturing social interaction and communication problems) emerged, and the neurodevelopmental/externalizing factor split into a factor capturing </w:t>
      </w:r>
      <w:r w:rsidR="004F192A" w:rsidRPr="002441C6">
        <w:rPr>
          <w:rFonts w:asciiTheme="majorHAnsi" w:hAnsiTheme="majorHAnsi" w:cs="Calibri"/>
          <w:lang w:val="en-US"/>
        </w:rPr>
        <w:t>hyperactivity-impulsivity</w:t>
      </w:r>
      <w:r w:rsidRPr="002441C6">
        <w:rPr>
          <w:rFonts w:asciiTheme="majorHAnsi" w:hAnsiTheme="majorHAnsi" w:cs="Calibri"/>
          <w:lang w:val="en-US"/>
        </w:rPr>
        <w:t xml:space="preserve"> and restrictive and repetitive behavior</w:t>
      </w:r>
      <w:r w:rsidR="006457C1" w:rsidRPr="002441C6">
        <w:rPr>
          <w:rFonts w:asciiTheme="majorHAnsi" w:hAnsiTheme="majorHAnsi" w:cs="Calibri"/>
          <w:lang w:val="en-US"/>
        </w:rPr>
        <w:t xml:space="preserve">s and </w:t>
      </w:r>
      <w:r w:rsidRPr="002441C6">
        <w:rPr>
          <w:rFonts w:asciiTheme="majorHAnsi" w:hAnsiTheme="majorHAnsi" w:cs="Calibri"/>
          <w:lang w:val="en-US"/>
        </w:rPr>
        <w:t>interests</w:t>
      </w:r>
      <w:r w:rsidR="0055125D" w:rsidRPr="002441C6">
        <w:rPr>
          <w:rFonts w:asciiTheme="majorHAnsi" w:hAnsiTheme="majorHAnsi" w:cs="Calibri"/>
          <w:lang w:val="en-US"/>
        </w:rPr>
        <w:t xml:space="preserve"> (RRB)</w:t>
      </w:r>
      <w:r w:rsidRPr="002441C6">
        <w:rPr>
          <w:rFonts w:asciiTheme="majorHAnsi" w:hAnsiTheme="majorHAnsi" w:cs="Calibri"/>
          <w:lang w:val="en-US"/>
        </w:rPr>
        <w:t xml:space="preserve"> (e.g., motor overactivity, attention/memory for details) and an antisocial behavior factor, with the latter also including </w:t>
      </w:r>
      <w:r w:rsidR="006E6231" w:rsidRPr="002441C6">
        <w:rPr>
          <w:rFonts w:asciiTheme="majorHAnsi" w:hAnsiTheme="majorHAnsi" w:cs="Calibri"/>
          <w:lang w:val="en-US"/>
        </w:rPr>
        <w:t xml:space="preserve">low prosociality </w:t>
      </w:r>
      <w:r w:rsidRPr="002441C6">
        <w:rPr>
          <w:rFonts w:asciiTheme="majorHAnsi" w:hAnsiTheme="majorHAnsi" w:cs="Calibri"/>
          <w:lang w:val="en-US"/>
        </w:rPr>
        <w:t>from the social</w:t>
      </w:r>
      <w:r w:rsidR="006E6231" w:rsidRPr="002441C6">
        <w:rPr>
          <w:rFonts w:asciiTheme="majorHAnsi" w:hAnsiTheme="majorHAnsi" w:cs="Calibri"/>
          <w:lang w:val="en-US"/>
        </w:rPr>
        <w:t xml:space="preserve"> difficulties</w:t>
      </w:r>
      <w:r w:rsidRPr="002441C6">
        <w:rPr>
          <w:rFonts w:asciiTheme="majorHAnsi" w:hAnsiTheme="majorHAnsi" w:cs="Calibri"/>
          <w:lang w:val="en-US"/>
        </w:rPr>
        <w:t>/</w:t>
      </w:r>
      <w:r w:rsidR="006E6231" w:rsidRPr="002441C6">
        <w:rPr>
          <w:rFonts w:asciiTheme="majorHAnsi" w:hAnsiTheme="majorHAnsi" w:cs="Calibri"/>
          <w:lang w:val="en-US"/>
        </w:rPr>
        <w:t>low prosociality</w:t>
      </w:r>
      <w:r w:rsidRPr="002441C6">
        <w:rPr>
          <w:rFonts w:asciiTheme="majorHAnsi" w:hAnsiTheme="majorHAnsi" w:cs="Calibri"/>
          <w:lang w:val="en-US"/>
        </w:rPr>
        <w:t xml:space="preserve"> factor </w:t>
      </w:r>
      <w:r w:rsidR="00886769" w:rsidRPr="002441C6">
        <w:rPr>
          <w:rFonts w:asciiTheme="majorHAnsi" w:hAnsiTheme="majorHAnsi" w:cs="Calibri"/>
          <w:lang w:val="en-US"/>
        </w:rPr>
        <w:t>from</w:t>
      </w:r>
      <w:r w:rsidRPr="002441C6">
        <w:rPr>
          <w:rFonts w:asciiTheme="majorHAnsi" w:hAnsiTheme="majorHAnsi" w:cs="Calibri"/>
          <w:lang w:val="en-US"/>
        </w:rPr>
        <w:t xml:space="preserve"> the 4-factor structure. Finally, the 6-factor structure saw the emergence of a new factor capturing </w:t>
      </w:r>
      <w:r w:rsidR="006E6231" w:rsidRPr="002441C6">
        <w:rPr>
          <w:rFonts w:asciiTheme="majorHAnsi" w:hAnsiTheme="majorHAnsi" w:cs="Calibri"/>
          <w:lang w:val="en-US"/>
        </w:rPr>
        <w:t>low prosociality</w:t>
      </w:r>
      <w:r w:rsidRPr="002441C6">
        <w:rPr>
          <w:rFonts w:asciiTheme="majorHAnsi" w:hAnsiTheme="majorHAnsi" w:cs="Calibri"/>
          <w:lang w:val="en-US"/>
        </w:rPr>
        <w:t xml:space="preserve"> (e.g., unhelpful, unkind) from the reorganization of items cross-loading onto the social difficult</w:t>
      </w:r>
      <w:r w:rsidR="00886769" w:rsidRPr="002441C6">
        <w:rPr>
          <w:rFonts w:asciiTheme="majorHAnsi" w:hAnsiTheme="majorHAnsi" w:cs="Calibri"/>
          <w:lang w:val="en-US"/>
        </w:rPr>
        <w:t>ies</w:t>
      </w:r>
      <w:r w:rsidRPr="002441C6">
        <w:rPr>
          <w:rFonts w:asciiTheme="majorHAnsi" w:hAnsiTheme="majorHAnsi" w:cs="Calibri"/>
          <w:lang w:val="en-US"/>
        </w:rPr>
        <w:t xml:space="preserve"> and antisocial factors in the 5-factor structure, alongside other factors already included in the 5-factor structure</w:t>
      </w:r>
      <w:r w:rsidR="00AE39C8" w:rsidRPr="002441C6">
        <w:rPr>
          <w:rFonts w:asciiTheme="majorHAnsi" w:hAnsiTheme="majorHAnsi" w:cs="Calibri"/>
          <w:lang w:val="en-US"/>
        </w:rPr>
        <w:t>. Note that repetitive and restricted interests and behaviors clustered with social difficulties in the 6-factor solution, rather than with hyperactivity-impulsivity.</w:t>
      </w:r>
    </w:p>
    <w:p w14:paraId="2335AD2C" w14:textId="77777777" w:rsidR="005202FD" w:rsidRPr="002441C6" w:rsidRDefault="005202FD" w:rsidP="000707C8">
      <w:pPr>
        <w:spacing w:line="360" w:lineRule="auto"/>
        <w:ind w:firstLine="0"/>
        <w:jc w:val="both"/>
        <w:rPr>
          <w:rFonts w:asciiTheme="majorHAnsi" w:hAnsiTheme="majorHAnsi" w:cs="Calibri"/>
          <w:lang w:val="en-US"/>
        </w:rPr>
      </w:pPr>
    </w:p>
    <w:p w14:paraId="5D4148A6" w14:textId="54E02EB7" w:rsidR="005202FD" w:rsidRPr="002441C6" w:rsidRDefault="00271A54" w:rsidP="000707C8">
      <w:pPr>
        <w:spacing w:after="0" w:line="360" w:lineRule="auto"/>
        <w:ind w:firstLine="0"/>
        <w:jc w:val="both"/>
        <w:rPr>
          <w:rFonts w:asciiTheme="majorHAnsi" w:hAnsiTheme="majorHAnsi" w:cs="Calibri"/>
          <w:b/>
          <w:bCs/>
          <w:lang w:val="en-US"/>
        </w:rPr>
      </w:pPr>
      <w:r w:rsidRPr="002441C6">
        <w:rPr>
          <w:rFonts w:asciiTheme="majorHAnsi" w:hAnsiTheme="majorHAnsi" w:cs="Calibri"/>
          <w:b/>
          <w:bCs/>
          <w:lang w:val="en-US"/>
        </w:rPr>
        <w:lastRenderedPageBreak/>
        <w:t xml:space="preserve">3. </w:t>
      </w:r>
      <w:r w:rsidR="005202FD" w:rsidRPr="002441C6">
        <w:rPr>
          <w:rFonts w:asciiTheme="majorHAnsi" w:hAnsiTheme="majorHAnsi" w:cs="Calibri"/>
          <w:b/>
          <w:bCs/>
          <w:lang w:val="en-US"/>
        </w:rPr>
        <w:t>Hierarchical dimensional structure in mid-adolescence (age 16</w:t>
      </w:r>
      <w:r w:rsidR="006C4F87">
        <w:rPr>
          <w:rFonts w:asciiTheme="majorHAnsi" w:hAnsiTheme="majorHAnsi" w:cs="Calibri"/>
          <w:b/>
          <w:bCs/>
          <w:lang w:val="en-US"/>
        </w:rPr>
        <w:t>, parent-report</w:t>
      </w:r>
      <w:r w:rsidR="005202FD" w:rsidRPr="002441C6">
        <w:rPr>
          <w:rFonts w:asciiTheme="majorHAnsi" w:hAnsiTheme="majorHAnsi" w:cs="Calibri"/>
          <w:b/>
          <w:bCs/>
          <w:lang w:val="en-US"/>
        </w:rPr>
        <w:t>)</w:t>
      </w:r>
    </w:p>
    <w:p w14:paraId="2C8CF613" w14:textId="2411F3B0" w:rsidR="005202FD" w:rsidRPr="002441C6" w:rsidRDefault="009F2AE6" w:rsidP="000707C8">
      <w:pPr>
        <w:spacing w:after="0" w:line="360" w:lineRule="auto"/>
        <w:jc w:val="both"/>
        <w:rPr>
          <w:rFonts w:asciiTheme="majorHAnsi" w:hAnsiTheme="majorHAnsi" w:cs="Calibri"/>
          <w:lang w:val="en-US"/>
        </w:rPr>
      </w:pPr>
      <w:r w:rsidRPr="002441C6">
        <w:rPr>
          <w:rFonts w:asciiTheme="majorHAnsi" w:hAnsiTheme="majorHAnsi" w:cs="Calibri"/>
          <w:lang w:val="en-US"/>
        </w:rPr>
        <w:t>No items showed very low endorsement (&gt;95% of participants had 0 responses) or very high correlations (r&gt;.85), thus a</w:t>
      </w:r>
      <w:r w:rsidR="005202FD" w:rsidRPr="002441C6">
        <w:rPr>
          <w:rFonts w:asciiTheme="majorHAnsi" w:hAnsiTheme="majorHAnsi" w:cs="Calibri"/>
          <w:lang w:val="en-US"/>
        </w:rPr>
        <w:t xml:space="preserve"> total of 130 items from age 16 parent-report assessments were included in ESEM and parallel analyses. Parallel analyses indicated that up to 19 factors could be extracted. Solutions including 1 to 8 factors were acceptable based on interpretability (</w:t>
      </w:r>
      <w:r w:rsidR="000B19F8" w:rsidRPr="002441C6">
        <w:rPr>
          <w:rFonts w:asciiTheme="majorHAnsi" w:hAnsiTheme="majorHAnsi" w:cs="Calibri"/>
        </w:rPr>
        <w:t xml:space="preserve">Supplementary Table </w:t>
      </w:r>
      <w:r w:rsidR="0071050F" w:rsidRPr="002441C6">
        <w:rPr>
          <w:rFonts w:asciiTheme="majorHAnsi" w:hAnsiTheme="majorHAnsi" w:cs="Calibri"/>
          <w:lang w:val="en-US"/>
        </w:rPr>
        <w:t>7</w:t>
      </w:r>
      <w:r w:rsidR="005202FD" w:rsidRPr="002441C6">
        <w:rPr>
          <w:rFonts w:asciiTheme="majorHAnsi" w:hAnsiTheme="majorHAnsi" w:cs="Calibri"/>
          <w:lang w:val="en-US"/>
        </w:rPr>
        <w:t>). Solutions with more than 8 factors showed poor interpretability as each included at least one factor with only three or fewer primary loadings.</w:t>
      </w:r>
    </w:p>
    <w:p w14:paraId="36C914B7" w14:textId="7F72FACF" w:rsidR="005202FD" w:rsidRPr="002441C6" w:rsidRDefault="005202FD" w:rsidP="000707C8">
      <w:pPr>
        <w:spacing w:after="0" w:line="360" w:lineRule="auto"/>
        <w:jc w:val="both"/>
        <w:rPr>
          <w:rFonts w:asciiTheme="majorHAnsi" w:hAnsiTheme="majorHAnsi" w:cs="Calibri"/>
          <w:lang w:val="en-US"/>
        </w:rPr>
      </w:pPr>
      <w:r w:rsidRPr="002441C6">
        <w:rPr>
          <w:rFonts w:asciiTheme="majorHAnsi" w:hAnsiTheme="majorHAnsi" w:cs="Calibri"/>
          <w:lang w:val="en-US"/>
        </w:rPr>
        <w:t>Using Goldberg’s bass-ackwards approach</w:t>
      </w:r>
      <w:r w:rsidR="00DE3C00" w:rsidRPr="002441C6">
        <w:rPr>
          <w:rFonts w:asciiTheme="majorHAnsi" w:hAnsiTheme="majorHAnsi" w:cs="Calibri"/>
          <w:lang w:val="en-US"/>
        </w:rPr>
        <w:t xml:space="preserve"> </w:t>
      </w:r>
      <w:r w:rsidR="007633F4" w:rsidRPr="007633F4">
        <w:rPr>
          <w:rFonts w:ascii="Aptos Display" w:hAnsi="Aptos Display"/>
        </w:rPr>
        <w:t>[16]</w:t>
      </w:r>
      <w:r w:rsidRPr="002441C6">
        <w:rPr>
          <w:rFonts w:asciiTheme="majorHAnsi" w:hAnsiTheme="majorHAnsi" w:cs="Calibri"/>
          <w:lang w:val="en-US"/>
        </w:rPr>
        <w:t xml:space="preserve">, models including 1 to 8 factors were arranged in a hierarchical structure, with paths linking across levels representing large associations </w:t>
      </w:r>
      <w:r w:rsidR="008C1A2C" w:rsidRPr="002441C6">
        <w:rPr>
          <w:rFonts w:asciiTheme="majorHAnsi" w:hAnsiTheme="majorHAnsi" w:cs="Calibri"/>
          <w:lang w:val="en-US"/>
        </w:rPr>
        <w:t>(</w:t>
      </w:r>
      <w:r w:rsidR="0071050F" w:rsidRPr="002441C6">
        <w:rPr>
          <w:rFonts w:asciiTheme="majorHAnsi" w:hAnsiTheme="majorHAnsi" w:cs="Calibri"/>
          <w:lang w:val="en-US"/>
        </w:rPr>
        <w:t>Fig. 1)</w:t>
      </w:r>
      <w:r w:rsidRPr="002441C6">
        <w:rPr>
          <w:rFonts w:asciiTheme="majorHAnsi" w:hAnsiTheme="majorHAnsi" w:cs="Calibri"/>
          <w:lang w:val="en-US"/>
        </w:rPr>
        <w:t xml:space="preserve">. </w:t>
      </w:r>
      <w:proofErr w:type="gramStart"/>
      <w:r w:rsidRPr="002441C6">
        <w:rPr>
          <w:rFonts w:asciiTheme="majorHAnsi" w:hAnsiTheme="majorHAnsi" w:cs="Calibri"/>
          <w:lang w:val="en-US"/>
        </w:rPr>
        <w:t>Similar to</w:t>
      </w:r>
      <w:proofErr w:type="gramEnd"/>
      <w:r w:rsidRPr="002441C6">
        <w:rPr>
          <w:rFonts w:asciiTheme="majorHAnsi" w:hAnsiTheme="majorHAnsi" w:cs="Calibri"/>
          <w:lang w:val="en-US"/>
        </w:rPr>
        <w:t xml:space="preserve"> the hierarchical structures at ages 7 and 12, the 1-factor structure (p factor) split into internalizing and neurodevelopmental/externalizing factors in the 2-factor structure. In the 3-factor structure, the broad internalizing factor split into </w:t>
      </w:r>
      <w:r w:rsidR="0053447E" w:rsidRPr="002441C6">
        <w:rPr>
          <w:rFonts w:asciiTheme="majorHAnsi" w:hAnsiTheme="majorHAnsi" w:cs="Calibri"/>
          <w:lang w:val="en-US"/>
        </w:rPr>
        <w:t>a social difficulties</w:t>
      </w:r>
      <w:r w:rsidRPr="002441C6">
        <w:rPr>
          <w:rFonts w:asciiTheme="majorHAnsi" w:hAnsiTheme="majorHAnsi" w:cs="Calibri"/>
          <w:lang w:val="en-US"/>
        </w:rPr>
        <w:t xml:space="preserve">/detachment factor (including shyness, </w:t>
      </w:r>
      <w:r w:rsidR="0053447E" w:rsidRPr="002441C6">
        <w:rPr>
          <w:rFonts w:asciiTheme="majorHAnsi" w:hAnsiTheme="majorHAnsi" w:cs="Calibri"/>
          <w:lang w:val="en-US"/>
        </w:rPr>
        <w:t xml:space="preserve">social withdrawal, </w:t>
      </w:r>
      <w:r w:rsidRPr="002441C6">
        <w:rPr>
          <w:rFonts w:asciiTheme="majorHAnsi" w:hAnsiTheme="majorHAnsi" w:cs="Calibri"/>
          <w:lang w:val="en-US"/>
        </w:rPr>
        <w:t xml:space="preserve">apathy and affective flattening) and a distress/dysregulation factor (including depression symptoms and motor/emotional dysregulation). In the 4-factor structure, </w:t>
      </w:r>
      <w:r w:rsidR="00E44EEB" w:rsidRPr="002441C6">
        <w:rPr>
          <w:rFonts w:asciiTheme="majorHAnsi" w:hAnsiTheme="majorHAnsi" w:cs="Calibri"/>
          <w:lang w:val="en-US"/>
        </w:rPr>
        <w:t xml:space="preserve">the neurodevelopmental/externalizing factor split into an inattention factor (e.g., lack of perseverance, difficulties planning, distractibility), a factor capturing </w:t>
      </w:r>
      <w:r w:rsidR="00BB4127" w:rsidRPr="002441C6">
        <w:rPr>
          <w:rFonts w:asciiTheme="majorHAnsi" w:hAnsiTheme="majorHAnsi" w:cs="Calibri"/>
          <w:lang w:val="en-US"/>
        </w:rPr>
        <w:t xml:space="preserve">dysregulation </w:t>
      </w:r>
      <w:r w:rsidR="00E44EEB" w:rsidRPr="002441C6">
        <w:rPr>
          <w:rFonts w:asciiTheme="majorHAnsi" w:hAnsiTheme="majorHAnsi" w:cs="Calibri"/>
          <w:lang w:val="en-US"/>
        </w:rPr>
        <w:t>and antisocial behavior (e.g., motor overactivity</w:t>
      </w:r>
      <w:r w:rsidR="00BB4127" w:rsidRPr="002441C6">
        <w:rPr>
          <w:rFonts w:asciiTheme="majorHAnsi" w:hAnsiTheme="majorHAnsi" w:cs="Calibri"/>
          <w:lang w:val="en-US"/>
        </w:rPr>
        <w:t>, emotional dysregulation, fighting</w:t>
      </w:r>
      <w:r w:rsidR="00FE2404" w:rsidRPr="002441C6">
        <w:rPr>
          <w:rFonts w:asciiTheme="majorHAnsi" w:hAnsiTheme="majorHAnsi" w:cs="Calibri"/>
          <w:lang w:val="en-US"/>
        </w:rPr>
        <w:t>,</w:t>
      </w:r>
      <w:r w:rsidR="00BB4127" w:rsidRPr="002441C6">
        <w:rPr>
          <w:rFonts w:asciiTheme="majorHAnsi" w:hAnsiTheme="majorHAnsi" w:cs="Calibri"/>
          <w:lang w:val="en-US"/>
        </w:rPr>
        <w:t xml:space="preserve"> bullying)</w:t>
      </w:r>
      <w:r w:rsidR="00E44EEB" w:rsidRPr="002441C6">
        <w:rPr>
          <w:rFonts w:asciiTheme="majorHAnsi" w:hAnsiTheme="majorHAnsi" w:cs="Calibri"/>
          <w:lang w:val="en-US"/>
        </w:rPr>
        <w:t xml:space="preserve">, </w:t>
      </w:r>
      <w:r w:rsidR="00D85B93" w:rsidRPr="002441C6">
        <w:rPr>
          <w:rFonts w:asciiTheme="majorHAnsi" w:hAnsiTheme="majorHAnsi" w:cs="Calibri"/>
          <w:lang w:val="en-US"/>
        </w:rPr>
        <w:t xml:space="preserve">and a factor capturing features of detachment (e.g., social withdrawal, apathy and affective flattening). The dysregulation/antisocial factor </w:t>
      </w:r>
      <w:r w:rsidR="00FE2404" w:rsidRPr="002441C6">
        <w:rPr>
          <w:rFonts w:asciiTheme="majorHAnsi" w:hAnsiTheme="majorHAnsi" w:cs="Calibri"/>
          <w:lang w:val="en-US"/>
        </w:rPr>
        <w:t>was strongly associated</w:t>
      </w:r>
      <w:r w:rsidR="00D85B93" w:rsidRPr="002441C6">
        <w:rPr>
          <w:rFonts w:asciiTheme="majorHAnsi" w:hAnsiTheme="majorHAnsi" w:cs="Calibri"/>
          <w:lang w:val="en-US"/>
        </w:rPr>
        <w:t xml:space="preserve"> with the higher-level distress/dysregulation</w:t>
      </w:r>
      <w:r w:rsidR="00686E06" w:rsidRPr="002441C6">
        <w:rPr>
          <w:rFonts w:asciiTheme="majorHAnsi" w:hAnsiTheme="majorHAnsi" w:cs="Calibri"/>
          <w:lang w:val="en-US"/>
        </w:rPr>
        <w:t xml:space="preserve"> factor, and the detachment factor with the higher-level internalizing/detachment factor. </w:t>
      </w:r>
      <w:r w:rsidRPr="002441C6">
        <w:rPr>
          <w:rFonts w:asciiTheme="majorHAnsi" w:hAnsiTheme="majorHAnsi" w:cs="Calibri"/>
          <w:lang w:val="en-US"/>
        </w:rPr>
        <w:t>In the 5-factor structure, the neurodevelopmental/externalizing factor split into a neurodevelopmental factor including</w:t>
      </w:r>
      <w:r w:rsidR="00FE2404" w:rsidRPr="002441C6">
        <w:rPr>
          <w:rFonts w:asciiTheme="majorHAnsi" w:hAnsiTheme="majorHAnsi" w:cs="Calibri"/>
          <w:lang w:val="en-US"/>
        </w:rPr>
        <w:t xml:space="preserve"> attention difficulties, hyperactivity, </w:t>
      </w:r>
      <w:r w:rsidRPr="002441C6">
        <w:rPr>
          <w:rFonts w:asciiTheme="majorHAnsi" w:hAnsiTheme="majorHAnsi" w:cs="Calibri"/>
          <w:lang w:val="en-US"/>
        </w:rPr>
        <w:t xml:space="preserve">lack of perseverance, </w:t>
      </w:r>
      <w:r w:rsidR="00FE2404" w:rsidRPr="002441C6">
        <w:rPr>
          <w:rFonts w:asciiTheme="majorHAnsi" w:hAnsiTheme="majorHAnsi" w:cs="Calibri"/>
          <w:lang w:val="en-US"/>
        </w:rPr>
        <w:t xml:space="preserve">and </w:t>
      </w:r>
      <w:r w:rsidRPr="002441C6">
        <w:rPr>
          <w:rFonts w:asciiTheme="majorHAnsi" w:hAnsiTheme="majorHAnsi" w:cs="Calibri"/>
          <w:lang w:val="en-US"/>
        </w:rPr>
        <w:t xml:space="preserve">difficulties with creative thinking/imagination, </w:t>
      </w:r>
      <w:r w:rsidR="00FE2404" w:rsidRPr="002441C6">
        <w:rPr>
          <w:rFonts w:asciiTheme="majorHAnsi" w:hAnsiTheme="majorHAnsi" w:cs="Calibri"/>
          <w:lang w:val="en-US"/>
        </w:rPr>
        <w:t>an</w:t>
      </w:r>
      <w:r w:rsidRPr="002441C6">
        <w:rPr>
          <w:rFonts w:asciiTheme="majorHAnsi" w:hAnsiTheme="majorHAnsi" w:cs="Calibri"/>
          <w:lang w:val="en-US"/>
        </w:rPr>
        <w:t xml:space="preserve"> </w:t>
      </w:r>
      <w:r w:rsidR="00FE2404" w:rsidRPr="002441C6">
        <w:rPr>
          <w:rFonts w:asciiTheme="majorHAnsi" w:hAnsiTheme="majorHAnsi" w:cs="Calibri"/>
          <w:lang w:val="en-US"/>
        </w:rPr>
        <w:t xml:space="preserve">RRBI </w:t>
      </w:r>
      <w:r w:rsidRPr="002441C6">
        <w:rPr>
          <w:rFonts w:asciiTheme="majorHAnsi" w:hAnsiTheme="majorHAnsi" w:cs="Calibri"/>
          <w:lang w:val="en-US"/>
        </w:rPr>
        <w:t xml:space="preserve">factor (e.g., fascinated by dates/numbers/patterns), and an antisocial behavior factor also including contributions from the detachment factor (e.g., callous, inconsiderate, tendency to lie/cheat), with the remaining content migrating in the internalizing factor. </w:t>
      </w:r>
      <w:r w:rsidR="004315AA" w:rsidRPr="002441C6">
        <w:rPr>
          <w:rFonts w:asciiTheme="majorHAnsi" w:hAnsiTheme="majorHAnsi" w:cs="Calibri"/>
          <w:lang w:val="en-US"/>
        </w:rPr>
        <w:t>In the 6-factor structure, t</w:t>
      </w:r>
      <w:r w:rsidRPr="002441C6">
        <w:rPr>
          <w:rFonts w:asciiTheme="majorHAnsi" w:hAnsiTheme="majorHAnsi" w:cs="Calibri"/>
          <w:lang w:val="en-US"/>
        </w:rPr>
        <w:t xml:space="preserve">he detachment factor split into factors capturing social and imagination difficulties (e.g., difficulties with social interactions and mentalizing) and emotional detachment (e.g., affective flattening). In the 7-factor structure, the social/imagination difficulties factor formed a more delineated social difficulties factor merging with the content of the emotional detachment factor, with the remaining content in the social difficulties factor forming a factor capturing imagination difficulties (e.g., with creative thinking and mentalizing). Finally, the 8-factor structure saw the delineation of two separate factors capturing </w:t>
      </w:r>
      <w:r w:rsidR="00AE39C8" w:rsidRPr="002441C6">
        <w:rPr>
          <w:rFonts w:asciiTheme="majorHAnsi" w:hAnsiTheme="majorHAnsi" w:cs="Calibri"/>
          <w:lang w:val="en-US"/>
        </w:rPr>
        <w:t>hyperactivity-impulsivity</w:t>
      </w:r>
      <w:r w:rsidRPr="002441C6">
        <w:rPr>
          <w:rFonts w:asciiTheme="majorHAnsi" w:hAnsiTheme="majorHAnsi" w:cs="Calibri"/>
          <w:lang w:val="en-US"/>
        </w:rPr>
        <w:t xml:space="preserve"> and </w:t>
      </w:r>
      <w:r w:rsidR="006457C1" w:rsidRPr="002441C6">
        <w:rPr>
          <w:rFonts w:asciiTheme="majorHAnsi" w:hAnsiTheme="majorHAnsi" w:cs="Calibri"/>
          <w:lang w:val="en-US"/>
        </w:rPr>
        <w:t>RRBI</w:t>
      </w:r>
      <w:r w:rsidRPr="002441C6">
        <w:rPr>
          <w:rFonts w:asciiTheme="majorHAnsi" w:hAnsiTheme="majorHAnsi" w:cs="Calibri"/>
          <w:lang w:val="en-US"/>
        </w:rPr>
        <w:t xml:space="preserve"> from the factor including these behaviors in the 7-factor structure.</w:t>
      </w:r>
    </w:p>
    <w:p w14:paraId="5B2C73D7" w14:textId="77777777" w:rsidR="005202FD" w:rsidRPr="002441C6" w:rsidRDefault="005202FD" w:rsidP="000707C8">
      <w:pPr>
        <w:spacing w:line="360" w:lineRule="auto"/>
        <w:ind w:firstLine="0"/>
        <w:jc w:val="both"/>
        <w:rPr>
          <w:rFonts w:asciiTheme="majorHAnsi" w:hAnsiTheme="majorHAnsi" w:cs="Calibri"/>
          <w:lang w:val="en-US"/>
        </w:rPr>
      </w:pPr>
    </w:p>
    <w:p w14:paraId="66F52E7C" w14:textId="01F0A9A8" w:rsidR="00F35CBA" w:rsidRPr="002441C6" w:rsidRDefault="00271A54" w:rsidP="000707C8">
      <w:pPr>
        <w:spacing w:after="0" w:line="360" w:lineRule="auto"/>
        <w:ind w:firstLine="0"/>
        <w:jc w:val="both"/>
        <w:rPr>
          <w:rFonts w:asciiTheme="majorHAnsi" w:hAnsiTheme="majorHAnsi" w:cs="Calibri"/>
          <w:b/>
          <w:bCs/>
          <w:lang w:val="en-US"/>
        </w:rPr>
      </w:pPr>
      <w:r w:rsidRPr="002441C6">
        <w:rPr>
          <w:rFonts w:asciiTheme="majorHAnsi" w:hAnsiTheme="majorHAnsi" w:cs="Calibri"/>
          <w:b/>
          <w:bCs/>
          <w:lang w:val="en-US"/>
        </w:rPr>
        <w:lastRenderedPageBreak/>
        <w:t xml:space="preserve">4. </w:t>
      </w:r>
      <w:r w:rsidR="00F35CBA" w:rsidRPr="002441C6">
        <w:rPr>
          <w:rFonts w:asciiTheme="majorHAnsi" w:hAnsiTheme="majorHAnsi" w:cs="Calibri"/>
          <w:b/>
          <w:bCs/>
          <w:lang w:val="en-US"/>
        </w:rPr>
        <w:t>Hierarchical dimensional structure in mid-adolescence (age 16</w:t>
      </w:r>
      <w:r w:rsidR="006C4F87">
        <w:rPr>
          <w:rFonts w:asciiTheme="majorHAnsi" w:hAnsiTheme="majorHAnsi" w:cs="Calibri"/>
          <w:b/>
          <w:bCs/>
          <w:lang w:val="en-US"/>
        </w:rPr>
        <w:t>,</w:t>
      </w:r>
      <w:r w:rsidR="00F35CBA" w:rsidRPr="002441C6">
        <w:rPr>
          <w:rFonts w:asciiTheme="majorHAnsi" w:hAnsiTheme="majorHAnsi" w:cs="Calibri"/>
          <w:b/>
          <w:bCs/>
          <w:lang w:val="en-US"/>
        </w:rPr>
        <w:t xml:space="preserve"> </w:t>
      </w:r>
      <w:r w:rsidR="0071050F" w:rsidRPr="002441C6">
        <w:rPr>
          <w:rFonts w:asciiTheme="majorHAnsi" w:hAnsiTheme="majorHAnsi" w:cs="Calibri"/>
          <w:b/>
          <w:bCs/>
          <w:lang w:val="en-US"/>
        </w:rPr>
        <w:t>self-report</w:t>
      </w:r>
      <w:r w:rsidR="006C4F87">
        <w:rPr>
          <w:rFonts w:asciiTheme="majorHAnsi" w:hAnsiTheme="majorHAnsi" w:cs="Calibri"/>
          <w:b/>
          <w:bCs/>
          <w:lang w:val="en-US"/>
        </w:rPr>
        <w:t>)</w:t>
      </w:r>
    </w:p>
    <w:p w14:paraId="7D6B4EAC" w14:textId="2648D30B" w:rsidR="008C1A2C" w:rsidRPr="002441C6" w:rsidRDefault="009F2AE6" w:rsidP="000707C8">
      <w:pPr>
        <w:spacing w:after="0" w:line="360" w:lineRule="auto"/>
        <w:jc w:val="both"/>
        <w:rPr>
          <w:rFonts w:asciiTheme="majorHAnsi" w:hAnsiTheme="majorHAnsi" w:cs="Calibri"/>
          <w:lang w:val="en-US"/>
        </w:rPr>
      </w:pPr>
      <w:r w:rsidRPr="002441C6">
        <w:rPr>
          <w:rFonts w:asciiTheme="majorHAnsi" w:hAnsiTheme="majorHAnsi" w:cs="Calibri"/>
          <w:lang w:val="en-US"/>
        </w:rPr>
        <w:t xml:space="preserve">No items showed very low endorsement (&gt;95% of participants had 0 responses) or very high correlations (r&gt;.85), thus a </w:t>
      </w:r>
      <w:r w:rsidR="008C1A2C" w:rsidRPr="002441C6">
        <w:rPr>
          <w:rFonts w:asciiTheme="majorHAnsi" w:hAnsiTheme="majorHAnsi" w:cs="Calibri"/>
          <w:lang w:val="en-US"/>
        </w:rPr>
        <w:t>total of 180 items from age 16 self-report assessments were included in ESEM and parallel analyses. Parallel analyses indicated that up to 17 factors could be extracted. Solutions including 1 to 14 factors were acceptable based on interpretability (</w:t>
      </w:r>
      <w:r w:rsidR="000B19F8" w:rsidRPr="002441C6">
        <w:rPr>
          <w:rFonts w:asciiTheme="majorHAnsi" w:hAnsiTheme="majorHAnsi" w:cs="Calibri"/>
        </w:rPr>
        <w:t xml:space="preserve">Supplementary Table </w:t>
      </w:r>
      <w:r w:rsidR="008C1A2C" w:rsidRPr="002441C6">
        <w:rPr>
          <w:rFonts w:asciiTheme="majorHAnsi" w:hAnsiTheme="majorHAnsi" w:cs="Calibri"/>
          <w:lang w:val="en-US"/>
        </w:rPr>
        <w:t>8). Solutions with more than 14 factors showed poor interpretability as each included at least one factor with only three or fewer primary loadings.</w:t>
      </w:r>
    </w:p>
    <w:p w14:paraId="10E9AF0B" w14:textId="41A9E09F" w:rsidR="00A86636" w:rsidRPr="002441C6" w:rsidRDefault="008C1A2C" w:rsidP="000707C8">
      <w:pPr>
        <w:spacing w:line="360" w:lineRule="auto"/>
        <w:jc w:val="both"/>
        <w:rPr>
          <w:rFonts w:asciiTheme="majorHAnsi" w:hAnsiTheme="majorHAnsi" w:cs="Calibri"/>
          <w:lang w:val="en-US"/>
        </w:rPr>
      </w:pPr>
      <w:r w:rsidRPr="002441C6">
        <w:rPr>
          <w:rFonts w:asciiTheme="majorHAnsi" w:hAnsiTheme="majorHAnsi" w:cs="Calibri"/>
          <w:lang w:val="en-US"/>
        </w:rPr>
        <w:t>Using Goldberg’s bass-ackwards approach</w:t>
      </w:r>
      <w:r w:rsidR="00EA3711" w:rsidRPr="002441C6">
        <w:rPr>
          <w:rFonts w:asciiTheme="majorHAnsi" w:hAnsiTheme="majorHAnsi" w:cs="Calibri"/>
          <w:lang w:val="en-US"/>
        </w:rPr>
        <w:t xml:space="preserve"> </w:t>
      </w:r>
      <w:r w:rsidR="007633F4" w:rsidRPr="007633F4">
        <w:rPr>
          <w:rFonts w:ascii="Aptos Display" w:hAnsi="Aptos Display"/>
        </w:rPr>
        <w:t>[16]</w:t>
      </w:r>
      <w:r w:rsidRPr="002441C6">
        <w:rPr>
          <w:rFonts w:asciiTheme="majorHAnsi" w:hAnsiTheme="majorHAnsi" w:cs="Calibri"/>
          <w:lang w:val="en-US"/>
        </w:rPr>
        <w:t xml:space="preserve">, models including 1 to </w:t>
      </w:r>
      <w:r w:rsidR="008E6B23" w:rsidRPr="002441C6">
        <w:rPr>
          <w:rFonts w:asciiTheme="majorHAnsi" w:hAnsiTheme="majorHAnsi" w:cs="Calibri"/>
          <w:lang w:val="en-US"/>
        </w:rPr>
        <w:t>14</w:t>
      </w:r>
      <w:r w:rsidRPr="002441C6">
        <w:rPr>
          <w:rFonts w:asciiTheme="majorHAnsi" w:hAnsiTheme="majorHAnsi" w:cs="Calibri"/>
          <w:lang w:val="en-US"/>
        </w:rPr>
        <w:t xml:space="preserve"> factors were arranged in a hierarchical structure, with paths linking across levels representing large associations (Fig. </w:t>
      </w:r>
      <w:r w:rsidR="005A2956" w:rsidRPr="002441C6">
        <w:rPr>
          <w:rFonts w:asciiTheme="majorHAnsi" w:hAnsiTheme="majorHAnsi" w:cs="Calibri"/>
          <w:lang w:val="en-US"/>
        </w:rPr>
        <w:t>S</w:t>
      </w:r>
      <w:r w:rsidRPr="002441C6">
        <w:rPr>
          <w:rFonts w:asciiTheme="majorHAnsi" w:hAnsiTheme="majorHAnsi" w:cs="Calibri"/>
          <w:lang w:val="en-US"/>
        </w:rPr>
        <w:t xml:space="preserve">1). </w:t>
      </w:r>
      <w:r w:rsidR="008E6B23" w:rsidRPr="002441C6">
        <w:rPr>
          <w:rFonts w:asciiTheme="majorHAnsi" w:hAnsiTheme="majorHAnsi" w:cs="Calibri"/>
          <w:lang w:val="en-US"/>
        </w:rPr>
        <w:t>T</w:t>
      </w:r>
      <w:r w:rsidRPr="002441C6">
        <w:rPr>
          <w:rFonts w:asciiTheme="majorHAnsi" w:hAnsiTheme="majorHAnsi" w:cs="Calibri"/>
          <w:lang w:val="en-US"/>
        </w:rPr>
        <w:t xml:space="preserve">he </w:t>
      </w:r>
      <w:r w:rsidR="00E161DD" w:rsidRPr="002441C6">
        <w:rPr>
          <w:rFonts w:asciiTheme="majorHAnsi" w:hAnsiTheme="majorHAnsi" w:cs="Calibri"/>
          <w:lang w:val="en-US"/>
        </w:rPr>
        <w:t xml:space="preserve">general factor (p factor) </w:t>
      </w:r>
      <w:r w:rsidR="00E161DD">
        <w:rPr>
          <w:rFonts w:asciiTheme="majorHAnsi" w:hAnsiTheme="majorHAnsi" w:cs="Calibri"/>
          <w:lang w:val="en-US"/>
        </w:rPr>
        <w:t xml:space="preserve">included in the </w:t>
      </w:r>
      <w:r w:rsidR="00B627AE" w:rsidRPr="002441C6">
        <w:rPr>
          <w:rFonts w:asciiTheme="majorHAnsi" w:hAnsiTheme="majorHAnsi" w:cs="Calibri"/>
          <w:lang w:val="en-US"/>
        </w:rPr>
        <w:t xml:space="preserve">1-factor solution </w:t>
      </w:r>
      <w:r w:rsidR="003133D0" w:rsidRPr="002441C6">
        <w:rPr>
          <w:rFonts w:asciiTheme="majorHAnsi" w:hAnsiTheme="majorHAnsi" w:cs="Calibri"/>
          <w:lang w:val="en-US"/>
        </w:rPr>
        <w:t>split into</w:t>
      </w:r>
      <w:r w:rsidR="00B627AE" w:rsidRPr="002441C6">
        <w:rPr>
          <w:rFonts w:asciiTheme="majorHAnsi" w:hAnsiTheme="majorHAnsi" w:cs="Calibri"/>
          <w:lang w:val="en-US"/>
        </w:rPr>
        <w:t xml:space="preserve"> </w:t>
      </w:r>
      <w:r w:rsidR="00DE24EE" w:rsidRPr="002441C6">
        <w:rPr>
          <w:rFonts w:asciiTheme="majorHAnsi" w:hAnsiTheme="majorHAnsi" w:cs="Calibri"/>
          <w:lang w:val="en-US"/>
        </w:rPr>
        <w:t>an</w:t>
      </w:r>
      <w:r w:rsidR="00B627AE" w:rsidRPr="002441C6">
        <w:rPr>
          <w:rFonts w:asciiTheme="majorHAnsi" w:hAnsiTheme="majorHAnsi" w:cs="Calibri"/>
          <w:lang w:val="en-US"/>
        </w:rPr>
        <w:t xml:space="preserve"> </w:t>
      </w:r>
      <w:r w:rsidRPr="002441C6">
        <w:rPr>
          <w:rFonts w:asciiTheme="majorHAnsi" w:hAnsiTheme="majorHAnsi" w:cs="Calibri"/>
          <w:lang w:val="en-US"/>
        </w:rPr>
        <w:t>internalizing</w:t>
      </w:r>
      <w:r w:rsidR="008E6B23" w:rsidRPr="002441C6">
        <w:rPr>
          <w:rFonts w:asciiTheme="majorHAnsi" w:hAnsiTheme="majorHAnsi" w:cs="Calibri"/>
          <w:lang w:val="en-US"/>
        </w:rPr>
        <w:t>/</w:t>
      </w:r>
      <w:r w:rsidR="00974E50" w:rsidRPr="002441C6">
        <w:rPr>
          <w:rFonts w:asciiTheme="majorHAnsi" w:hAnsiTheme="majorHAnsi" w:cs="Calibri"/>
          <w:lang w:val="en-US"/>
        </w:rPr>
        <w:t xml:space="preserve">thought </w:t>
      </w:r>
      <w:r w:rsidR="008E6B23" w:rsidRPr="002441C6">
        <w:rPr>
          <w:rFonts w:asciiTheme="majorHAnsi" w:hAnsiTheme="majorHAnsi" w:cs="Calibri"/>
          <w:lang w:val="en-US"/>
        </w:rPr>
        <w:t>factor,</w:t>
      </w:r>
      <w:r w:rsidR="00974E50" w:rsidRPr="002441C6">
        <w:rPr>
          <w:rFonts w:asciiTheme="majorHAnsi" w:hAnsiTheme="majorHAnsi" w:cs="Calibri"/>
          <w:lang w:val="en-US"/>
        </w:rPr>
        <w:t xml:space="preserve"> primarily</w:t>
      </w:r>
      <w:r w:rsidR="008E6B23" w:rsidRPr="002441C6">
        <w:rPr>
          <w:rFonts w:asciiTheme="majorHAnsi" w:hAnsiTheme="majorHAnsi" w:cs="Calibri"/>
          <w:lang w:val="en-US"/>
        </w:rPr>
        <w:t xml:space="preserve"> </w:t>
      </w:r>
      <w:r w:rsidR="00B627AE" w:rsidRPr="002441C6">
        <w:rPr>
          <w:rFonts w:asciiTheme="majorHAnsi" w:hAnsiTheme="majorHAnsi" w:cs="Calibri"/>
          <w:lang w:val="en-US"/>
        </w:rPr>
        <w:t>capturing</w:t>
      </w:r>
      <w:r w:rsidR="008E6B23" w:rsidRPr="002441C6">
        <w:rPr>
          <w:rFonts w:asciiTheme="majorHAnsi" w:hAnsiTheme="majorHAnsi" w:cs="Calibri"/>
          <w:lang w:val="en-US"/>
        </w:rPr>
        <w:t xml:space="preserve"> internalizing problems </w:t>
      </w:r>
      <w:r w:rsidR="0038634D" w:rsidRPr="002441C6">
        <w:rPr>
          <w:rFonts w:asciiTheme="majorHAnsi" w:hAnsiTheme="majorHAnsi" w:cs="Calibri"/>
          <w:lang w:val="en-US"/>
        </w:rPr>
        <w:t xml:space="preserve">(e.g., anxiety and depression) </w:t>
      </w:r>
      <w:r w:rsidR="008E6B23" w:rsidRPr="002441C6">
        <w:rPr>
          <w:rFonts w:asciiTheme="majorHAnsi" w:hAnsiTheme="majorHAnsi" w:cs="Calibri"/>
          <w:lang w:val="en-US"/>
        </w:rPr>
        <w:t>and</w:t>
      </w:r>
      <w:r w:rsidR="0038634D" w:rsidRPr="002441C6">
        <w:rPr>
          <w:rFonts w:asciiTheme="majorHAnsi" w:hAnsiTheme="majorHAnsi" w:cs="Calibri"/>
          <w:lang w:val="en-US"/>
        </w:rPr>
        <w:t xml:space="preserve"> psychotic symptoms</w:t>
      </w:r>
      <w:r w:rsidR="000E08EF" w:rsidRPr="002441C6">
        <w:rPr>
          <w:rFonts w:asciiTheme="majorHAnsi" w:hAnsiTheme="majorHAnsi" w:cs="Calibri"/>
          <w:lang w:val="en-US"/>
        </w:rPr>
        <w:t xml:space="preserve"> (e.g., paranoid ideation</w:t>
      </w:r>
      <w:r w:rsidR="000749D9" w:rsidRPr="002441C6">
        <w:rPr>
          <w:rFonts w:asciiTheme="majorHAnsi" w:hAnsiTheme="majorHAnsi" w:cs="Calibri"/>
          <w:lang w:val="en-US"/>
        </w:rPr>
        <w:t>, hallucinations</w:t>
      </w:r>
      <w:r w:rsidR="0038634D" w:rsidRPr="002441C6">
        <w:rPr>
          <w:rFonts w:asciiTheme="majorHAnsi" w:hAnsiTheme="majorHAnsi" w:cs="Calibri"/>
          <w:lang w:val="en-US"/>
        </w:rPr>
        <w:t>)</w:t>
      </w:r>
      <w:r w:rsidR="003133D0" w:rsidRPr="002441C6">
        <w:rPr>
          <w:rFonts w:asciiTheme="majorHAnsi" w:hAnsiTheme="majorHAnsi" w:cs="Calibri"/>
          <w:lang w:val="en-US"/>
        </w:rPr>
        <w:t>,</w:t>
      </w:r>
      <w:r w:rsidR="00F6408A" w:rsidRPr="002441C6">
        <w:rPr>
          <w:rFonts w:asciiTheme="majorHAnsi" w:hAnsiTheme="majorHAnsi" w:cs="Calibri"/>
          <w:lang w:val="en-US"/>
        </w:rPr>
        <w:t xml:space="preserve"> and a </w:t>
      </w:r>
      <w:r w:rsidR="000E08EF" w:rsidRPr="002441C6">
        <w:rPr>
          <w:rFonts w:asciiTheme="majorHAnsi" w:hAnsiTheme="majorHAnsi" w:cs="Calibri"/>
          <w:lang w:val="en-US"/>
        </w:rPr>
        <w:t xml:space="preserve">broad </w:t>
      </w:r>
      <w:r w:rsidR="00F6408A" w:rsidRPr="002441C6">
        <w:rPr>
          <w:rFonts w:asciiTheme="majorHAnsi" w:hAnsiTheme="majorHAnsi" w:cs="Calibri"/>
          <w:lang w:val="en-US"/>
        </w:rPr>
        <w:t xml:space="preserve">neurodevelopmental factor, </w:t>
      </w:r>
      <w:r w:rsidR="00B627AE" w:rsidRPr="002441C6">
        <w:rPr>
          <w:rFonts w:asciiTheme="majorHAnsi" w:hAnsiTheme="majorHAnsi" w:cs="Calibri"/>
          <w:lang w:val="en-US"/>
        </w:rPr>
        <w:t>capturing</w:t>
      </w:r>
      <w:r w:rsidR="00F6408A" w:rsidRPr="002441C6">
        <w:rPr>
          <w:rFonts w:asciiTheme="majorHAnsi" w:hAnsiTheme="majorHAnsi" w:cs="Calibri"/>
          <w:lang w:val="en-US"/>
        </w:rPr>
        <w:t xml:space="preserve"> </w:t>
      </w:r>
      <w:r w:rsidR="00DE15FB" w:rsidRPr="002441C6">
        <w:rPr>
          <w:rFonts w:asciiTheme="majorHAnsi" w:hAnsiTheme="majorHAnsi" w:cs="Calibri"/>
          <w:lang w:val="en-US"/>
        </w:rPr>
        <w:t>attention difficulties</w:t>
      </w:r>
      <w:r w:rsidR="006231EC" w:rsidRPr="002441C6">
        <w:rPr>
          <w:rFonts w:asciiTheme="majorHAnsi" w:hAnsiTheme="majorHAnsi" w:cs="Calibri"/>
          <w:lang w:val="en-US"/>
        </w:rPr>
        <w:t xml:space="preserve">, </w:t>
      </w:r>
      <w:r w:rsidR="00AE39C8" w:rsidRPr="002441C6">
        <w:rPr>
          <w:rFonts w:asciiTheme="majorHAnsi" w:hAnsiTheme="majorHAnsi" w:cs="Calibri"/>
          <w:lang w:val="en-US"/>
        </w:rPr>
        <w:t>hyperactivity</w:t>
      </w:r>
      <w:r w:rsidR="006231EC" w:rsidRPr="002441C6">
        <w:rPr>
          <w:rFonts w:asciiTheme="majorHAnsi" w:hAnsiTheme="majorHAnsi" w:cs="Calibri"/>
          <w:lang w:val="en-US"/>
        </w:rPr>
        <w:t xml:space="preserve">, </w:t>
      </w:r>
      <w:r w:rsidR="00BE73F4" w:rsidRPr="002441C6">
        <w:rPr>
          <w:rFonts w:asciiTheme="majorHAnsi" w:hAnsiTheme="majorHAnsi" w:cs="Calibri"/>
          <w:lang w:val="en-US"/>
        </w:rPr>
        <w:t>social difficulties, anhedonia</w:t>
      </w:r>
      <w:r w:rsidR="006D78CD" w:rsidRPr="002441C6">
        <w:rPr>
          <w:rFonts w:asciiTheme="majorHAnsi" w:hAnsiTheme="majorHAnsi" w:cs="Calibri"/>
          <w:lang w:val="en-US"/>
        </w:rPr>
        <w:t xml:space="preserve">, </w:t>
      </w:r>
      <w:r w:rsidR="000E08EF" w:rsidRPr="002441C6">
        <w:rPr>
          <w:rFonts w:asciiTheme="majorHAnsi" w:hAnsiTheme="majorHAnsi" w:cs="Calibri"/>
          <w:lang w:val="en-US"/>
        </w:rPr>
        <w:t>and low prosociality</w:t>
      </w:r>
      <w:r w:rsidR="00E161DD">
        <w:rPr>
          <w:rFonts w:asciiTheme="majorHAnsi" w:hAnsiTheme="majorHAnsi" w:cs="Calibri"/>
          <w:lang w:val="en-US"/>
        </w:rPr>
        <w:t xml:space="preserve"> </w:t>
      </w:r>
      <w:r w:rsidR="00E161DD" w:rsidRPr="002441C6">
        <w:rPr>
          <w:rFonts w:asciiTheme="majorHAnsi" w:hAnsiTheme="majorHAnsi" w:cs="Calibri"/>
          <w:lang w:val="en-US"/>
        </w:rPr>
        <w:t>in the 2-factor solution</w:t>
      </w:r>
      <w:r w:rsidR="00F6408A" w:rsidRPr="002441C6">
        <w:rPr>
          <w:rFonts w:asciiTheme="majorHAnsi" w:hAnsiTheme="majorHAnsi" w:cs="Calibri"/>
          <w:lang w:val="en-US"/>
        </w:rPr>
        <w:t>.</w:t>
      </w:r>
      <w:r w:rsidR="004B646E" w:rsidRPr="002441C6">
        <w:rPr>
          <w:rFonts w:asciiTheme="majorHAnsi" w:hAnsiTheme="majorHAnsi" w:cs="Calibri"/>
          <w:lang w:val="en-US"/>
        </w:rPr>
        <w:t xml:space="preserve"> </w:t>
      </w:r>
      <w:r w:rsidR="003133D0" w:rsidRPr="002441C6">
        <w:rPr>
          <w:rFonts w:asciiTheme="majorHAnsi" w:hAnsiTheme="majorHAnsi" w:cs="Calibri"/>
          <w:lang w:val="en-US"/>
        </w:rPr>
        <w:t>In t</w:t>
      </w:r>
      <w:r w:rsidR="004B646E" w:rsidRPr="002441C6">
        <w:rPr>
          <w:rFonts w:asciiTheme="majorHAnsi" w:hAnsiTheme="majorHAnsi" w:cs="Calibri"/>
          <w:lang w:val="en-US"/>
        </w:rPr>
        <w:t>he 3-factor solution</w:t>
      </w:r>
      <w:r w:rsidR="003133D0" w:rsidRPr="002441C6">
        <w:rPr>
          <w:rFonts w:asciiTheme="majorHAnsi" w:hAnsiTheme="majorHAnsi" w:cs="Calibri"/>
          <w:lang w:val="en-US"/>
        </w:rPr>
        <w:t>, the internalizing/thought factor split into</w:t>
      </w:r>
      <w:r w:rsidR="00B627AE" w:rsidRPr="002441C6">
        <w:rPr>
          <w:rFonts w:asciiTheme="majorHAnsi" w:hAnsiTheme="majorHAnsi" w:cs="Calibri"/>
          <w:lang w:val="en-US"/>
        </w:rPr>
        <w:t xml:space="preserve"> a </w:t>
      </w:r>
      <w:r w:rsidR="00FE2EEB" w:rsidRPr="002441C6">
        <w:rPr>
          <w:rFonts w:asciiTheme="majorHAnsi" w:hAnsiTheme="majorHAnsi" w:cs="Calibri"/>
          <w:lang w:val="en-US"/>
        </w:rPr>
        <w:t>more defined internalizing factor</w:t>
      </w:r>
      <w:r w:rsidR="001F2A92" w:rsidRPr="002441C6">
        <w:rPr>
          <w:rFonts w:asciiTheme="majorHAnsi" w:hAnsiTheme="majorHAnsi" w:cs="Calibri"/>
          <w:lang w:val="en-US"/>
        </w:rPr>
        <w:t xml:space="preserve">, primarily capturing anxiety and depression problems, </w:t>
      </w:r>
      <w:r w:rsidR="003133D0" w:rsidRPr="002441C6">
        <w:rPr>
          <w:rFonts w:asciiTheme="majorHAnsi" w:hAnsiTheme="majorHAnsi" w:cs="Calibri"/>
          <w:lang w:val="en-US"/>
        </w:rPr>
        <w:t>and</w:t>
      </w:r>
      <w:r w:rsidR="005C00B5" w:rsidRPr="002441C6">
        <w:rPr>
          <w:rFonts w:asciiTheme="majorHAnsi" w:hAnsiTheme="majorHAnsi" w:cs="Calibri"/>
          <w:lang w:val="en-US"/>
        </w:rPr>
        <w:t xml:space="preserve"> </w:t>
      </w:r>
      <w:r w:rsidR="00FE2EEB" w:rsidRPr="002441C6">
        <w:rPr>
          <w:rFonts w:asciiTheme="majorHAnsi" w:hAnsiTheme="majorHAnsi" w:cs="Calibri"/>
          <w:lang w:val="en-US"/>
        </w:rPr>
        <w:t xml:space="preserve">a </w:t>
      </w:r>
      <w:r w:rsidR="00974E50" w:rsidRPr="002441C6">
        <w:rPr>
          <w:rFonts w:asciiTheme="majorHAnsi" w:hAnsiTheme="majorHAnsi" w:cs="Calibri"/>
          <w:lang w:val="en-US"/>
        </w:rPr>
        <w:t xml:space="preserve">thought/externalizing factor, capturing psychotic symptoms </w:t>
      </w:r>
      <w:r w:rsidR="007A4004" w:rsidRPr="002441C6">
        <w:rPr>
          <w:rFonts w:asciiTheme="majorHAnsi" w:hAnsiTheme="majorHAnsi" w:cs="Calibri"/>
          <w:lang w:val="en-US"/>
        </w:rPr>
        <w:t>as well as</w:t>
      </w:r>
      <w:r w:rsidR="00974E50" w:rsidRPr="002441C6">
        <w:rPr>
          <w:rFonts w:asciiTheme="majorHAnsi" w:hAnsiTheme="majorHAnsi" w:cs="Calibri"/>
          <w:lang w:val="en-US"/>
        </w:rPr>
        <w:t xml:space="preserve"> antisocial behaviors. </w:t>
      </w:r>
      <w:r w:rsidR="003133D0" w:rsidRPr="002441C6">
        <w:rPr>
          <w:rFonts w:asciiTheme="majorHAnsi" w:hAnsiTheme="majorHAnsi" w:cs="Calibri"/>
          <w:lang w:val="en-US"/>
        </w:rPr>
        <w:t>In t</w:t>
      </w:r>
      <w:r w:rsidR="009F375E" w:rsidRPr="002441C6">
        <w:rPr>
          <w:rFonts w:asciiTheme="majorHAnsi" w:hAnsiTheme="majorHAnsi" w:cs="Calibri"/>
          <w:lang w:val="en-US"/>
        </w:rPr>
        <w:t xml:space="preserve">he </w:t>
      </w:r>
      <w:r w:rsidR="007A4004" w:rsidRPr="002441C6">
        <w:rPr>
          <w:rFonts w:asciiTheme="majorHAnsi" w:hAnsiTheme="majorHAnsi" w:cs="Calibri"/>
          <w:lang w:val="en-US"/>
        </w:rPr>
        <w:t>4-</w:t>
      </w:r>
      <w:r w:rsidR="009F375E" w:rsidRPr="002441C6">
        <w:rPr>
          <w:rFonts w:asciiTheme="majorHAnsi" w:hAnsiTheme="majorHAnsi" w:cs="Calibri"/>
          <w:lang w:val="en-US"/>
        </w:rPr>
        <w:t>factor structure</w:t>
      </w:r>
      <w:r w:rsidR="003133D0" w:rsidRPr="002441C6">
        <w:rPr>
          <w:rFonts w:asciiTheme="majorHAnsi" w:hAnsiTheme="majorHAnsi" w:cs="Calibri"/>
          <w:lang w:val="en-US"/>
        </w:rPr>
        <w:t>, the</w:t>
      </w:r>
      <w:r w:rsidR="001F2A92" w:rsidRPr="002441C6">
        <w:rPr>
          <w:rFonts w:asciiTheme="majorHAnsi" w:hAnsiTheme="majorHAnsi" w:cs="Calibri"/>
          <w:lang w:val="en-US"/>
        </w:rPr>
        <w:t xml:space="preserve"> </w:t>
      </w:r>
      <w:r w:rsidR="008A7199" w:rsidRPr="002441C6">
        <w:rPr>
          <w:rFonts w:asciiTheme="majorHAnsi" w:hAnsiTheme="majorHAnsi" w:cs="Calibri"/>
          <w:lang w:val="en-US"/>
        </w:rPr>
        <w:t xml:space="preserve">psychotic symptoms in the </w:t>
      </w:r>
      <w:r w:rsidR="003133D0" w:rsidRPr="002441C6">
        <w:rPr>
          <w:rFonts w:asciiTheme="majorHAnsi" w:hAnsiTheme="majorHAnsi" w:cs="Calibri"/>
          <w:lang w:val="en-US"/>
        </w:rPr>
        <w:t>thought/externalizing factor</w:t>
      </w:r>
      <w:r w:rsidR="005C00B5" w:rsidRPr="002441C6">
        <w:rPr>
          <w:rFonts w:asciiTheme="majorHAnsi" w:hAnsiTheme="majorHAnsi" w:cs="Calibri"/>
          <w:lang w:val="en-US"/>
        </w:rPr>
        <w:t xml:space="preserve"> </w:t>
      </w:r>
      <w:r w:rsidR="008A7199" w:rsidRPr="002441C6">
        <w:rPr>
          <w:rFonts w:asciiTheme="majorHAnsi" w:hAnsiTheme="majorHAnsi" w:cs="Calibri"/>
          <w:lang w:val="en-US"/>
        </w:rPr>
        <w:t xml:space="preserve">migrated into a more defined </w:t>
      </w:r>
      <w:r w:rsidR="00322774" w:rsidRPr="002441C6">
        <w:rPr>
          <w:rFonts w:asciiTheme="majorHAnsi" w:hAnsiTheme="majorHAnsi" w:cs="Calibri"/>
          <w:lang w:val="en-US"/>
        </w:rPr>
        <w:t>thought factor</w:t>
      </w:r>
      <w:r w:rsidR="006D78CD" w:rsidRPr="002441C6">
        <w:rPr>
          <w:rFonts w:asciiTheme="majorHAnsi" w:hAnsiTheme="majorHAnsi" w:cs="Calibri"/>
          <w:lang w:val="en-US"/>
        </w:rPr>
        <w:t xml:space="preserve">, encompassing paranoid ideation, grandiosity, hallucinations, </w:t>
      </w:r>
      <w:r w:rsidR="006E6A86" w:rsidRPr="002441C6">
        <w:rPr>
          <w:rFonts w:asciiTheme="majorHAnsi" w:hAnsiTheme="majorHAnsi" w:cs="Calibri"/>
          <w:lang w:val="en-US"/>
        </w:rPr>
        <w:t>and RRBI (e.g., fascination for numbers/patterns)</w:t>
      </w:r>
      <w:r w:rsidR="008A7199" w:rsidRPr="002441C6">
        <w:rPr>
          <w:rFonts w:asciiTheme="majorHAnsi" w:hAnsiTheme="majorHAnsi" w:cs="Calibri"/>
          <w:lang w:val="en-US"/>
        </w:rPr>
        <w:t xml:space="preserve">. The remaining externalizing content in the thought/externalizing factor </w:t>
      </w:r>
      <w:r w:rsidR="00B949BC" w:rsidRPr="002441C6">
        <w:rPr>
          <w:rFonts w:asciiTheme="majorHAnsi" w:hAnsiTheme="majorHAnsi" w:cs="Calibri"/>
          <w:lang w:val="en-US"/>
        </w:rPr>
        <w:t xml:space="preserve">merged with inattentive/hyperactive features from the neurodevelopmental factor from the 3-factor structure into </w:t>
      </w:r>
      <w:r w:rsidR="008A7199" w:rsidRPr="002441C6">
        <w:rPr>
          <w:rFonts w:asciiTheme="majorHAnsi" w:hAnsiTheme="majorHAnsi" w:cs="Calibri"/>
          <w:lang w:val="en-US"/>
        </w:rPr>
        <w:t>an inattention/dysregulation factor</w:t>
      </w:r>
      <w:r w:rsidR="00B949BC" w:rsidRPr="002441C6">
        <w:rPr>
          <w:rFonts w:asciiTheme="majorHAnsi" w:hAnsiTheme="majorHAnsi" w:cs="Calibri"/>
          <w:lang w:val="en-US"/>
        </w:rPr>
        <w:t xml:space="preserve">, capturing inattention and behavioral dysregulation (e.g., </w:t>
      </w:r>
      <w:r w:rsidR="00AE39C8" w:rsidRPr="002441C6">
        <w:rPr>
          <w:rFonts w:asciiTheme="majorHAnsi" w:hAnsiTheme="majorHAnsi" w:cs="Calibri"/>
          <w:lang w:val="en-US"/>
        </w:rPr>
        <w:t>hyperactivity-impulsivity</w:t>
      </w:r>
      <w:r w:rsidR="00B949BC" w:rsidRPr="002441C6">
        <w:rPr>
          <w:rFonts w:asciiTheme="majorHAnsi" w:hAnsiTheme="majorHAnsi" w:cs="Calibri"/>
          <w:lang w:val="en-US"/>
        </w:rPr>
        <w:t>, antisocial behavior)</w:t>
      </w:r>
      <w:r w:rsidR="008A7199" w:rsidRPr="002441C6">
        <w:rPr>
          <w:rFonts w:asciiTheme="majorHAnsi" w:hAnsiTheme="majorHAnsi" w:cs="Calibri"/>
          <w:lang w:val="en-US"/>
        </w:rPr>
        <w:t xml:space="preserve">. </w:t>
      </w:r>
      <w:r w:rsidR="00B949BC" w:rsidRPr="002441C6">
        <w:rPr>
          <w:rFonts w:asciiTheme="majorHAnsi" w:hAnsiTheme="majorHAnsi" w:cs="Calibri"/>
          <w:lang w:val="en-US"/>
        </w:rPr>
        <w:t xml:space="preserve">The remaining content in the </w:t>
      </w:r>
      <w:r w:rsidR="005E3C95" w:rsidRPr="002441C6">
        <w:rPr>
          <w:rFonts w:asciiTheme="majorHAnsi" w:hAnsiTheme="majorHAnsi" w:cs="Calibri"/>
          <w:lang w:val="en-US"/>
        </w:rPr>
        <w:t xml:space="preserve">neurodevelopmental </w:t>
      </w:r>
      <w:r w:rsidR="00B949BC" w:rsidRPr="002441C6">
        <w:rPr>
          <w:rFonts w:asciiTheme="majorHAnsi" w:hAnsiTheme="majorHAnsi" w:cs="Calibri"/>
          <w:lang w:val="en-US"/>
        </w:rPr>
        <w:t xml:space="preserve">factor </w:t>
      </w:r>
      <w:r w:rsidR="005E3C95">
        <w:rPr>
          <w:rFonts w:asciiTheme="majorHAnsi" w:hAnsiTheme="majorHAnsi" w:cs="Calibri"/>
          <w:lang w:val="en-US"/>
        </w:rPr>
        <w:t xml:space="preserve">from the 3-factor solution </w:t>
      </w:r>
      <w:r w:rsidR="00B949BC" w:rsidRPr="002441C6">
        <w:rPr>
          <w:rFonts w:asciiTheme="majorHAnsi" w:hAnsiTheme="majorHAnsi" w:cs="Calibri"/>
          <w:lang w:val="en-US"/>
        </w:rPr>
        <w:t xml:space="preserve">formed </w:t>
      </w:r>
      <w:r w:rsidR="0026525F" w:rsidRPr="002441C6">
        <w:rPr>
          <w:rFonts w:asciiTheme="majorHAnsi" w:hAnsiTheme="majorHAnsi" w:cs="Calibri"/>
          <w:lang w:val="en-US"/>
        </w:rPr>
        <w:t>a</w:t>
      </w:r>
      <w:r w:rsidR="00322774" w:rsidRPr="002441C6">
        <w:rPr>
          <w:rFonts w:asciiTheme="majorHAnsi" w:hAnsiTheme="majorHAnsi" w:cs="Calibri"/>
          <w:lang w:val="en-US"/>
        </w:rPr>
        <w:t xml:space="preserve"> </w:t>
      </w:r>
      <w:r w:rsidR="007A4004" w:rsidRPr="002441C6">
        <w:rPr>
          <w:rFonts w:asciiTheme="majorHAnsi" w:hAnsiTheme="majorHAnsi" w:cs="Calibri"/>
          <w:lang w:val="en-US"/>
        </w:rPr>
        <w:t>detachment factor</w:t>
      </w:r>
      <w:r w:rsidR="005E3C95">
        <w:rPr>
          <w:rFonts w:asciiTheme="majorHAnsi" w:hAnsiTheme="majorHAnsi" w:cs="Calibri"/>
          <w:lang w:val="en-US"/>
        </w:rPr>
        <w:t xml:space="preserve"> in the 4-factor solution</w:t>
      </w:r>
      <w:r w:rsidR="007A4004" w:rsidRPr="002441C6">
        <w:rPr>
          <w:rFonts w:asciiTheme="majorHAnsi" w:hAnsiTheme="majorHAnsi" w:cs="Calibri"/>
          <w:lang w:val="en-US"/>
        </w:rPr>
        <w:t xml:space="preserve">, capturing features of </w:t>
      </w:r>
      <w:r w:rsidR="00510449" w:rsidRPr="002441C6">
        <w:rPr>
          <w:rFonts w:asciiTheme="majorHAnsi" w:hAnsiTheme="majorHAnsi" w:cs="Calibri"/>
          <w:lang w:val="en-US"/>
        </w:rPr>
        <w:t xml:space="preserve">anhedonia, apathy, emotional detachment, </w:t>
      </w:r>
      <w:r w:rsidR="007A4004" w:rsidRPr="002441C6">
        <w:rPr>
          <w:rFonts w:asciiTheme="majorHAnsi" w:hAnsiTheme="majorHAnsi" w:cs="Calibri"/>
          <w:lang w:val="en-US"/>
        </w:rPr>
        <w:t>s</w:t>
      </w:r>
      <w:r w:rsidR="00DE24EE" w:rsidRPr="002441C6">
        <w:rPr>
          <w:rFonts w:asciiTheme="majorHAnsi" w:hAnsiTheme="majorHAnsi" w:cs="Calibri"/>
          <w:lang w:val="en-US"/>
        </w:rPr>
        <w:t>ocial withdrawal</w:t>
      </w:r>
      <w:r w:rsidR="00391D3E">
        <w:rPr>
          <w:rFonts w:asciiTheme="majorHAnsi" w:hAnsiTheme="majorHAnsi" w:cs="Calibri"/>
          <w:lang w:val="en-US"/>
        </w:rPr>
        <w:t>,</w:t>
      </w:r>
      <w:r w:rsidR="00510449" w:rsidRPr="002441C6">
        <w:rPr>
          <w:rFonts w:asciiTheme="majorHAnsi" w:hAnsiTheme="majorHAnsi" w:cs="Calibri"/>
          <w:lang w:val="en-US"/>
        </w:rPr>
        <w:t xml:space="preserve"> and</w:t>
      </w:r>
      <w:r w:rsidR="00DE24EE" w:rsidRPr="002441C6">
        <w:rPr>
          <w:rFonts w:asciiTheme="majorHAnsi" w:hAnsiTheme="majorHAnsi" w:cs="Calibri"/>
          <w:lang w:val="en-US"/>
        </w:rPr>
        <w:t xml:space="preserve"> difficulties in social occasions</w:t>
      </w:r>
      <w:r w:rsidR="00DA5555" w:rsidRPr="002441C6">
        <w:rPr>
          <w:rFonts w:asciiTheme="majorHAnsi" w:hAnsiTheme="majorHAnsi" w:cs="Calibri"/>
          <w:lang w:val="en-US"/>
        </w:rPr>
        <w:t>.</w:t>
      </w:r>
      <w:r w:rsidR="00510449" w:rsidRPr="002441C6">
        <w:rPr>
          <w:rFonts w:asciiTheme="majorHAnsi" w:hAnsiTheme="majorHAnsi" w:cs="Calibri"/>
          <w:lang w:val="en-US"/>
        </w:rPr>
        <w:t xml:space="preserve"> </w:t>
      </w:r>
      <w:r w:rsidR="00DA5555" w:rsidRPr="002441C6">
        <w:rPr>
          <w:rFonts w:asciiTheme="majorHAnsi" w:hAnsiTheme="majorHAnsi" w:cs="Calibri"/>
          <w:lang w:val="en-US"/>
        </w:rPr>
        <w:t>Th</w:t>
      </w:r>
      <w:r w:rsidR="006E6A86" w:rsidRPr="002441C6">
        <w:rPr>
          <w:rFonts w:asciiTheme="majorHAnsi" w:hAnsiTheme="majorHAnsi" w:cs="Calibri"/>
          <w:lang w:val="en-US"/>
        </w:rPr>
        <w:t>is</w:t>
      </w:r>
      <w:r w:rsidR="00DA5555" w:rsidRPr="002441C6">
        <w:rPr>
          <w:rFonts w:asciiTheme="majorHAnsi" w:hAnsiTheme="majorHAnsi" w:cs="Calibri"/>
          <w:lang w:val="en-US"/>
        </w:rPr>
        <w:t xml:space="preserve"> detachment factor also include</w:t>
      </w:r>
      <w:r w:rsidR="001F2A92" w:rsidRPr="002441C6">
        <w:rPr>
          <w:rFonts w:asciiTheme="majorHAnsi" w:hAnsiTheme="majorHAnsi" w:cs="Calibri"/>
          <w:lang w:val="en-US"/>
        </w:rPr>
        <w:t>d</w:t>
      </w:r>
      <w:r w:rsidR="00DA5555" w:rsidRPr="002441C6">
        <w:rPr>
          <w:rFonts w:asciiTheme="majorHAnsi" w:hAnsiTheme="majorHAnsi" w:cs="Calibri"/>
          <w:lang w:val="en-US"/>
        </w:rPr>
        <w:t xml:space="preserve"> contributions from the internalizing factor</w:t>
      </w:r>
      <w:r w:rsidR="00B949BC" w:rsidRPr="002441C6">
        <w:rPr>
          <w:rFonts w:asciiTheme="majorHAnsi" w:hAnsiTheme="majorHAnsi" w:cs="Calibri"/>
          <w:lang w:val="en-US"/>
        </w:rPr>
        <w:t xml:space="preserve"> from the 3-factor structure</w:t>
      </w:r>
      <w:r w:rsidR="00CC01C5" w:rsidRPr="002441C6">
        <w:rPr>
          <w:rFonts w:asciiTheme="majorHAnsi" w:hAnsiTheme="majorHAnsi" w:cs="Calibri"/>
          <w:lang w:val="en-US"/>
        </w:rPr>
        <w:t>.</w:t>
      </w:r>
      <w:r w:rsidR="005A2956" w:rsidRPr="002441C6">
        <w:rPr>
          <w:rFonts w:asciiTheme="majorHAnsi" w:hAnsiTheme="majorHAnsi" w:cs="Calibri"/>
          <w:lang w:val="en-US"/>
        </w:rPr>
        <w:t xml:space="preserve"> </w:t>
      </w:r>
      <w:r w:rsidR="001F2A92" w:rsidRPr="002441C6">
        <w:rPr>
          <w:rFonts w:asciiTheme="majorHAnsi" w:hAnsiTheme="majorHAnsi" w:cs="Calibri"/>
          <w:lang w:val="en-US"/>
        </w:rPr>
        <w:t xml:space="preserve">In the 5-factor </w:t>
      </w:r>
      <w:r w:rsidR="0055125D" w:rsidRPr="002441C6">
        <w:rPr>
          <w:rFonts w:asciiTheme="majorHAnsi" w:hAnsiTheme="majorHAnsi" w:cs="Calibri"/>
          <w:lang w:val="en-US"/>
        </w:rPr>
        <w:t xml:space="preserve">structure, the thought factor split </w:t>
      </w:r>
      <w:r w:rsidR="00ED71D7" w:rsidRPr="002441C6">
        <w:rPr>
          <w:rFonts w:asciiTheme="majorHAnsi" w:hAnsiTheme="majorHAnsi" w:cs="Calibri"/>
          <w:lang w:val="en-US"/>
        </w:rPr>
        <w:t>into paranoia</w:t>
      </w:r>
      <w:r w:rsidR="0055125D" w:rsidRPr="002441C6">
        <w:rPr>
          <w:rFonts w:asciiTheme="majorHAnsi" w:hAnsiTheme="majorHAnsi" w:cs="Calibri"/>
          <w:lang w:val="en-US"/>
        </w:rPr>
        <w:t xml:space="preserve"> factor</w:t>
      </w:r>
      <w:r w:rsidR="000C490E" w:rsidRPr="002441C6">
        <w:rPr>
          <w:rFonts w:asciiTheme="majorHAnsi" w:hAnsiTheme="majorHAnsi" w:cs="Calibri"/>
          <w:lang w:val="en-US"/>
        </w:rPr>
        <w:t xml:space="preserve"> and </w:t>
      </w:r>
      <w:r w:rsidR="0055125D" w:rsidRPr="002441C6">
        <w:rPr>
          <w:rFonts w:asciiTheme="majorHAnsi" w:hAnsiTheme="majorHAnsi" w:cs="Calibri"/>
          <w:lang w:val="en-US"/>
        </w:rPr>
        <w:t>a grandiosity/</w:t>
      </w:r>
      <w:r w:rsidR="006457C1" w:rsidRPr="002441C6">
        <w:rPr>
          <w:rFonts w:asciiTheme="majorHAnsi" w:hAnsiTheme="majorHAnsi" w:cs="Calibri"/>
          <w:lang w:val="en-US"/>
        </w:rPr>
        <w:t>RRBI</w:t>
      </w:r>
      <w:r w:rsidR="00ED71D7" w:rsidRPr="002441C6">
        <w:rPr>
          <w:rFonts w:asciiTheme="majorHAnsi" w:hAnsiTheme="majorHAnsi" w:cs="Calibri"/>
          <w:lang w:val="en-US"/>
        </w:rPr>
        <w:t xml:space="preserve"> facto</w:t>
      </w:r>
      <w:r w:rsidR="000C490E" w:rsidRPr="002441C6">
        <w:rPr>
          <w:rFonts w:asciiTheme="majorHAnsi" w:hAnsiTheme="majorHAnsi" w:cs="Calibri"/>
          <w:lang w:val="en-US"/>
        </w:rPr>
        <w:t xml:space="preserve">r. The detachment factor generated a narrower detachment factor, with remaining content in this factor merging with the internalizing factor. </w:t>
      </w:r>
      <w:r w:rsidR="005A2956" w:rsidRPr="002441C6">
        <w:rPr>
          <w:rFonts w:asciiTheme="majorHAnsi" w:hAnsiTheme="majorHAnsi" w:cs="Calibri"/>
          <w:lang w:val="en-US"/>
        </w:rPr>
        <w:t xml:space="preserve"> </w:t>
      </w:r>
      <w:r w:rsidR="00F63244" w:rsidRPr="002441C6">
        <w:rPr>
          <w:rFonts w:asciiTheme="majorHAnsi" w:hAnsiTheme="majorHAnsi" w:cs="Calibri"/>
          <w:lang w:val="en-US"/>
        </w:rPr>
        <w:t>In the 6-factor structure, the grandiosity/</w:t>
      </w:r>
      <w:r w:rsidR="006457C1" w:rsidRPr="002441C6">
        <w:rPr>
          <w:rFonts w:asciiTheme="majorHAnsi" w:hAnsiTheme="majorHAnsi" w:cs="Calibri"/>
          <w:lang w:val="en-US"/>
        </w:rPr>
        <w:t>RRBI</w:t>
      </w:r>
      <w:r w:rsidR="00F63244" w:rsidRPr="002441C6">
        <w:rPr>
          <w:rFonts w:asciiTheme="majorHAnsi" w:hAnsiTheme="majorHAnsi" w:cs="Calibri"/>
          <w:lang w:val="en-US"/>
        </w:rPr>
        <w:t xml:space="preserve"> factor </w:t>
      </w:r>
      <w:r w:rsidR="00F826AC" w:rsidRPr="002441C6">
        <w:rPr>
          <w:rFonts w:asciiTheme="majorHAnsi" w:hAnsiTheme="majorHAnsi" w:cs="Calibri"/>
          <w:lang w:val="en-US"/>
        </w:rPr>
        <w:t xml:space="preserve">from the </w:t>
      </w:r>
      <w:r w:rsidR="00F826AC">
        <w:rPr>
          <w:rFonts w:asciiTheme="majorHAnsi" w:hAnsiTheme="majorHAnsi" w:cs="Calibri"/>
          <w:lang w:val="en-US"/>
        </w:rPr>
        <w:t>5</w:t>
      </w:r>
      <w:r w:rsidR="00F826AC" w:rsidRPr="002441C6">
        <w:rPr>
          <w:rFonts w:asciiTheme="majorHAnsi" w:hAnsiTheme="majorHAnsi" w:cs="Calibri"/>
          <w:lang w:val="en-US"/>
        </w:rPr>
        <w:t xml:space="preserve">-factor structure </w:t>
      </w:r>
      <w:r w:rsidR="00F63244" w:rsidRPr="002441C6">
        <w:rPr>
          <w:rFonts w:asciiTheme="majorHAnsi" w:hAnsiTheme="majorHAnsi" w:cs="Calibri"/>
          <w:lang w:val="en-US"/>
        </w:rPr>
        <w:t xml:space="preserve">split into a more delineated </w:t>
      </w:r>
      <w:r w:rsidR="0082242B" w:rsidRPr="002441C6">
        <w:rPr>
          <w:rFonts w:asciiTheme="majorHAnsi" w:hAnsiTheme="majorHAnsi" w:cs="Calibri"/>
          <w:lang w:val="en-US"/>
        </w:rPr>
        <w:t>grandiosity</w:t>
      </w:r>
      <w:r w:rsidR="00F63244" w:rsidRPr="002441C6">
        <w:rPr>
          <w:rFonts w:asciiTheme="majorHAnsi" w:hAnsiTheme="majorHAnsi" w:cs="Calibri"/>
          <w:lang w:val="en-US"/>
        </w:rPr>
        <w:t xml:space="preserve">/antisocial factor, </w:t>
      </w:r>
      <w:r w:rsidR="0082242B" w:rsidRPr="002441C6">
        <w:rPr>
          <w:rFonts w:asciiTheme="majorHAnsi" w:hAnsiTheme="majorHAnsi" w:cs="Calibri"/>
          <w:lang w:val="en-US"/>
        </w:rPr>
        <w:t>also</w:t>
      </w:r>
      <w:r w:rsidR="00F63244" w:rsidRPr="002441C6">
        <w:rPr>
          <w:rFonts w:asciiTheme="majorHAnsi" w:hAnsiTheme="majorHAnsi" w:cs="Calibri"/>
          <w:lang w:val="en-US"/>
        </w:rPr>
        <w:t xml:space="preserve"> </w:t>
      </w:r>
      <w:r w:rsidR="0082242B" w:rsidRPr="002441C6">
        <w:rPr>
          <w:rFonts w:asciiTheme="majorHAnsi" w:hAnsiTheme="majorHAnsi" w:cs="Calibri"/>
          <w:lang w:val="en-US"/>
        </w:rPr>
        <w:t>capturing</w:t>
      </w:r>
      <w:r w:rsidR="00F63244" w:rsidRPr="002441C6">
        <w:rPr>
          <w:rFonts w:asciiTheme="majorHAnsi" w:hAnsiTheme="majorHAnsi" w:cs="Calibri"/>
          <w:lang w:val="en-US"/>
        </w:rPr>
        <w:t xml:space="preserve"> features of antisocial behavior, and an </w:t>
      </w:r>
      <w:r w:rsidR="006457C1" w:rsidRPr="002441C6">
        <w:rPr>
          <w:rFonts w:asciiTheme="majorHAnsi" w:hAnsiTheme="majorHAnsi" w:cs="Calibri"/>
          <w:lang w:val="en-US"/>
        </w:rPr>
        <w:t>RRBI</w:t>
      </w:r>
      <w:r w:rsidR="00F63244" w:rsidRPr="002441C6">
        <w:rPr>
          <w:rFonts w:asciiTheme="majorHAnsi" w:hAnsiTheme="majorHAnsi" w:cs="Calibri"/>
          <w:lang w:val="en-US"/>
        </w:rPr>
        <w:t xml:space="preserve"> factor. </w:t>
      </w:r>
      <w:r w:rsidR="005A2956" w:rsidRPr="002441C6">
        <w:rPr>
          <w:rFonts w:asciiTheme="majorHAnsi" w:hAnsiTheme="majorHAnsi" w:cs="Calibri"/>
          <w:lang w:val="en-US"/>
        </w:rPr>
        <w:t xml:space="preserve"> </w:t>
      </w:r>
      <w:r w:rsidR="004315AA" w:rsidRPr="002441C6">
        <w:rPr>
          <w:rFonts w:asciiTheme="majorHAnsi" w:hAnsiTheme="majorHAnsi" w:cs="Calibri"/>
          <w:lang w:val="en-US"/>
        </w:rPr>
        <w:t xml:space="preserve">In the </w:t>
      </w:r>
      <w:r w:rsidR="00F63244" w:rsidRPr="002441C6">
        <w:rPr>
          <w:rFonts w:asciiTheme="majorHAnsi" w:hAnsiTheme="majorHAnsi" w:cs="Calibri"/>
          <w:lang w:val="en-US"/>
        </w:rPr>
        <w:t>7</w:t>
      </w:r>
      <w:r w:rsidR="004315AA" w:rsidRPr="002441C6">
        <w:rPr>
          <w:rFonts w:asciiTheme="majorHAnsi" w:hAnsiTheme="majorHAnsi" w:cs="Calibri"/>
          <w:lang w:val="en-US"/>
        </w:rPr>
        <w:t>-factor structure,</w:t>
      </w:r>
      <w:r w:rsidR="00CC0CDE" w:rsidRPr="002441C6">
        <w:rPr>
          <w:rFonts w:asciiTheme="majorHAnsi" w:hAnsiTheme="majorHAnsi" w:cs="Calibri"/>
          <w:lang w:val="en-US"/>
        </w:rPr>
        <w:t xml:space="preserve"> </w:t>
      </w:r>
      <w:r w:rsidR="00F02599" w:rsidRPr="002441C6">
        <w:rPr>
          <w:rFonts w:asciiTheme="majorHAnsi" w:hAnsiTheme="majorHAnsi" w:cs="Calibri"/>
          <w:lang w:val="en-US"/>
        </w:rPr>
        <w:t>the detachment factor</w:t>
      </w:r>
      <w:r w:rsidR="00F826AC">
        <w:rPr>
          <w:rFonts w:asciiTheme="majorHAnsi" w:hAnsiTheme="majorHAnsi" w:cs="Calibri"/>
          <w:lang w:val="en-US"/>
        </w:rPr>
        <w:t xml:space="preserve"> </w:t>
      </w:r>
      <w:r w:rsidR="00F826AC" w:rsidRPr="002441C6">
        <w:rPr>
          <w:rFonts w:asciiTheme="majorHAnsi" w:hAnsiTheme="majorHAnsi" w:cs="Calibri"/>
          <w:lang w:val="en-US"/>
        </w:rPr>
        <w:t xml:space="preserve">from the </w:t>
      </w:r>
      <w:r w:rsidR="00F826AC">
        <w:rPr>
          <w:rFonts w:asciiTheme="majorHAnsi" w:hAnsiTheme="majorHAnsi" w:cs="Calibri"/>
          <w:lang w:val="en-US"/>
        </w:rPr>
        <w:t>6</w:t>
      </w:r>
      <w:r w:rsidR="00F826AC" w:rsidRPr="002441C6">
        <w:rPr>
          <w:rFonts w:asciiTheme="majorHAnsi" w:hAnsiTheme="majorHAnsi" w:cs="Calibri"/>
          <w:lang w:val="en-US"/>
        </w:rPr>
        <w:t xml:space="preserve">-factor structure </w:t>
      </w:r>
      <w:r w:rsidR="00F02599" w:rsidRPr="002441C6">
        <w:rPr>
          <w:rFonts w:asciiTheme="majorHAnsi" w:hAnsiTheme="majorHAnsi" w:cs="Calibri"/>
          <w:lang w:val="en-US"/>
        </w:rPr>
        <w:t>split into an anhedonia factor</w:t>
      </w:r>
      <w:r w:rsidR="0082242B" w:rsidRPr="002441C6">
        <w:rPr>
          <w:rFonts w:asciiTheme="majorHAnsi" w:hAnsiTheme="majorHAnsi" w:cs="Calibri"/>
          <w:lang w:val="en-US"/>
        </w:rPr>
        <w:t>, capturing lack of pleasure and apathy, and a social difficulties factor, capturing social withdrawal and difficulties in social occasions.</w:t>
      </w:r>
      <w:r w:rsidR="00F04D18" w:rsidRPr="002441C6">
        <w:rPr>
          <w:rFonts w:asciiTheme="majorHAnsi" w:hAnsiTheme="majorHAnsi" w:cs="Calibri"/>
          <w:lang w:val="en-US"/>
        </w:rPr>
        <w:t xml:space="preserve"> The </w:t>
      </w:r>
      <w:r w:rsidR="006457C1" w:rsidRPr="002441C6">
        <w:rPr>
          <w:rFonts w:asciiTheme="majorHAnsi" w:hAnsiTheme="majorHAnsi" w:cs="Calibri"/>
          <w:lang w:val="en-US"/>
        </w:rPr>
        <w:t>RRBI</w:t>
      </w:r>
      <w:r w:rsidR="00F04D18" w:rsidRPr="002441C6">
        <w:rPr>
          <w:rFonts w:asciiTheme="majorHAnsi" w:hAnsiTheme="majorHAnsi" w:cs="Calibri"/>
          <w:lang w:val="en-US"/>
        </w:rPr>
        <w:t xml:space="preserve"> factor i</w:t>
      </w:r>
      <w:r w:rsidR="005A2956" w:rsidRPr="002441C6">
        <w:rPr>
          <w:rFonts w:asciiTheme="majorHAnsi" w:hAnsiTheme="majorHAnsi" w:cs="Calibri"/>
          <w:lang w:val="en-US"/>
        </w:rPr>
        <w:t>n</w:t>
      </w:r>
      <w:r w:rsidR="00F04D18" w:rsidRPr="002441C6">
        <w:rPr>
          <w:rFonts w:asciiTheme="majorHAnsi" w:hAnsiTheme="majorHAnsi" w:cs="Calibri"/>
          <w:lang w:val="en-US"/>
        </w:rPr>
        <w:t xml:space="preserve"> this structure also included </w:t>
      </w:r>
      <w:proofErr w:type="gramStart"/>
      <w:r w:rsidR="00F04D18" w:rsidRPr="002441C6">
        <w:rPr>
          <w:rFonts w:asciiTheme="majorHAnsi" w:hAnsiTheme="majorHAnsi" w:cs="Calibri"/>
          <w:lang w:val="en-US"/>
        </w:rPr>
        <w:t>hallucinations,</w:t>
      </w:r>
      <w:r w:rsidR="005A2956" w:rsidRPr="002441C6">
        <w:rPr>
          <w:rFonts w:asciiTheme="majorHAnsi" w:hAnsiTheme="majorHAnsi" w:cs="Calibri"/>
          <w:lang w:val="en-US"/>
        </w:rPr>
        <w:t xml:space="preserve"> </w:t>
      </w:r>
      <w:r w:rsidR="00F04D18" w:rsidRPr="002441C6">
        <w:rPr>
          <w:rFonts w:asciiTheme="majorHAnsi" w:hAnsiTheme="majorHAnsi" w:cs="Calibri"/>
          <w:lang w:val="en-US"/>
        </w:rPr>
        <w:t>and</w:t>
      </w:r>
      <w:proofErr w:type="gramEnd"/>
      <w:r w:rsidR="00F04D18" w:rsidRPr="002441C6">
        <w:rPr>
          <w:rFonts w:asciiTheme="majorHAnsi" w:hAnsiTheme="majorHAnsi" w:cs="Calibri"/>
          <w:lang w:val="en-US"/>
        </w:rPr>
        <w:t xml:space="preserve"> was </w:t>
      </w:r>
      <w:r w:rsidR="00C8616B">
        <w:rPr>
          <w:rFonts w:asciiTheme="majorHAnsi" w:hAnsiTheme="majorHAnsi" w:cs="Calibri"/>
          <w:lang w:val="en-US"/>
        </w:rPr>
        <w:t xml:space="preserve">thus </w:t>
      </w:r>
      <w:r w:rsidR="00F04D18" w:rsidRPr="002441C6">
        <w:rPr>
          <w:rFonts w:asciiTheme="majorHAnsi" w:hAnsiTheme="majorHAnsi" w:cs="Calibri"/>
          <w:lang w:val="en-US"/>
        </w:rPr>
        <w:t xml:space="preserve">labelled </w:t>
      </w:r>
      <w:r w:rsidR="006457C1" w:rsidRPr="002441C6">
        <w:rPr>
          <w:rFonts w:asciiTheme="majorHAnsi" w:hAnsiTheme="majorHAnsi" w:cs="Calibri"/>
          <w:lang w:val="en-US"/>
        </w:rPr>
        <w:t>RRBI</w:t>
      </w:r>
      <w:r w:rsidR="00F04D18" w:rsidRPr="002441C6">
        <w:rPr>
          <w:rFonts w:asciiTheme="majorHAnsi" w:hAnsiTheme="majorHAnsi" w:cs="Calibri"/>
          <w:lang w:val="en-US"/>
        </w:rPr>
        <w:t>/hallucinations factor.</w:t>
      </w:r>
      <w:r w:rsidR="005A2956" w:rsidRPr="002441C6">
        <w:rPr>
          <w:rFonts w:asciiTheme="majorHAnsi" w:hAnsiTheme="majorHAnsi" w:cs="Calibri"/>
          <w:lang w:val="en-US"/>
        </w:rPr>
        <w:t xml:space="preserve"> </w:t>
      </w:r>
      <w:r w:rsidR="009A401C" w:rsidRPr="002441C6">
        <w:rPr>
          <w:rFonts w:asciiTheme="majorHAnsi" w:hAnsiTheme="majorHAnsi" w:cs="Calibri"/>
          <w:lang w:val="en-US"/>
        </w:rPr>
        <w:t xml:space="preserve">In the 8-factor structure, the internalizing </w:t>
      </w:r>
      <w:r w:rsidR="009A401C" w:rsidRPr="002441C6">
        <w:rPr>
          <w:rFonts w:asciiTheme="majorHAnsi" w:hAnsiTheme="majorHAnsi" w:cs="Calibri"/>
          <w:lang w:val="en-US"/>
        </w:rPr>
        <w:lastRenderedPageBreak/>
        <w:t xml:space="preserve">factor split into a distress/eating factor, </w:t>
      </w:r>
      <w:r w:rsidR="00D23AE6" w:rsidRPr="002441C6">
        <w:rPr>
          <w:rFonts w:asciiTheme="majorHAnsi" w:hAnsiTheme="majorHAnsi" w:cs="Calibri"/>
          <w:lang w:val="en-US"/>
        </w:rPr>
        <w:t>primarily</w:t>
      </w:r>
      <w:r w:rsidR="009A401C" w:rsidRPr="002441C6">
        <w:rPr>
          <w:rFonts w:asciiTheme="majorHAnsi" w:hAnsiTheme="majorHAnsi" w:cs="Calibri"/>
          <w:lang w:val="en-US"/>
        </w:rPr>
        <w:t xml:space="preserve"> capturing depression and eating problems, and a fear factor, capturing </w:t>
      </w:r>
      <w:r w:rsidR="00D23AE6" w:rsidRPr="002441C6">
        <w:rPr>
          <w:rFonts w:asciiTheme="majorHAnsi" w:hAnsiTheme="majorHAnsi" w:cs="Calibri"/>
          <w:lang w:val="en-US"/>
        </w:rPr>
        <w:t>anxiety sensitivity and phobias.</w:t>
      </w:r>
      <w:r w:rsidR="006661E9" w:rsidRPr="002441C6">
        <w:rPr>
          <w:rFonts w:asciiTheme="majorHAnsi" w:hAnsiTheme="majorHAnsi" w:cs="Calibri"/>
          <w:lang w:val="en-US"/>
        </w:rPr>
        <w:t xml:space="preserve"> Features of </w:t>
      </w:r>
      <w:r w:rsidR="00393EAD" w:rsidRPr="002441C6">
        <w:rPr>
          <w:rFonts w:asciiTheme="majorHAnsi" w:hAnsiTheme="majorHAnsi" w:cs="Calibri"/>
          <w:lang w:val="en-US"/>
        </w:rPr>
        <w:t xml:space="preserve">lack of motivation/effort included in the inattention/dysregulation factor from the 7-factor solution merged with the anhedonia factor, whereas the remaining content in the inattention/dysregulation factor formed a more delineated </w:t>
      </w:r>
      <w:r w:rsidR="001C10E6" w:rsidRPr="002441C6">
        <w:rPr>
          <w:rFonts w:asciiTheme="majorHAnsi" w:hAnsiTheme="majorHAnsi" w:cs="Calibri"/>
          <w:lang w:val="en-US"/>
        </w:rPr>
        <w:t>inattention-hyperactivity factor.</w:t>
      </w:r>
      <w:r w:rsidR="005A2956" w:rsidRPr="002441C6">
        <w:rPr>
          <w:rFonts w:asciiTheme="majorHAnsi" w:hAnsiTheme="majorHAnsi" w:cs="Calibri"/>
          <w:lang w:val="en-US"/>
        </w:rPr>
        <w:t xml:space="preserve"> </w:t>
      </w:r>
      <w:r w:rsidR="00D23AE6" w:rsidRPr="002441C6">
        <w:rPr>
          <w:rFonts w:asciiTheme="majorHAnsi" w:hAnsiTheme="majorHAnsi" w:cs="Calibri"/>
          <w:lang w:val="en-US"/>
        </w:rPr>
        <w:t xml:space="preserve">In the 9-factor solution, the </w:t>
      </w:r>
      <w:r w:rsidR="006457C1" w:rsidRPr="002441C6">
        <w:rPr>
          <w:rFonts w:asciiTheme="majorHAnsi" w:hAnsiTheme="majorHAnsi" w:cs="Calibri"/>
          <w:lang w:val="en-US"/>
        </w:rPr>
        <w:t>RRBI</w:t>
      </w:r>
      <w:r w:rsidR="00D23AE6" w:rsidRPr="002441C6">
        <w:rPr>
          <w:rFonts w:asciiTheme="majorHAnsi" w:hAnsiTheme="majorHAnsi" w:cs="Calibri"/>
          <w:lang w:val="en-US"/>
        </w:rPr>
        <w:t xml:space="preserve">/hallucination factor </w:t>
      </w:r>
      <w:r w:rsidR="00DE2923" w:rsidRPr="002441C6">
        <w:rPr>
          <w:rFonts w:asciiTheme="majorHAnsi" w:hAnsiTheme="majorHAnsi" w:cs="Calibri"/>
          <w:lang w:val="en-US"/>
        </w:rPr>
        <w:t xml:space="preserve">from the </w:t>
      </w:r>
      <w:r w:rsidR="00DE2923">
        <w:rPr>
          <w:rFonts w:asciiTheme="majorHAnsi" w:hAnsiTheme="majorHAnsi" w:cs="Calibri"/>
          <w:lang w:val="en-US"/>
        </w:rPr>
        <w:t>8</w:t>
      </w:r>
      <w:r w:rsidR="00DE2923" w:rsidRPr="002441C6">
        <w:rPr>
          <w:rFonts w:asciiTheme="majorHAnsi" w:hAnsiTheme="majorHAnsi" w:cs="Calibri"/>
          <w:lang w:val="en-US"/>
        </w:rPr>
        <w:t xml:space="preserve">-factor solution </w:t>
      </w:r>
      <w:r w:rsidR="00D23AE6" w:rsidRPr="002441C6">
        <w:rPr>
          <w:rFonts w:asciiTheme="majorHAnsi" w:hAnsiTheme="majorHAnsi" w:cs="Calibri"/>
          <w:lang w:val="en-US"/>
        </w:rPr>
        <w:t xml:space="preserve">split into separate </w:t>
      </w:r>
      <w:r w:rsidR="006457C1" w:rsidRPr="002441C6">
        <w:rPr>
          <w:rFonts w:asciiTheme="majorHAnsi" w:hAnsiTheme="majorHAnsi" w:cs="Calibri"/>
          <w:lang w:val="en-US"/>
        </w:rPr>
        <w:t>RRBI</w:t>
      </w:r>
      <w:r w:rsidR="00D23AE6" w:rsidRPr="002441C6">
        <w:rPr>
          <w:rFonts w:asciiTheme="majorHAnsi" w:hAnsiTheme="majorHAnsi" w:cs="Calibri"/>
          <w:lang w:val="en-US"/>
        </w:rPr>
        <w:t xml:space="preserve"> and hallucinations factors.</w:t>
      </w:r>
      <w:r w:rsidR="006661E9" w:rsidRPr="002441C6">
        <w:rPr>
          <w:rFonts w:asciiTheme="majorHAnsi" w:hAnsiTheme="majorHAnsi" w:cs="Calibri"/>
          <w:lang w:val="en-US"/>
        </w:rPr>
        <w:t xml:space="preserve"> </w:t>
      </w:r>
      <w:r w:rsidR="00A374CC" w:rsidRPr="002441C6">
        <w:rPr>
          <w:rFonts w:asciiTheme="majorHAnsi" w:hAnsiTheme="majorHAnsi" w:cs="Calibri"/>
          <w:lang w:val="en-US"/>
        </w:rPr>
        <w:t xml:space="preserve">Features of low prosociality moved from </w:t>
      </w:r>
      <w:r w:rsidR="006661E9" w:rsidRPr="002441C6">
        <w:rPr>
          <w:rFonts w:asciiTheme="majorHAnsi" w:hAnsiTheme="majorHAnsi" w:cs="Calibri"/>
          <w:lang w:val="en-US"/>
        </w:rPr>
        <w:t xml:space="preserve">the social difficulties factor </w:t>
      </w:r>
      <w:r w:rsidR="00A374CC" w:rsidRPr="002441C6">
        <w:rPr>
          <w:rFonts w:asciiTheme="majorHAnsi" w:hAnsiTheme="majorHAnsi" w:cs="Calibri"/>
          <w:lang w:val="en-US"/>
        </w:rPr>
        <w:t xml:space="preserve">to a factor capturing anhedonia and low prosociality. </w:t>
      </w:r>
      <w:r w:rsidR="00FA2A09" w:rsidRPr="002441C6">
        <w:rPr>
          <w:rFonts w:asciiTheme="majorHAnsi" w:hAnsiTheme="majorHAnsi" w:cs="Calibri"/>
          <w:lang w:val="en-US"/>
        </w:rPr>
        <w:t>Eating problems migrated from the distress/eating factor into a fear/eating factor.</w:t>
      </w:r>
      <w:r w:rsidR="005A2956" w:rsidRPr="002441C6">
        <w:rPr>
          <w:rFonts w:asciiTheme="majorHAnsi" w:hAnsiTheme="majorHAnsi" w:cs="Calibri"/>
          <w:lang w:val="en-US"/>
        </w:rPr>
        <w:t xml:space="preserve"> </w:t>
      </w:r>
      <w:r w:rsidR="00A374CC" w:rsidRPr="002441C6">
        <w:rPr>
          <w:rFonts w:asciiTheme="majorHAnsi" w:hAnsiTheme="majorHAnsi" w:cs="Calibri"/>
          <w:lang w:val="en-US"/>
        </w:rPr>
        <w:t xml:space="preserve">In the 10-factor structure, </w:t>
      </w:r>
      <w:r w:rsidR="00586A6D" w:rsidRPr="002441C6">
        <w:rPr>
          <w:rFonts w:asciiTheme="majorHAnsi" w:hAnsiTheme="majorHAnsi" w:cs="Calibri"/>
          <w:lang w:val="en-US"/>
        </w:rPr>
        <w:t xml:space="preserve">a new emotional detachment factor emerged from the reorganization of content from the </w:t>
      </w:r>
      <w:r w:rsidR="006457C1" w:rsidRPr="002441C6">
        <w:rPr>
          <w:rFonts w:asciiTheme="majorHAnsi" w:hAnsiTheme="majorHAnsi" w:cs="Calibri"/>
          <w:lang w:val="en-US"/>
        </w:rPr>
        <w:t>RRBI</w:t>
      </w:r>
      <w:r w:rsidR="00586A6D" w:rsidRPr="002441C6">
        <w:rPr>
          <w:rFonts w:asciiTheme="majorHAnsi" w:hAnsiTheme="majorHAnsi" w:cs="Calibri"/>
          <w:lang w:val="en-US"/>
        </w:rPr>
        <w:t xml:space="preserve"> and anhedonia/low prosociality factors</w:t>
      </w:r>
      <w:r w:rsidR="00DE2923">
        <w:rPr>
          <w:rFonts w:asciiTheme="majorHAnsi" w:hAnsiTheme="majorHAnsi" w:cs="Calibri"/>
          <w:lang w:val="en-US"/>
        </w:rPr>
        <w:t xml:space="preserve"> in</w:t>
      </w:r>
      <w:r w:rsidR="00DE2923" w:rsidRPr="002441C6">
        <w:rPr>
          <w:rFonts w:asciiTheme="majorHAnsi" w:hAnsiTheme="majorHAnsi" w:cs="Calibri"/>
          <w:lang w:val="en-US"/>
        </w:rPr>
        <w:t xml:space="preserve"> the </w:t>
      </w:r>
      <w:r w:rsidR="00DE2923">
        <w:rPr>
          <w:rFonts w:asciiTheme="majorHAnsi" w:hAnsiTheme="majorHAnsi" w:cs="Calibri"/>
          <w:lang w:val="en-US"/>
        </w:rPr>
        <w:t>9</w:t>
      </w:r>
      <w:r w:rsidR="00DE2923" w:rsidRPr="002441C6">
        <w:rPr>
          <w:rFonts w:asciiTheme="majorHAnsi" w:hAnsiTheme="majorHAnsi" w:cs="Calibri"/>
          <w:lang w:val="en-US"/>
        </w:rPr>
        <w:t>-factor solution</w:t>
      </w:r>
      <w:r w:rsidR="00586A6D" w:rsidRPr="002441C6">
        <w:rPr>
          <w:rFonts w:asciiTheme="majorHAnsi" w:hAnsiTheme="majorHAnsi" w:cs="Calibri"/>
          <w:lang w:val="en-US"/>
        </w:rPr>
        <w:t>. Content from the latter factor further merged with content from the grandiosity factor into a grandiosity/antisociality factor.</w:t>
      </w:r>
      <w:r w:rsidR="005A2956" w:rsidRPr="002441C6">
        <w:rPr>
          <w:rFonts w:asciiTheme="majorHAnsi" w:hAnsiTheme="majorHAnsi" w:cs="Calibri"/>
          <w:lang w:val="en-US"/>
        </w:rPr>
        <w:t xml:space="preserve"> </w:t>
      </w:r>
      <w:r w:rsidR="0087082A" w:rsidRPr="002441C6">
        <w:rPr>
          <w:rFonts w:asciiTheme="majorHAnsi" w:hAnsiTheme="majorHAnsi" w:cs="Calibri"/>
          <w:lang w:val="en-US"/>
        </w:rPr>
        <w:t>In the 1</w:t>
      </w:r>
      <w:r w:rsidR="00FA2A09" w:rsidRPr="002441C6">
        <w:rPr>
          <w:rFonts w:asciiTheme="majorHAnsi" w:hAnsiTheme="majorHAnsi" w:cs="Calibri"/>
          <w:lang w:val="en-US"/>
        </w:rPr>
        <w:t>1</w:t>
      </w:r>
      <w:r w:rsidR="0087082A" w:rsidRPr="002441C6">
        <w:rPr>
          <w:rFonts w:asciiTheme="majorHAnsi" w:hAnsiTheme="majorHAnsi" w:cs="Calibri"/>
          <w:lang w:val="en-US"/>
        </w:rPr>
        <w:t xml:space="preserve">-factor structure, </w:t>
      </w:r>
      <w:r w:rsidR="00FA2A09" w:rsidRPr="002441C6">
        <w:rPr>
          <w:rFonts w:asciiTheme="majorHAnsi" w:hAnsiTheme="majorHAnsi" w:cs="Calibri"/>
          <w:lang w:val="en-US"/>
        </w:rPr>
        <w:t xml:space="preserve">the latter factor split </w:t>
      </w:r>
      <w:r w:rsidR="00D6735E" w:rsidRPr="002441C6">
        <w:rPr>
          <w:rFonts w:asciiTheme="majorHAnsi" w:hAnsiTheme="majorHAnsi" w:cs="Calibri"/>
          <w:lang w:val="en-US"/>
        </w:rPr>
        <w:t>into</w:t>
      </w:r>
      <w:r w:rsidR="00FA2A09" w:rsidRPr="002441C6">
        <w:rPr>
          <w:rFonts w:asciiTheme="majorHAnsi" w:hAnsiTheme="majorHAnsi" w:cs="Calibri"/>
          <w:lang w:val="en-US"/>
        </w:rPr>
        <w:t xml:space="preserve"> more delineated grandiosity and antisociality factors. </w:t>
      </w:r>
      <w:r w:rsidR="00D6735E" w:rsidRPr="002441C6">
        <w:rPr>
          <w:rFonts w:asciiTheme="majorHAnsi" w:hAnsiTheme="majorHAnsi" w:cs="Calibri"/>
          <w:lang w:val="en-US"/>
        </w:rPr>
        <w:t xml:space="preserve">In the 12-factor structure, the inattention-hyperactivity factor split into separate inattention and </w:t>
      </w:r>
      <w:r w:rsidR="004F192A" w:rsidRPr="002441C6">
        <w:rPr>
          <w:rFonts w:asciiTheme="majorHAnsi" w:hAnsiTheme="majorHAnsi" w:cs="Calibri"/>
          <w:lang w:val="en-US"/>
        </w:rPr>
        <w:t>hyperactivity-impulsivity</w:t>
      </w:r>
      <w:r w:rsidR="00D6735E" w:rsidRPr="002441C6">
        <w:rPr>
          <w:rFonts w:asciiTheme="majorHAnsi" w:hAnsiTheme="majorHAnsi" w:cs="Calibri"/>
          <w:lang w:val="en-US"/>
        </w:rPr>
        <w:t xml:space="preserve"> factors. In the 13-factor structure, an eating factor emerged </w:t>
      </w:r>
      <w:r w:rsidR="00AC76C3" w:rsidRPr="002441C6">
        <w:rPr>
          <w:rFonts w:asciiTheme="majorHAnsi" w:hAnsiTheme="majorHAnsi" w:cs="Calibri"/>
          <w:lang w:val="en-US"/>
        </w:rPr>
        <w:t>alongside</w:t>
      </w:r>
      <w:r w:rsidR="00D6735E" w:rsidRPr="002441C6">
        <w:rPr>
          <w:rFonts w:asciiTheme="majorHAnsi" w:hAnsiTheme="majorHAnsi" w:cs="Calibri"/>
          <w:lang w:val="en-US"/>
        </w:rPr>
        <w:t xml:space="preserve"> distress and fear factors</w:t>
      </w:r>
      <w:r w:rsidR="00AC76C3" w:rsidRPr="002441C6">
        <w:rPr>
          <w:rFonts w:asciiTheme="majorHAnsi" w:hAnsiTheme="majorHAnsi" w:cs="Calibri"/>
          <w:lang w:val="en-US"/>
        </w:rPr>
        <w:t>.</w:t>
      </w:r>
      <w:r w:rsidR="005A2956" w:rsidRPr="002441C6">
        <w:rPr>
          <w:rFonts w:asciiTheme="majorHAnsi" w:hAnsiTheme="majorHAnsi" w:cs="Calibri"/>
          <w:lang w:val="en-US"/>
        </w:rPr>
        <w:t xml:space="preserve"> </w:t>
      </w:r>
      <w:r w:rsidR="00AC76C3" w:rsidRPr="002441C6">
        <w:rPr>
          <w:rFonts w:asciiTheme="majorHAnsi" w:hAnsiTheme="majorHAnsi" w:cs="Calibri"/>
          <w:lang w:val="en-US"/>
        </w:rPr>
        <w:t xml:space="preserve">Finally, in the 14-factor structure, the antisociality factor split into a psychopathy factor, capturing callousness </w:t>
      </w:r>
      <w:r w:rsidR="00E61204" w:rsidRPr="002441C6">
        <w:rPr>
          <w:rFonts w:asciiTheme="majorHAnsi" w:hAnsiTheme="majorHAnsi" w:cs="Calibri"/>
          <w:lang w:val="en-US"/>
        </w:rPr>
        <w:t xml:space="preserve">and aggression, and a low prosociality factor, capturing </w:t>
      </w:r>
      <w:r w:rsidR="005C54EC">
        <w:rPr>
          <w:rFonts w:asciiTheme="majorHAnsi" w:hAnsiTheme="majorHAnsi" w:cs="Calibri"/>
          <w:lang w:val="en-US"/>
        </w:rPr>
        <w:t xml:space="preserve">a </w:t>
      </w:r>
      <w:r w:rsidR="00E61204" w:rsidRPr="002441C6">
        <w:rPr>
          <w:rFonts w:asciiTheme="majorHAnsi" w:hAnsiTheme="majorHAnsi" w:cs="Calibri"/>
          <w:lang w:val="en-US"/>
        </w:rPr>
        <w:t xml:space="preserve">low tendency to </w:t>
      </w:r>
      <w:r w:rsidR="005C54EC">
        <w:rPr>
          <w:rFonts w:asciiTheme="majorHAnsi" w:hAnsiTheme="majorHAnsi" w:cs="Calibri"/>
          <w:lang w:val="en-US"/>
        </w:rPr>
        <w:t>be</w:t>
      </w:r>
      <w:r w:rsidR="00E61204" w:rsidRPr="002441C6">
        <w:rPr>
          <w:rFonts w:asciiTheme="majorHAnsi" w:hAnsiTheme="majorHAnsi" w:cs="Calibri"/>
          <w:lang w:val="en-US"/>
        </w:rPr>
        <w:t xml:space="preserve"> helpful and kind.</w:t>
      </w:r>
    </w:p>
    <w:p w14:paraId="7271AA82" w14:textId="77777777" w:rsidR="00CF5ED4" w:rsidRPr="002441C6" w:rsidRDefault="00CF5ED4" w:rsidP="000707C8">
      <w:pPr>
        <w:spacing w:line="360" w:lineRule="auto"/>
        <w:jc w:val="both"/>
        <w:rPr>
          <w:rFonts w:asciiTheme="majorHAnsi" w:hAnsiTheme="majorHAnsi" w:cs="Calibri"/>
          <w:lang w:val="en-US"/>
        </w:rPr>
      </w:pPr>
    </w:p>
    <w:p w14:paraId="0DA74394" w14:textId="77777777" w:rsidR="00CF5ED4" w:rsidRPr="002441C6" w:rsidRDefault="00CF5ED4" w:rsidP="000707C8">
      <w:pPr>
        <w:tabs>
          <w:tab w:val="left" w:pos="567"/>
        </w:tabs>
        <w:spacing w:line="360" w:lineRule="auto"/>
        <w:ind w:firstLine="0"/>
        <w:jc w:val="both"/>
        <w:rPr>
          <w:rFonts w:asciiTheme="majorHAnsi" w:hAnsiTheme="majorHAnsi" w:cs="Calibri"/>
          <w:b/>
          <w:bCs/>
        </w:rPr>
      </w:pPr>
      <w:r w:rsidRPr="002441C6">
        <w:rPr>
          <w:rFonts w:asciiTheme="majorHAnsi" w:hAnsiTheme="majorHAnsi" w:cs="Calibri"/>
          <w:b/>
          <w:bCs/>
        </w:rPr>
        <w:t>5. Genetic and environmental effects on the neurodevelopmental factor</w:t>
      </w:r>
      <w:r w:rsidRPr="002441C6">
        <w:rPr>
          <w:rFonts w:asciiTheme="majorHAnsi" w:hAnsiTheme="majorHAnsi" w:cs="Calibri"/>
          <w:b/>
          <w:bCs/>
        </w:rPr>
        <w:tab/>
      </w:r>
    </w:p>
    <w:p w14:paraId="64D82C1A" w14:textId="5AFFA478" w:rsidR="00CF5ED4" w:rsidRPr="002441C6" w:rsidRDefault="00CF5ED4" w:rsidP="000707C8">
      <w:pPr>
        <w:tabs>
          <w:tab w:val="left" w:pos="567"/>
        </w:tabs>
        <w:spacing w:line="360" w:lineRule="auto"/>
        <w:ind w:firstLine="0"/>
        <w:jc w:val="both"/>
        <w:rPr>
          <w:rFonts w:asciiTheme="majorHAnsi" w:hAnsiTheme="majorHAnsi" w:cs="Calibri"/>
        </w:rPr>
      </w:pPr>
      <w:r w:rsidRPr="002441C6">
        <w:rPr>
          <w:rFonts w:asciiTheme="majorHAnsi" w:hAnsiTheme="majorHAnsi" w:cs="Calibri"/>
        </w:rPr>
        <w:tab/>
        <w:t>Univariate Cholesky analyses on the neurodevelopmental factor at each time point (age 7, 12</w:t>
      </w:r>
      <w:r w:rsidR="005C54EC">
        <w:rPr>
          <w:rFonts w:asciiTheme="majorHAnsi" w:hAnsiTheme="majorHAnsi" w:cs="Calibri"/>
        </w:rPr>
        <w:t>,</w:t>
      </w:r>
      <w:r w:rsidRPr="002441C6">
        <w:rPr>
          <w:rFonts w:asciiTheme="majorHAnsi" w:hAnsiTheme="majorHAnsi" w:cs="Calibri"/>
        </w:rPr>
        <w:t xml:space="preserve"> and 16 years)</w:t>
      </w:r>
      <w:r w:rsidR="002C08DB">
        <w:rPr>
          <w:rFonts w:asciiTheme="majorHAnsi" w:hAnsiTheme="majorHAnsi" w:cs="Calibri"/>
        </w:rPr>
        <w:t xml:space="preserve"> using parent-reports</w:t>
      </w:r>
      <w:r w:rsidRPr="002441C6">
        <w:rPr>
          <w:rFonts w:asciiTheme="majorHAnsi" w:hAnsiTheme="majorHAnsi" w:cs="Calibri"/>
        </w:rPr>
        <w:t xml:space="preserve">. Results are presented in </w:t>
      </w:r>
      <w:r w:rsidR="000B19F8" w:rsidRPr="002441C6">
        <w:rPr>
          <w:rFonts w:asciiTheme="majorHAnsi" w:hAnsiTheme="majorHAnsi" w:cs="Calibri"/>
        </w:rPr>
        <w:t xml:space="preserve">Supplementary Table </w:t>
      </w:r>
      <w:r w:rsidR="002C08DB">
        <w:rPr>
          <w:rFonts w:asciiTheme="majorHAnsi" w:hAnsiTheme="majorHAnsi" w:cs="Calibri"/>
        </w:rPr>
        <w:t>10</w:t>
      </w:r>
      <w:r w:rsidRPr="002441C6">
        <w:rPr>
          <w:rFonts w:asciiTheme="majorHAnsi" w:hAnsiTheme="majorHAnsi" w:cs="Calibri"/>
        </w:rPr>
        <w:t>. Twin correlations suggested the presence of non-additive (D) genetic effects on the neurodevelopmental factor at age 7 but not at age 12 and 16. We therefore fitted both ACE and ADE models at each age for completeness and to aid comparability of results. Both ACE and ADE models yielded similar results at each age, as we found similar estimates of broad heritability when comparing A effects in ACE models (age 7=0.599, age 12=0.791, age 16=0.824) with the sum of A+D effects (age 7=0.637, age 12=0.841, age 16=0.824) in ADE models.</w:t>
      </w:r>
      <w:r w:rsidR="002C08DB">
        <w:rPr>
          <w:rFonts w:asciiTheme="majorHAnsi" w:hAnsiTheme="majorHAnsi" w:cs="Calibri"/>
        </w:rPr>
        <w:t xml:space="preserve"> </w:t>
      </w:r>
      <w:r w:rsidR="00AD2FFE">
        <w:rPr>
          <w:rFonts w:asciiTheme="majorHAnsi" w:hAnsiTheme="majorHAnsi" w:cs="Calibri"/>
        </w:rPr>
        <w:t xml:space="preserve">The rest of the variance was explained by modest individual-specific environmental effects. </w:t>
      </w:r>
      <w:r w:rsidR="002C08DB">
        <w:rPr>
          <w:rFonts w:asciiTheme="majorHAnsi" w:hAnsiTheme="majorHAnsi" w:cs="Calibri"/>
        </w:rPr>
        <w:t xml:space="preserve">Secondary analyses </w:t>
      </w:r>
      <w:r w:rsidR="00F966B3">
        <w:rPr>
          <w:rFonts w:asciiTheme="majorHAnsi" w:hAnsiTheme="majorHAnsi" w:cs="Calibri"/>
        </w:rPr>
        <w:t>on</w:t>
      </w:r>
      <w:r w:rsidR="002C08DB">
        <w:rPr>
          <w:rFonts w:asciiTheme="majorHAnsi" w:hAnsiTheme="majorHAnsi" w:cs="Calibri"/>
        </w:rPr>
        <w:t xml:space="preserve"> the neurodevelopmental factor at age 16 based on self-reports</w:t>
      </w:r>
      <w:r w:rsidR="007542A2">
        <w:rPr>
          <w:rFonts w:asciiTheme="majorHAnsi" w:hAnsiTheme="majorHAnsi" w:cs="Calibri"/>
        </w:rPr>
        <w:t xml:space="preserve"> </w:t>
      </w:r>
      <w:r w:rsidR="00060CEB">
        <w:rPr>
          <w:rFonts w:asciiTheme="majorHAnsi" w:hAnsiTheme="majorHAnsi" w:cs="Calibri"/>
        </w:rPr>
        <w:t xml:space="preserve">revealed that additive genetic </w:t>
      </w:r>
      <w:r w:rsidR="006F61E7">
        <w:rPr>
          <w:rFonts w:asciiTheme="majorHAnsi" w:hAnsiTheme="majorHAnsi" w:cs="Calibri"/>
        </w:rPr>
        <w:t>(</w:t>
      </w:r>
      <w:r w:rsidR="00356D4E">
        <w:rPr>
          <w:rFonts w:asciiTheme="majorHAnsi" w:hAnsiTheme="majorHAnsi" w:cs="Calibri"/>
        </w:rPr>
        <w:t>A</w:t>
      </w:r>
      <w:r w:rsidR="006F61E7">
        <w:rPr>
          <w:rFonts w:asciiTheme="majorHAnsi" w:hAnsiTheme="majorHAnsi" w:cs="Calibri"/>
        </w:rPr>
        <w:t xml:space="preserve">=0.516) </w:t>
      </w:r>
      <w:r w:rsidR="00060CEB">
        <w:rPr>
          <w:rFonts w:asciiTheme="majorHAnsi" w:hAnsiTheme="majorHAnsi" w:cs="Calibri"/>
        </w:rPr>
        <w:t xml:space="preserve">and individual-specific environmental </w:t>
      </w:r>
      <w:r w:rsidR="006F61E7">
        <w:rPr>
          <w:rFonts w:asciiTheme="majorHAnsi" w:hAnsiTheme="majorHAnsi" w:cs="Calibri"/>
        </w:rPr>
        <w:t>(</w:t>
      </w:r>
      <w:r w:rsidR="00356D4E">
        <w:rPr>
          <w:rFonts w:asciiTheme="majorHAnsi" w:hAnsiTheme="majorHAnsi" w:cs="Calibri"/>
        </w:rPr>
        <w:t>E</w:t>
      </w:r>
      <w:r w:rsidR="006F61E7">
        <w:rPr>
          <w:rFonts w:asciiTheme="majorHAnsi" w:hAnsiTheme="majorHAnsi" w:cs="Calibri"/>
        </w:rPr>
        <w:t xml:space="preserve">=0.484) </w:t>
      </w:r>
      <w:r w:rsidR="00060CEB">
        <w:rPr>
          <w:rFonts w:asciiTheme="majorHAnsi" w:hAnsiTheme="majorHAnsi" w:cs="Calibri"/>
        </w:rPr>
        <w:t xml:space="preserve">effects explained roughly equivalent proportions of variance </w:t>
      </w:r>
      <w:r w:rsidR="00F966B3">
        <w:rPr>
          <w:rFonts w:asciiTheme="majorHAnsi" w:hAnsiTheme="majorHAnsi" w:cs="Calibri"/>
        </w:rPr>
        <w:t xml:space="preserve">in this factor </w:t>
      </w:r>
      <w:r w:rsidR="007542A2">
        <w:rPr>
          <w:rFonts w:asciiTheme="majorHAnsi" w:hAnsiTheme="majorHAnsi" w:cs="Calibri"/>
        </w:rPr>
        <w:t>(</w:t>
      </w:r>
      <w:r w:rsidR="007542A2" w:rsidRPr="002441C6">
        <w:rPr>
          <w:rFonts w:asciiTheme="majorHAnsi" w:hAnsiTheme="majorHAnsi" w:cs="Calibri"/>
        </w:rPr>
        <w:t xml:space="preserve">Supplementary Table </w:t>
      </w:r>
      <w:r w:rsidR="007542A2">
        <w:rPr>
          <w:rFonts w:asciiTheme="majorHAnsi" w:hAnsiTheme="majorHAnsi" w:cs="Calibri"/>
        </w:rPr>
        <w:t>10)</w:t>
      </w:r>
      <w:r w:rsidR="002C08DB">
        <w:rPr>
          <w:rFonts w:asciiTheme="majorHAnsi" w:hAnsiTheme="majorHAnsi" w:cs="Calibri"/>
        </w:rPr>
        <w:t>.</w:t>
      </w:r>
    </w:p>
    <w:p w14:paraId="5420C925" w14:textId="2F13A340" w:rsidR="00CF5ED4" w:rsidRPr="002441C6" w:rsidRDefault="00CF5ED4" w:rsidP="000707C8">
      <w:pPr>
        <w:tabs>
          <w:tab w:val="left" w:pos="567"/>
        </w:tabs>
        <w:spacing w:line="360" w:lineRule="auto"/>
        <w:ind w:firstLine="0"/>
        <w:jc w:val="both"/>
        <w:rPr>
          <w:rFonts w:asciiTheme="majorHAnsi" w:hAnsiTheme="majorHAnsi" w:cs="Calibri"/>
        </w:rPr>
      </w:pPr>
      <w:r w:rsidRPr="002441C6">
        <w:rPr>
          <w:rFonts w:asciiTheme="majorHAnsi" w:hAnsiTheme="majorHAnsi" w:cs="Calibri"/>
        </w:rPr>
        <w:lastRenderedPageBreak/>
        <w:tab/>
        <w:t xml:space="preserve">Multivariate twin modelling was used to examine the overlap in genetic and environmental effects on the </w:t>
      </w:r>
      <w:r w:rsidR="00EF5009">
        <w:rPr>
          <w:rFonts w:asciiTheme="majorHAnsi" w:hAnsiTheme="majorHAnsi" w:cs="Calibri"/>
        </w:rPr>
        <w:t xml:space="preserve">parent-reported </w:t>
      </w:r>
      <w:r w:rsidRPr="002441C6">
        <w:rPr>
          <w:rFonts w:asciiTheme="majorHAnsi" w:hAnsiTheme="majorHAnsi" w:cs="Calibri"/>
        </w:rPr>
        <w:t>neurodevelopmental factors across time</w:t>
      </w:r>
      <w:r w:rsidR="00FF19CD">
        <w:rPr>
          <w:rFonts w:asciiTheme="majorHAnsi" w:hAnsiTheme="majorHAnsi" w:cs="Calibri"/>
        </w:rPr>
        <w:t xml:space="preserve"> (Supplementary Table 11)</w:t>
      </w:r>
      <w:r w:rsidRPr="002441C6">
        <w:rPr>
          <w:rFonts w:asciiTheme="majorHAnsi" w:hAnsiTheme="majorHAnsi" w:cs="Calibri"/>
        </w:rPr>
        <w:t xml:space="preserve">. Cholesky models including A and E factors (AE models) were specified instead of ACE or ADE models, since we found negligible C effects across ages and there was an indication of possible D effects only at age 7 data. Results are provided in </w:t>
      </w:r>
      <w:r w:rsidR="000B19F8" w:rsidRPr="002441C6">
        <w:rPr>
          <w:rFonts w:asciiTheme="majorHAnsi" w:hAnsiTheme="majorHAnsi" w:cs="Calibri"/>
        </w:rPr>
        <w:t xml:space="preserve">Supplementary Table </w:t>
      </w:r>
      <w:r w:rsidRPr="002441C6">
        <w:rPr>
          <w:rFonts w:asciiTheme="majorHAnsi" w:hAnsiTheme="majorHAnsi" w:cs="Calibri"/>
        </w:rPr>
        <w:t xml:space="preserve">10 and </w:t>
      </w:r>
      <w:r w:rsidR="000B19F8" w:rsidRPr="002441C6">
        <w:rPr>
          <w:rFonts w:asciiTheme="majorHAnsi" w:hAnsiTheme="majorHAnsi" w:cs="Calibri"/>
        </w:rPr>
        <w:t>Supplementary Figure 2</w:t>
      </w:r>
      <w:r w:rsidRPr="002441C6">
        <w:rPr>
          <w:rFonts w:asciiTheme="majorHAnsi" w:hAnsiTheme="majorHAnsi" w:cs="Calibri"/>
        </w:rPr>
        <w:t xml:space="preserve">. We found a moderate to large degree of overlap in genetic factors across time points. Genetic correlation between age 7 and age 12 factors was </w:t>
      </w:r>
      <w:proofErr w:type="spellStart"/>
      <w:r w:rsidRPr="002441C6">
        <w:rPr>
          <w:rFonts w:asciiTheme="majorHAnsi" w:hAnsiTheme="majorHAnsi" w:cs="Calibri"/>
        </w:rPr>
        <w:t>r</w:t>
      </w:r>
      <w:r w:rsidRPr="002441C6">
        <w:rPr>
          <w:rFonts w:asciiTheme="majorHAnsi" w:hAnsiTheme="majorHAnsi" w:cs="Calibri"/>
          <w:vertAlign w:val="subscript"/>
        </w:rPr>
        <w:t>g</w:t>
      </w:r>
      <w:proofErr w:type="spellEnd"/>
      <w:r w:rsidRPr="002441C6">
        <w:rPr>
          <w:rFonts w:asciiTheme="majorHAnsi" w:hAnsiTheme="majorHAnsi" w:cs="Calibri"/>
        </w:rPr>
        <w:t xml:space="preserve">=0.450, between age 7 and 16 was </w:t>
      </w:r>
      <w:proofErr w:type="spellStart"/>
      <w:r w:rsidRPr="002441C6">
        <w:rPr>
          <w:rFonts w:asciiTheme="majorHAnsi" w:hAnsiTheme="majorHAnsi" w:cs="Calibri"/>
        </w:rPr>
        <w:t>r</w:t>
      </w:r>
      <w:r w:rsidRPr="002441C6">
        <w:rPr>
          <w:rFonts w:asciiTheme="majorHAnsi" w:hAnsiTheme="majorHAnsi" w:cs="Calibri"/>
          <w:vertAlign w:val="subscript"/>
        </w:rPr>
        <w:t>g</w:t>
      </w:r>
      <w:proofErr w:type="spellEnd"/>
      <w:r w:rsidRPr="002441C6">
        <w:rPr>
          <w:rFonts w:asciiTheme="majorHAnsi" w:hAnsiTheme="majorHAnsi" w:cs="Calibri"/>
        </w:rPr>
        <w:t xml:space="preserve">=0.408, and between age 12 and 16 was </w:t>
      </w:r>
      <w:proofErr w:type="spellStart"/>
      <w:r w:rsidRPr="002441C6">
        <w:rPr>
          <w:rFonts w:asciiTheme="majorHAnsi" w:hAnsiTheme="majorHAnsi" w:cs="Calibri"/>
        </w:rPr>
        <w:t>r</w:t>
      </w:r>
      <w:r w:rsidRPr="002441C6">
        <w:rPr>
          <w:rFonts w:asciiTheme="majorHAnsi" w:hAnsiTheme="majorHAnsi" w:cs="Calibri"/>
          <w:vertAlign w:val="subscript"/>
        </w:rPr>
        <w:t>g</w:t>
      </w:r>
      <w:proofErr w:type="spellEnd"/>
      <w:r w:rsidRPr="002441C6">
        <w:rPr>
          <w:rFonts w:asciiTheme="majorHAnsi" w:hAnsiTheme="majorHAnsi" w:cs="Calibri"/>
        </w:rPr>
        <w:t>=0.703. From these models we also found that 20.048% (i.e., 0.167/(0.167+0.666)) and 16.585% (i.e., 0.135/(0.135+0.277+0.402)) of the genetic effects on the neurodevelopmental factors at age 12 and 16, respectively, were shared with those on the age 7 factor, and that 40.795% (i.e., 0.277/(0.277+0.402)) of the heritability at age 16 with those at age 12. Estimates of individual-specific environmental correlations and shared individual-specific environmental effects across time were generally smaller, suggesting that environmental effects were largely time-specific.</w:t>
      </w:r>
      <w:r w:rsidR="00EF5009">
        <w:rPr>
          <w:rFonts w:asciiTheme="majorHAnsi" w:hAnsiTheme="majorHAnsi" w:cs="Calibri"/>
        </w:rPr>
        <w:t xml:space="preserve"> Secondary AE bivariate analyses also examined the </w:t>
      </w:r>
      <w:r w:rsidR="00EF5009" w:rsidRPr="002441C6">
        <w:rPr>
          <w:rFonts w:asciiTheme="majorHAnsi" w:hAnsiTheme="majorHAnsi" w:cs="Calibri"/>
        </w:rPr>
        <w:t xml:space="preserve">overlap in genetic and environmental effects on the </w:t>
      </w:r>
      <w:r w:rsidR="00EF5009">
        <w:rPr>
          <w:rFonts w:asciiTheme="majorHAnsi" w:hAnsiTheme="majorHAnsi" w:cs="Calibri"/>
        </w:rPr>
        <w:t xml:space="preserve">parent-reported and self-reported </w:t>
      </w:r>
      <w:r w:rsidR="00EF5009" w:rsidRPr="002441C6">
        <w:rPr>
          <w:rFonts w:asciiTheme="majorHAnsi" w:hAnsiTheme="majorHAnsi" w:cs="Calibri"/>
        </w:rPr>
        <w:t>neurodevelopmental factors</w:t>
      </w:r>
      <w:r w:rsidR="00EF5009">
        <w:rPr>
          <w:rFonts w:asciiTheme="majorHAnsi" w:hAnsiTheme="majorHAnsi" w:cs="Calibri"/>
        </w:rPr>
        <w:t xml:space="preserve"> at age 16. Results </w:t>
      </w:r>
      <w:r w:rsidR="00B205A8">
        <w:rPr>
          <w:rFonts w:asciiTheme="majorHAnsi" w:hAnsiTheme="majorHAnsi" w:cs="Calibri"/>
        </w:rPr>
        <w:t>indicated modest genetic (</w:t>
      </w:r>
      <w:proofErr w:type="spellStart"/>
      <w:r w:rsidR="00B205A8" w:rsidRPr="002441C6">
        <w:rPr>
          <w:rFonts w:asciiTheme="majorHAnsi" w:hAnsiTheme="majorHAnsi" w:cs="Calibri"/>
        </w:rPr>
        <w:t>r</w:t>
      </w:r>
      <w:r w:rsidR="00B205A8" w:rsidRPr="002441C6">
        <w:rPr>
          <w:rFonts w:asciiTheme="majorHAnsi" w:hAnsiTheme="majorHAnsi" w:cs="Calibri"/>
          <w:vertAlign w:val="subscript"/>
        </w:rPr>
        <w:t>g</w:t>
      </w:r>
      <w:proofErr w:type="spellEnd"/>
      <w:r w:rsidR="00B205A8" w:rsidRPr="002441C6">
        <w:rPr>
          <w:rFonts w:asciiTheme="majorHAnsi" w:hAnsiTheme="majorHAnsi" w:cs="Calibri"/>
        </w:rPr>
        <w:t>=</w:t>
      </w:r>
      <w:r w:rsidR="00FF19CD" w:rsidRPr="00FF19CD">
        <w:rPr>
          <w:rFonts w:asciiTheme="majorHAnsi" w:hAnsiTheme="majorHAnsi" w:cs="Calibri"/>
        </w:rPr>
        <w:t>0.258</w:t>
      </w:r>
      <w:r w:rsidR="00B205A8">
        <w:rPr>
          <w:rFonts w:asciiTheme="majorHAnsi" w:hAnsiTheme="majorHAnsi" w:cs="Calibri"/>
        </w:rPr>
        <w:t xml:space="preserve">) and </w:t>
      </w:r>
      <w:r w:rsidR="00B205A8" w:rsidRPr="002441C6">
        <w:rPr>
          <w:rFonts w:asciiTheme="majorHAnsi" w:hAnsiTheme="majorHAnsi" w:cs="Calibri"/>
        </w:rPr>
        <w:t xml:space="preserve">individual-specific environmental </w:t>
      </w:r>
      <w:r w:rsidR="00FF19CD">
        <w:rPr>
          <w:rFonts w:asciiTheme="majorHAnsi" w:hAnsiTheme="majorHAnsi" w:cs="Calibri"/>
        </w:rPr>
        <w:t>(</w:t>
      </w:r>
      <w:r w:rsidR="00FF19CD" w:rsidRPr="002441C6">
        <w:rPr>
          <w:rFonts w:asciiTheme="majorHAnsi" w:hAnsiTheme="majorHAnsi" w:cs="Calibri"/>
        </w:rPr>
        <w:t>r</w:t>
      </w:r>
      <w:r w:rsidR="00FF19CD">
        <w:rPr>
          <w:rFonts w:asciiTheme="majorHAnsi" w:hAnsiTheme="majorHAnsi" w:cs="Calibri"/>
          <w:vertAlign w:val="subscript"/>
        </w:rPr>
        <w:t>e</w:t>
      </w:r>
      <w:r w:rsidR="00FF19CD" w:rsidRPr="002441C6">
        <w:rPr>
          <w:rFonts w:asciiTheme="majorHAnsi" w:hAnsiTheme="majorHAnsi" w:cs="Calibri"/>
        </w:rPr>
        <w:t>=0.</w:t>
      </w:r>
      <w:r w:rsidR="00FF19CD">
        <w:rPr>
          <w:rFonts w:asciiTheme="majorHAnsi" w:hAnsiTheme="majorHAnsi" w:cs="Calibri"/>
        </w:rPr>
        <w:t>1</w:t>
      </w:r>
      <w:r w:rsidR="00FF19CD" w:rsidRPr="002441C6">
        <w:rPr>
          <w:rFonts w:asciiTheme="majorHAnsi" w:hAnsiTheme="majorHAnsi" w:cs="Calibri"/>
        </w:rPr>
        <w:t>03</w:t>
      </w:r>
      <w:r w:rsidR="00FF19CD">
        <w:rPr>
          <w:rFonts w:asciiTheme="majorHAnsi" w:hAnsiTheme="majorHAnsi" w:cs="Calibri"/>
        </w:rPr>
        <w:t xml:space="preserve">) </w:t>
      </w:r>
      <w:r w:rsidR="00B205A8" w:rsidRPr="002441C6">
        <w:rPr>
          <w:rFonts w:asciiTheme="majorHAnsi" w:hAnsiTheme="majorHAnsi" w:cs="Calibri"/>
        </w:rPr>
        <w:t>correlations</w:t>
      </w:r>
      <w:r w:rsidR="00FF19CD">
        <w:rPr>
          <w:rFonts w:asciiTheme="majorHAnsi" w:hAnsiTheme="majorHAnsi" w:cs="Calibri"/>
        </w:rPr>
        <w:t xml:space="preserve"> (Supplementary Table 11)</w:t>
      </w:r>
      <w:r w:rsidR="00B205A8">
        <w:rPr>
          <w:rFonts w:asciiTheme="majorHAnsi" w:hAnsiTheme="majorHAnsi" w:cs="Calibri"/>
        </w:rPr>
        <w:t>.</w:t>
      </w:r>
    </w:p>
    <w:p w14:paraId="5F165D1E" w14:textId="77777777" w:rsidR="00CF5ED4" w:rsidRPr="002441C6" w:rsidRDefault="00CF5ED4" w:rsidP="000707C8">
      <w:pPr>
        <w:spacing w:line="360" w:lineRule="auto"/>
        <w:jc w:val="both"/>
        <w:rPr>
          <w:rFonts w:asciiTheme="majorHAnsi" w:hAnsiTheme="majorHAnsi" w:cs="Calibri"/>
        </w:rPr>
      </w:pPr>
    </w:p>
    <w:p w14:paraId="3213C1ED" w14:textId="77777777" w:rsidR="00CF5ED4" w:rsidRPr="002441C6" w:rsidRDefault="00CF5ED4" w:rsidP="000707C8">
      <w:pPr>
        <w:tabs>
          <w:tab w:val="left" w:pos="1725"/>
        </w:tabs>
        <w:spacing w:line="360" w:lineRule="auto"/>
        <w:ind w:firstLine="0"/>
        <w:jc w:val="both"/>
        <w:rPr>
          <w:rFonts w:asciiTheme="majorHAnsi" w:hAnsiTheme="majorHAnsi" w:cs="Calibri"/>
          <w:b/>
          <w:bCs/>
        </w:rPr>
      </w:pPr>
      <w:r w:rsidRPr="002441C6">
        <w:rPr>
          <w:rFonts w:asciiTheme="majorHAnsi" w:hAnsiTheme="majorHAnsi" w:cs="Calibri"/>
          <w:b/>
          <w:bCs/>
        </w:rPr>
        <w:t xml:space="preserve">6. Genetic and environmental effects on the covariation of the neurodevelopmental factors with cognitive/educational outcomes </w:t>
      </w:r>
    </w:p>
    <w:p w14:paraId="76A32EAD" w14:textId="1AEED92F" w:rsidR="00CF5ED4" w:rsidRPr="002441C6" w:rsidRDefault="00CF5ED4" w:rsidP="006745DC">
      <w:pPr>
        <w:tabs>
          <w:tab w:val="left" w:pos="1725"/>
        </w:tabs>
        <w:spacing w:line="360" w:lineRule="auto"/>
        <w:ind w:firstLine="567"/>
        <w:jc w:val="both"/>
        <w:rPr>
          <w:rFonts w:asciiTheme="majorHAnsi" w:hAnsiTheme="majorHAnsi" w:cs="Calibri"/>
        </w:rPr>
        <w:sectPr w:rsidR="00CF5ED4" w:rsidRPr="002441C6" w:rsidSect="00470234">
          <w:footerReference w:type="default" r:id="rId11"/>
          <w:pgSz w:w="12240" w:h="15840"/>
          <w:pgMar w:top="1440" w:right="1440" w:bottom="1440" w:left="1440" w:header="720" w:footer="720" w:gutter="0"/>
          <w:cols w:space="720"/>
          <w:docGrid w:linePitch="360"/>
        </w:sectPr>
      </w:pPr>
      <w:r w:rsidRPr="002441C6">
        <w:rPr>
          <w:rFonts w:asciiTheme="majorHAnsi" w:hAnsiTheme="majorHAnsi" w:cs="Calibri"/>
        </w:rPr>
        <w:t xml:space="preserve">Bivariate twin models were run to examine the cross-sectional and longitudinal covariation between the neurodevelopmental factor and cognitive and educational outcomes, mirroring phenotypic analyses. Analyses involving binary outcomes (referral for special education at age 7 and statement of special education needs at age 12) were carried out using a liability threshold model framework, which assumes that the liability of the binary measures is underpinned by a normally distributed continuum of risk </w:t>
      </w:r>
      <w:r w:rsidR="007633F4" w:rsidRPr="007633F4">
        <w:rPr>
          <w:rFonts w:ascii="Aptos Display" w:hAnsi="Aptos Display"/>
        </w:rPr>
        <w:t>[7, 17]</w:t>
      </w:r>
      <w:r w:rsidRPr="002441C6">
        <w:rPr>
          <w:rFonts w:asciiTheme="majorHAnsi" w:hAnsiTheme="majorHAnsi" w:cs="Calibri"/>
        </w:rPr>
        <w:t xml:space="preserve">. For most outcomes, we found evidence of significant genetic and individual-specific environmental </w:t>
      </w:r>
      <w:r w:rsidR="00A54F20">
        <w:rPr>
          <w:rFonts w:asciiTheme="majorHAnsi" w:hAnsiTheme="majorHAnsi" w:cs="Calibri"/>
        </w:rPr>
        <w:t>correlations</w:t>
      </w:r>
      <w:r w:rsidRPr="002441C6">
        <w:rPr>
          <w:rFonts w:asciiTheme="majorHAnsi" w:hAnsiTheme="majorHAnsi" w:cs="Calibri"/>
        </w:rPr>
        <w:t xml:space="preserve"> between the neurodevelopmental factor and cognitive/educational outcomes</w:t>
      </w:r>
      <w:r w:rsidR="006745DC">
        <w:rPr>
          <w:rFonts w:asciiTheme="majorHAnsi" w:hAnsiTheme="majorHAnsi" w:cs="Calibri"/>
        </w:rPr>
        <w:t xml:space="preserve"> (</w:t>
      </w:r>
      <w:r w:rsidR="006745DC" w:rsidRPr="002441C6">
        <w:rPr>
          <w:rFonts w:asciiTheme="majorHAnsi" w:hAnsiTheme="majorHAnsi" w:cs="Calibri"/>
        </w:rPr>
        <w:t>Supplementary Table 1</w:t>
      </w:r>
      <w:r w:rsidR="006745DC">
        <w:rPr>
          <w:rFonts w:asciiTheme="majorHAnsi" w:hAnsiTheme="majorHAnsi" w:cs="Calibri"/>
        </w:rPr>
        <w:t>6)</w:t>
      </w:r>
      <w:r w:rsidRPr="002441C6">
        <w:rPr>
          <w:rFonts w:asciiTheme="majorHAnsi" w:hAnsiTheme="majorHAnsi" w:cs="Calibri"/>
        </w:rPr>
        <w:t>.</w:t>
      </w:r>
      <w:r w:rsidR="006745DC">
        <w:rPr>
          <w:rFonts w:asciiTheme="majorHAnsi" w:hAnsiTheme="majorHAnsi" w:cs="Calibri"/>
        </w:rPr>
        <w:t xml:space="preserve"> </w:t>
      </w:r>
    </w:p>
    <w:p w14:paraId="1C220587" w14:textId="4A4EFC36" w:rsidR="00FE2EEB" w:rsidRPr="000C28AE" w:rsidRDefault="009331CB" w:rsidP="00AB3BCC">
      <w:pPr>
        <w:spacing w:after="0" w:line="360" w:lineRule="auto"/>
        <w:ind w:firstLine="0"/>
        <w:jc w:val="center"/>
        <w:rPr>
          <w:rFonts w:asciiTheme="majorHAnsi" w:hAnsiTheme="majorHAnsi" w:cs="Calibri"/>
          <w:noProof/>
        </w:rPr>
      </w:pPr>
      <w:r>
        <w:rPr>
          <w:rFonts w:asciiTheme="majorHAnsi" w:hAnsiTheme="majorHAnsi" w:cs="Calibri"/>
          <w:noProof/>
        </w:rPr>
        <w:lastRenderedPageBreak/>
        <w:drawing>
          <wp:inline distT="0" distB="0" distL="0" distR="0" wp14:anchorId="69D7B7E0" wp14:editId="33FB8C60">
            <wp:extent cx="7479674" cy="4790891"/>
            <wp:effectExtent l="0" t="0" r="6985" b="0"/>
            <wp:docPr id="13365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816" b="14503"/>
                    <a:stretch>
                      <a:fillRect/>
                    </a:stretch>
                  </pic:blipFill>
                  <pic:spPr bwMode="auto">
                    <a:xfrm>
                      <a:off x="0" y="0"/>
                      <a:ext cx="7480300" cy="4791292"/>
                    </a:xfrm>
                    <a:prstGeom prst="rect">
                      <a:avLst/>
                    </a:prstGeom>
                    <a:noFill/>
                    <a:ln>
                      <a:noFill/>
                    </a:ln>
                    <a:extLst>
                      <a:ext uri="{53640926-AAD7-44D8-BBD7-CCE9431645EC}">
                        <a14:shadowObscured xmlns:a14="http://schemas.microsoft.com/office/drawing/2010/main"/>
                      </a:ext>
                    </a:extLst>
                  </pic:spPr>
                </pic:pic>
              </a:graphicData>
            </a:graphic>
          </wp:inline>
        </w:drawing>
      </w:r>
    </w:p>
    <w:p w14:paraId="24A876E6" w14:textId="15AA1DF5" w:rsidR="006D09DF" w:rsidRPr="002441C6" w:rsidRDefault="000B19F8" w:rsidP="00AB3BCC">
      <w:pPr>
        <w:tabs>
          <w:tab w:val="left" w:pos="1725"/>
        </w:tabs>
        <w:spacing w:line="360" w:lineRule="auto"/>
        <w:ind w:firstLine="0"/>
        <w:rPr>
          <w:rFonts w:asciiTheme="majorHAnsi" w:hAnsiTheme="majorHAnsi" w:cs="Calibri"/>
        </w:rPr>
        <w:sectPr w:rsidR="006D09DF" w:rsidRPr="002441C6" w:rsidSect="00A86636">
          <w:pgSz w:w="15840" w:h="12240" w:orient="landscape"/>
          <w:pgMar w:top="1440" w:right="1440" w:bottom="1440" w:left="1440" w:header="720" w:footer="720" w:gutter="0"/>
          <w:cols w:space="720"/>
          <w:docGrid w:linePitch="360"/>
        </w:sectPr>
      </w:pPr>
      <w:r w:rsidRPr="002441C6">
        <w:rPr>
          <w:rFonts w:asciiTheme="majorHAnsi" w:hAnsiTheme="majorHAnsi" w:cs="Calibri"/>
          <w:b/>
          <w:bCs/>
        </w:rPr>
        <w:t>Supplementary Figure 1</w:t>
      </w:r>
      <w:r w:rsidR="000533D7" w:rsidRPr="002441C6">
        <w:rPr>
          <w:rFonts w:asciiTheme="majorHAnsi" w:hAnsiTheme="majorHAnsi" w:cs="Calibri"/>
        </w:rPr>
        <w:t xml:space="preserve">. Phenotypic factor structure at age 16 using self-reported items. Paths depict correlations of at least .50 with a shift of at least 1 primary loading across levels (indicating movement of significant content from a higher level to a lower level of the hierarchy); </w:t>
      </w:r>
      <w:proofErr w:type="gramStart"/>
      <w:r w:rsidR="000533D7" w:rsidRPr="002441C6">
        <w:rPr>
          <w:rFonts w:asciiTheme="majorHAnsi" w:hAnsiTheme="majorHAnsi" w:cs="Calibri"/>
        </w:rPr>
        <w:t>with the exception of</w:t>
      </w:r>
      <w:proofErr w:type="gramEnd"/>
      <w:r w:rsidR="000533D7" w:rsidRPr="002441C6">
        <w:rPr>
          <w:rFonts w:asciiTheme="majorHAnsi" w:hAnsiTheme="majorHAnsi" w:cs="Calibri"/>
        </w:rPr>
        <w:t xml:space="preserve"> the dashed paths where no paths met these criteria, therefore the largest path with a shift in at least 1 primary loading is shown. </w:t>
      </w:r>
      <w:r w:rsidR="000533D7" w:rsidRPr="002441C6">
        <w:rPr>
          <w:rFonts w:asciiTheme="majorHAnsi" w:hAnsiTheme="majorHAnsi" w:cs="Calibri"/>
          <w:lang w:val="en-US"/>
        </w:rPr>
        <w:t xml:space="preserve">ANHED=anhedonia, </w:t>
      </w:r>
      <w:r w:rsidR="000533D7" w:rsidRPr="002441C6">
        <w:rPr>
          <w:rFonts w:asciiTheme="majorHAnsi" w:hAnsiTheme="majorHAnsi" w:cs="Calibri"/>
        </w:rPr>
        <w:t>ANTISOC=antisociality, DETACH=detachment, DIST=distress</w:t>
      </w:r>
      <w:r w:rsidR="005F5BE6" w:rsidRPr="002441C6">
        <w:rPr>
          <w:rFonts w:asciiTheme="majorHAnsi" w:hAnsiTheme="majorHAnsi" w:cs="Calibri"/>
        </w:rPr>
        <w:t>,</w:t>
      </w:r>
      <w:r w:rsidR="000533D7" w:rsidRPr="002441C6">
        <w:rPr>
          <w:rFonts w:asciiTheme="majorHAnsi" w:hAnsiTheme="majorHAnsi" w:cs="Calibri"/>
        </w:rPr>
        <w:t xml:space="preserve"> DYSREG=dysregulation, GRAND=grandiosity, EMO DETACH, </w:t>
      </w:r>
      <w:r w:rsidR="000533D7" w:rsidRPr="002441C6">
        <w:rPr>
          <w:rFonts w:asciiTheme="majorHAnsi" w:hAnsiTheme="majorHAnsi" w:cs="Calibri"/>
        </w:rPr>
        <w:lastRenderedPageBreak/>
        <w:t>emotional detachment, EXT=externalizing, GRAND=grandiosity, INAT= inattention, HYPER=</w:t>
      </w:r>
      <w:r w:rsidR="004F192A" w:rsidRPr="002441C6">
        <w:rPr>
          <w:rFonts w:asciiTheme="majorHAnsi" w:hAnsiTheme="majorHAnsi" w:cs="Calibri"/>
        </w:rPr>
        <w:t>hyperactivity-impulsivity</w:t>
      </w:r>
      <w:r w:rsidR="000533D7" w:rsidRPr="002441C6">
        <w:rPr>
          <w:rFonts w:asciiTheme="majorHAnsi" w:hAnsiTheme="majorHAnsi" w:cs="Calibri"/>
        </w:rPr>
        <w:t>, IMAGIN DIF=imagination difficulties, INT=internalizing, Low PROSOC=low prosociality, ND=neurodevelopmental, p=general psychopathology, PARAN=paranoia,  PSYCHOP=psychopathy, RRB</w:t>
      </w:r>
      <w:r w:rsidR="0061128C" w:rsidRPr="002441C6">
        <w:rPr>
          <w:rFonts w:asciiTheme="majorHAnsi" w:hAnsiTheme="majorHAnsi" w:cs="Calibri"/>
        </w:rPr>
        <w:t>I</w:t>
      </w:r>
      <w:r w:rsidR="000533D7" w:rsidRPr="002441C6">
        <w:rPr>
          <w:rFonts w:asciiTheme="majorHAnsi" w:hAnsiTheme="majorHAnsi" w:cs="Calibri"/>
        </w:rPr>
        <w:t xml:space="preserve"> =repetitive and restrictive </w:t>
      </w:r>
      <w:proofErr w:type="spellStart"/>
      <w:r w:rsidR="000533D7" w:rsidRPr="002441C6">
        <w:rPr>
          <w:rFonts w:asciiTheme="majorHAnsi" w:hAnsiTheme="majorHAnsi" w:cs="Calibri"/>
        </w:rPr>
        <w:t>behaviors</w:t>
      </w:r>
      <w:proofErr w:type="spellEnd"/>
      <w:r w:rsidR="0061128C" w:rsidRPr="002441C6">
        <w:rPr>
          <w:rFonts w:asciiTheme="majorHAnsi" w:hAnsiTheme="majorHAnsi" w:cs="Calibri"/>
        </w:rPr>
        <w:t xml:space="preserve"> and interests</w:t>
      </w:r>
      <w:r w:rsidR="000533D7" w:rsidRPr="002441C6">
        <w:rPr>
          <w:rFonts w:asciiTheme="majorHAnsi" w:hAnsiTheme="majorHAnsi" w:cs="Calibri"/>
        </w:rPr>
        <w:t>, SOC DIF=social difficulties</w:t>
      </w:r>
      <w:r w:rsidR="006D09DF" w:rsidRPr="002441C6">
        <w:rPr>
          <w:rFonts w:asciiTheme="majorHAnsi" w:hAnsiTheme="majorHAnsi" w:cs="Calibri"/>
        </w:rPr>
        <w:t>.</w:t>
      </w:r>
    </w:p>
    <w:p w14:paraId="0F9B704C" w14:textId="5BCDC522" w:rsidR="00BC3113" w:rsidRPr="002441C6" w:rsidRDefault="0061128C" w:rsidP="00AB3BCC">
      <w:pPr>
        <w:tabs>
          <w:tab w:val="left" w:pos="567"/>
        </w:tabs>
        <w:spacing w:line="360" w:lineRule="auto"/>
        <w:ind w:firstLine="0"/>
        <w:jc w:val="center"/>
        <w:rPr>
          <w:rFonts w:asciiTheme="majorHAnsi" w:hAnsiTheme="majorHAnsi" w:cs="Calibri"/>
        </w:rPr>
      </w:pPr>
      <w:r w:rsidRPr="002441C6">
        <w:rPr>
          <w:rFonts w:asciiTheme="majorHAnsi" w:hAnsiTheme="majorHAnsi" w:cs="Calibri"/>
          <w:noProof/>
          <w:vertAlign w:val="subscript"/>
        </w:rPr>
        <w:lastRenderedPageBreak/>
        <w:drawing>
          <wp:inline distT="0" distB="0" distL="0" distR="0" wp14:anchorId="2FBA9AF8" wp14:editId="5C202512">
            <wp:extent cx="4829176" cy="3384550"/>
            <wp:effectExtent l="0" t="0" r="9525" b="6350"/>
            <wp:docPr id="1732592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40811" cy="3392704"/>
                    </a:xfrm>
                    <a:prstGeom prst="rect">
                      <a:avLst/>
                    </a:prstGeom>
                    <a:noFill/>
                    <a:ln>
                      <a:noFill/>
                    </a:ln>
                  </pic:spPr>
                </pic:pic>
              </a:graphicData>
            </a:graphic>
          </wp:inline>
        </w:drawing>
      </w:r>
    </w:p>
    <w:p w14:paraId="0AE94D41" w14:textId="5F3C9409" w:rsidR="003539F6" w:rsidRPr="002441C6" w:rsidRDefault="000B19F8" w:rsidP="00AB3BCC">
      <w:pPr>
        <w:tabs>
          <w:tab w:val="left" w:pos="567"/>
        </w:tabs>
        <w:spacing w:line="360" w:lineRule="auto"/>
        <w:ind w:firstLine="0"/>
        <w:rPr>
          <w:rFonts w:asciiTheme="majorHAnsi" w:hAnsiTheme="majorHAnsi" w:cs="Calibri"/>
        </w:rPr>
      </w:pPr>
      <w:r w:rsidRPr="002441C6">
        <w:rPr>
          <w:rFonts w:asciiTheme="majorHAnsi" w:hAnsiTheme="majorHAnsi" w:cs="Calibri"/>
          <w:b/>
          <w:bCs/>
        </w:rPr>
        <w:t>Supplementary Figure 2</w:t>
      </w:r>
      <w:r w:rsidR="00BC3113" w:rsidRPr="002441C6">
        <w:rPr>
          <w:rFonts w:asciiTheme="majorHAnsi" w:hAnsiTheme="majorHAnsi" w:cs="Calibri"/>
        </w:rPr>
        <w:t xml:space="preserve">. Results of the Cholesky decomposition of the covariation </w:t>
      </w:r>
      <w:r w:rsidR="006118CC" w:rsidRPr="002441C6">
        <w:rPr>
          <w:rFonts w:asciiTheme="majorHAnsi" w:hAnsiTheme="majorHAnsi" w:cs="Calibri"/>
        </w:rPr>
        <w:t>between neurodevelopmental factors across time points.</w:t>
      </w:r>
      <w:r w:rsidR="003539F6" w:rsidRPr="002441C6">
        <w:rPr>
          <w:rFonts w:asciiTheme="majorHAnsi" w:hAnsiTheme="majorHAnsi" w:cs="Calibri"/>
        </w:rPr>
        <w:br w:type="page"/>
      </w:r>
    </w:p>
    <w:p w14:paraId="67326644" w14:textId="287D6346" w:rsidR="00BC3113" w:rsidRPr="002441C6" w:rsidRDefault="00D37BE0" w:rsidP="00AB3BCC">
      <w:pPr>
        <w:tabs>
          <w:tab w:val="left" w:pos="567"/>
        </w:tabs>
        <w:spacing w:line="360" w:lineRule="auto"/>
        <w:ind w:firstLine="0"/>
        <w:rPr>
          <w:rFonts w:asciiTheme="majorHAnsi" w:hAnsiTheme="majorHAnsi" w:cs="Calibri"/>
        </w:rPr>
      </w:pPr>
      <w:r w:rsidRPr="002441C6">
        <w:rPr>
          <w:rFonts w:asciiTheme="majorHAnsi" w:hAnsiTheme="majorHAnsi" w:cs="Calibri"/>
          <w:noProof/>
        </w:rPr>
        <w:lastRenderedPageBreak/>
        <w:drawing>
          <wp:inline distT="0" distB="0" distL="0" distR="0" wp14:anchorId="6BBECB07" wp14:editId="5A90C19B">
            <wp:extent cx="5937885" cy="4062730"/>
            <wp:effectExtent l="0" t="0" r="5715" b="0"/>
            <wp:docPr id="1316718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885" cy="4062730"/>
                    </a:xfrm>
                    <a:prstGeom prst="rect">
                      <a:avLst/>
                    </a:prstGeom>
                    <a:noFill/>
                    <a:ln>
                      <a:noFill/>
                    </a:ln>
                  </pic:spPr>
                </pic:pic>
              </a:graphicData>
            </a:graphic>
          </wp:inline>
        </w:drawing>
      </w:r>
    </w:p>
    <w:p w14:paraId="6E4D9C00" w14:textId="438A89ED" w:rsidR="00B36DD0" w:rsidRPr="002441C6" w:rsidRDefault="00D37BE0" w:rsidP="00AB3BCC">
      <w:pPr>
        <w:tabs>
          <w:tab w:val="left" w:pos="567"/>
        </w:tabs>
        <w:spacing w:line="360" w:lineRule="auto"/>
        <w:ind w:firstLine="0"/>
        <w:rPr>
          <w:rFonts w:asciiTheme="majorHAnsi" w:hAnsiTheme="majorHAnsi" w:cs="Calibri"/>
        </w:rPr>
      </w:pPr>
      <w:bookmarkStart w:id="6" w:name="_Hlk189839613"/>
      <w:r w:rsidRPr="002441C6">
        <w:rPr>
          <w:rFonts w:asciiTheme="majorHAnsi" w:hAnsiTheme="majorHAnsi" w:cs="Calibri"/>
          <w:b/>
          <w:bCs/>
        </w:rPr>
        <w:t>Supplementary Figure 3</w:t>
      </w:r>
      <w:bookmarkEnd w:id="6"/>
      <w:r w:rsidRPr="002441C6">
        <w:rPr>
          <w:rFonts w:asciiTheme="majorHAnsi" w:hAnsiTheme="majorHAnsi" w:cs="Calibri"/>
        </w:rPr>
        <w:t xml:space="preserve">. Variance explained (R-squared) in neurodevelopmental factors at age 7, 12 and 16 </w:t>
      </w:r>
      <w:r w:rsidR="0013172C" w:rsidRPr="002441C6">
        <w:rPr>
          <w:rFonts w:asciiTheme="majorHAnsi" w:hAnsiTheme="majorHAnsi" w:cs="Calibri"/>
        </w:rPr>
        <w:t xml:space="preserve">by </w:t>
      </w:r>
      <w:r w:rsidRPr="002441C6">
        <w:rPr>
          <w:rFonts w:asciiTheme="majorHAnsi" w:hAnsiTheme="majorHAnsi" w:cs="Calibri"/>
        </w:rPr>
        <w:t xml:space="preserve">the most predictive polygenic score (PGS), i.e., ADHD, jointly by the 18 PGS included in primary analyses, </w:t>
      </w:r>
      <w:r w:rsidR="0013172C" w:rsidRPr="002441C6">
        <w:rPr>
          <w:rFonts w:asciiTheme="majorHAnsi" w:hAnsiTheme="majorHAnsi" w:cs="Calibri"/>
        </w:rPr>
        <w:t xml:space="preserve">and </w:t>
      </w:r>
      <w:r w:rsidRPr="002441C6">
        <w:rPr>
          <w:rFonts w:asciiTheme="majorHAnsi" w:hAnsiTheme="majorHAnsi" w:cs="Calibri"/>
        </w:rPr>
        <w:t>jointly by a wider set of 35 PGS.</w:t>
      </w:r>
      <w:r w:rsidR="004739BB" w:rsidRPr="002441C6">
        <w:rPr>
          <w:rFonts w:asciiTheme="majorHAnsi" w:hAnsiTheme="majorHAnsi" w:cs="Calibri"/>
        </w:rPr>
        <w:t xml:space="preserve"> For a full list of PGS included in each model</w:t>
      </w:r>
      <w:r w:rsidR="001E189F">
        <w:rPr>
          <w:rFonts w:asciiTheme="majorHAnsi" w:hAnsiTheme="majorHAnsi" w:cs="Calibri"/>
        </w:rPr>
        <w:t>,</w:t>
      </w:r>
      <w:r w:rsidR="004739BB" w:rsidRPr="002441C6">
        <w:rPr>
          <w:rFonts w:asciiTheme="majorHAnsi" w:hAnsiTheme="majorHAnsi" w:cs="Calibri"/>
        </w:rPr>
        <w:t xml:space="preserve"> see Supplementary Table</w:t>
      </w:r>
      <w:r w:rsidR="002C4BEF" w:rsidRPr="002441C6">
        <w:rPr>
          <w:rFonts w:asciiTheme="majorHAnsi" w:hAnsiTheme="majorHAnsi" w:cs="Calibri"/>
        </w:rPr>
        <w:t>s 2 and 1</w:t>
      </w:r>
      <w:r w:rsidR="00E57583">
        <w:rPr>
          <w:rFonts w:asciiTheme="majorHAnsi" w:hAnsiTheme="majorHAnsi" w:cs="Calibri"/>
        </w:rPr>
        <w:t>3</w:t>
      </w:r>
      <w:r w:rsidR="002C4BEF" w:rsidRPr="002441C6">
        <w:rPr>
          <w:rFonts w:asciiTheme="majorHAnsi" w:hAnsiTheme="majorHAnsi" w:cs="Calibri"/>
        </w:rPr>
        <w:t>.</w:t>
      </w:r>
      <w:r w:rsidR="004739BB" w:rsidRPr="002441C6">
        <w:rPr>
          <w:rFonts w:asciiTheme="majorHAnsi" w:hAnsiTheme="majorHAnsi" w:cs="Calibri"/>
        </w:rPr>
        <w:t xml:space="preserve"> </w:t>
      </w:r>
    </w:p>
    <w:p w14:paraId="27F1156B" w14:textId="77777777" w:rsidR="006118CC" w:rsidRPr="002441C6" w:rsidRDefault="006118CC" w:rsidP="00AB3BCC">
      <w:pPr>
        <w:tabs>
          <w:tab w:val="left" w:pos="567"/>
        </w:tabs>
        <w:spacing w:line="360" w:lineRule="auto"/>
        <w:ind w:firstLine="0"/>
        <w:rPr>
          <w:rFonts w:asciiTheme="majorHAnsi" w:hAnsiTheme="majorHAnsi" w:cs="Calibri"/>
        </w:rPr>
      </w:pPr>
    </w:p>
    <w:p w14:paraId="4DBF8F2D" w14:textId="77777777" w:rsidR="00C4492E" w:rsidRPr="002441C6" w:rsidRDefault="00C4492E" w:rsidP="00AB3BCC">
      <w:pPr>
        <w:tabs>
          <w:tab w:val="left" w:pos="567"/>
        </w:tabs>
        <w:spacing w:line="360" w:lineRule="auto"/>
        <w:ind w:firstLine="0"/>
        <w:rPr>
          <w:rFonts w:asciiTheme="majorHAnsi" w:hAnsiTheme="majorHAnsi" w:cs="Calibri"/>
        </w:rPr>
      </w:pPr>
    </w:p>
    <w:p w14:paraId="3B93B734" w14:textId="77777777" w:rsidR="00CF5ED4" w:rsidRPr="002441C6" w:rsidRDefault="00CF5ED4" w:rsidP="00EC3A65">
      <w:pPr>
        <w:tabs>
          <w:tab w:val="left" w:pos="1725"/>
        </w:tabs>
        <w:spacing w:line="360" w:lineRule="auto"/>
        <w:ind w:firstLine="0"/>
        <w:rPr>
          <w:rFonts w:asciiTheme="majorHAnsi" w:hAnsiTheme="majorHAnsi" w:cs="Calibri"/>
          <w:b/>
          <w:bCs/>
          <w:lang w:val="en-US"/>
        </w:rPr>
      </w:pPr>
      <w:r w:rsidRPr="002441C6">
        <w:rPr>
          <w:rFonts w:asciiTheme="majorHAnsi" w:hAnsiTheme="majorHAnsi" w:cs="Calibri"/>
          <w:b/>
          <w:bCs/>
          <w:lang w:val="en-US"/>
        </w:rPr>
        <w:br w:type="page"/>
      </w:r>
    </w:p>
    <w:p w14:paraId="1FA2DF97" w14:textId="032EF5AE" w:rsidR="00AB3BCC" w:rsidRPr="002441C6" w:rsidRDefault="00AB3BCC" w:rsidP="00EC3A65">
      <w:pPr>
        <w:tabs>
          <w:tab w:val="left" w:pos="1725"/>
        </w:tabs>
        <w:spacing w:line="360" w:lineRule="auto"/>
        <w:ind w:firstLine="0"/>
        <w:rPr>
          <w:rFonts w:asciiTheme="majorHAnsi" w:hAnsiTheme="majorHAnsi" w:cs="Calibri"/>
          <w:b/>
          <w:bCs/>
          <w:lang w:val="en-US"/>
        </w:rPr>
      </w:pPr>
      <w:r w:rsidRPr="002441C6">
        <w:rPr>
          <w:rFonts w:asciiTheme="majorHAnsi" w:hAnsiTheme="majorHAnsi" w:cs="Calibri"/>
          <w:b/>
          <w:bCs/>
          <w:lang w:val="en-US"/>
        </w:rPr>
        <w:lastRenderedPageBreak/>
        <w:t>SUPPLEMENTARY REFERENCES</w:t>
      </w:r>
    </w:p>
    <w:p w14:paraId="105F2BA5" w14:textId="5699C922"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 </w:t>
      </w:r>
      <w:r w:rsidRPr="007633F4">
        <w:rPr>
          <w:rFonts w:ascii="Aptos Display" w:hAnsi="Aptos Display"/>
        </w:rPr>
        <w:tab/>
        <w:t xml:space="preserve">Selzam S, Coleman JRI, Caspi A, Moffitt TE, Plomin R. A polygenic p factor for major psychiatric disorders. Translational Psychiatry. </w:t>
      </w:r>
      <w:proofErr w:type="gramStart"/>
      <w:r w:rsidRPr="007633F4">
        <w:rPr>
          <w:rFonts w:ascii="Aptos Display" w:hAnsi="Aptos Display"/>
        </w:rPr>
        <w:t>2018;8:205</w:t>
      </w:r>
      <w:proofErr w:type="gramEnd"/>
      <w:r w:rsidRPr="007633F4">
        <w:rPr>
          <w:rFonts w:ascii="Aptos Display" w:hAnsi="Aptos Display"/>
        </w:rPr>
        <w:t>.</w:t>
      </w:r>
    </w:p>
    <w:p w14:paraId="2E1A242C"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2. </w:t>
      </w:r>
      <w:r w:rsidRPr="007633F4">
        <w:rPr>
          <w:rFonts w:ascii="Aptos Display" w:hAnsi="Aptos Display"/>
        </w:rPr>
        <w:tab/>
        <w:t xml:space="preserve">Privé F, Arbel J, Vilhjálmsson BJ. LDpred2: better, faster, stronger. Bioinformatics. </w:t>
      </w:r>
      <w:proofErr w:type="gramStart"/>
      <w:r w:rsidRPr="007633F4">
        <w:rPr>
          <w:rFonts w:ascii="Aptos Display" w:hAnsi="Aptos Display"/>
        </w:rPr>
        <w:t>2021;36:5424</w:t>
      </w:r>
      <w:proofErr w:type="gramEnd"/>
      <w:r w:rsidRPr="007633F4">
        <w:rPr>
          <w:rFonts w:ascii="Aptos Display" w:hAnsi="Aptos Display"/>
        </w:rPr>
        <w:t>–5431.</w:t>
      </w:r>
    </w:p>
    <w:p w14:paraId="3BEA6D8C"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3. </w:t>
      </w:r>
      <w:r w:rsidRPr="007633F4">
        <w:rPr>
          <w:rFonts w:ascii="Aptos Display" w:hAnsi="Aptos Display"/>
        </w:rPr>
        <w:tab/>
        <w:t xml:space="preserve">Vilhjálmsson BJ, Yang J, Finucane HK, Gusev A, Lindström S, Ripke S, et al. </w:t>
      </w:r>
      <w:proofErr w:type="spellStart"/>
      <w:r w:rsidRPr="007633F4">
        <w:rPr>
          <w:rFonts w:ascii="Aptos Display" w:hAnsi="Aptos Display"/>
        </w:rPr>
        <w:t>Modeling</w:t>
      </w:r>
      <w:proofErr w:type="spellEnd"/>
      <w:r w:rsidRPr="007633F4">
        <w:rPr>
          <w:rFonts w:ascii="Aptos Display" w:hAnsi="Aptos Display"/>
        </w:rPr>
        <w:t xml:space="preserve"> Linkage Disequilibrium Increases Accuracy of Polygenic Risk Scores. Am J Hum Genet. </w:t>
      </w:r>
      <w:proofErr w:type="gramStart"/>
      <w:r w:rsidRPr="007633F4">
        <w:rPr>
          <w:rFonts w:ascii="Aptos Display" w:hAnsi="Aptos Display"/>
        </w:rPr>
        <w:t>2015;97:576</w:t>
      </w:r>
      <w:proofErr w:type="gramEnd"/>
      <w:r w:rsidRPr="007633F4">
        <w:rPr>
          <w:rFonts w:ascii="Aptos Display" w:hAnsi="Aptos Display"/>
        </w:rPr>
        <w:t>–592.</w:t>
      </w:r>
    </w:p>
    <w:p w14:paraId="2B796B3A" w14:textId="77777777" w:rsidR="007633F4" w:rsidRPr="007633F4" w:rsidRDefault="007633F4" w:rsidP="002224DD">
      <w:pPr>
        <w:pStyle w:val="Bibliography"/>
        <w:spacing w:line="360" w:lineRule="auto"/>
        <w:rPr>
          <w:rFonts w:ascii="Aptos Display" w:hAnsi="Aptos Display"/>
          <w:lang w:val="it-IT"/>
        </w:rPr>
      </w:pPr>
      <w:r w:rsidRPr="007633F4">
        <w:rPr>
          <w:rFonts w:ascii="Aptos Display" w:hAnsi="Aptos Display"/>
        </w:rPr>
        <w:t xml:space="preserve">4. </w:t>
      </w:r>
      <w:r w:rsidRPr="007633F4">
        <w:rPr>
          <w:rFonts w:ascii="Aptos Display" w:hAnsi="Aptos Display"/>
        </w:rPr>
        <w:tab/>
        <w:t xml:space="preserve">Allegrini AG, </w:t>
      </w:r>
      <w:proofErr w:type="spellStart"/>
      <w:r w:rsidRPr="007633F4">
        <w:rPr>
          <w:rFonts w:ascii="Aptos Display" w:hAnsi="Aptos Display"/>
        </w:rPr>
        <w:t>Selzam</w:t>
      </w:r>
      <w:proofErr w:type="spellEnd"/>
      <w:r w:rsidRPr="007633F4">
        <w:rPr>
          <w:rFonts w:ascii="Aptos Display" w:hAnsi="Aptos Display"/>
        </w:rPr>
        <w:t xml:space="preserve"> S, Rimfeld K, von Stumm S, Pingault JB, Plomin R. Genomic prediction of cognitive traits in childhood and adolescence. </w:t>
      </w:r>
      <w:r w:rsidRPr="007633F4">
        <w:rPr>
          <w:rFonts w:ascii="Aptos Display" w:hAnsi="Aptos Display"/>
          <w:lang w:val="it-IT"/>
        </w:rPr>
        <w:t>Mol Psychiatry. 2019;24:819–827.</w:t>
      </w:r>
    </w:p>
    <w:p w14:paraId="6C1361F7" w14:textId="77777777" w:rsidR="007633F4" w:rsidRPr="007633F4" w:rsidRDefault="007633F4" w:rsidP="002224DD">
      <w:pPr>
        <w:pStyle w:val="Bibliography"/>
        <w:spacing w:line="360" w:lineRule="auto"/>
        <w:rPr>
          <w:rFonts w:ascii="Aptos Display" w:hAnsi="Aptos Display"/>
          <w:lang w:val="it-IT"/>
        </w:rPr>
      </w:pPr>
      <w:r w:rsidRPr="007633F4">
        <w:rPr>
          <w:rFonts w:ascii="Aptos Display" w:hAnsi="Aptos Display"/>
          <w:lang w:val="it-IT"/>
        </w:rPr>
        <w:t xml:space="preserve">5. </w:t>
      </w:r>
      <w:r w:rsidRPr="007633F4">
        <w:rPr>
          <w:rFonts w:ascii="Aptos Display" w:hAnsi="Aptos Display"/>
          <w:lang w:val="it-IT"/>
        </w:rPr>
        <w:tab/>
        <w:t xml:space="preserve">Procopio F, Liao W, Rimfeld K, Malanchini M, von Stumm S, Allegrini AG, et al. </w:t>
      </w:r>
      <w:r w:rsidRPr="007633F4">
        <w:rPr>
          <w:rFonts w:ascii="Aptos Display" w:hAnsi="Aptos Display"/>
        </w:rPr>
        <w:t xml:space="preserve">Multi-polygenic score prediction of mathematics, reading, and language abilities independent of general cognitive ability. </w:t>
      </w:r>
      <w:r w:rsidRPr="007633F4">
        <w:rPr>
          <w:rFonts w:ascii="Aptos Display" w:hAnsi="Aptos Display"/>
          <w:lang w:val="it-IT"/>
        </w:rPr>
        <w:t>Mol Psychiatry. 2025;30:414–422.</w:t>
      </w:r>
    </w:p>
    <w:p w14:paraId="3EA22F06"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lang w:val="it-IT"/>
        </w:rPr>
        <w:t xml:space="preserve">6. </w:t>
      </w:r>
      <w:r w:rsidRPr="007633F4">
        <w:rPr>
          <w:rFonts w:ascii="Aptos Display" w:hAnsi="Aptos Display"/>
          <w:lang w:val="it-IT"/>
        </w:rPr>
        <w:tab/>
        <w:t xml:space="preserve">Gidziela A, Rimfeld K, Malanchini M, Allegrini AG, McMillan A, Selzam S, et al. </w:t>
      </w:r>
      <w:r w:rsidRPr="007633F4">
        <w:rPr>
          <w:rFonts w:ascii="Aptos Display" w:hAnsi="Aptos Display"/>
        </w:rPr>
        <w:t xml:space="preserve">Using DNA to predict behaviour problems from preschool to adulthood. J Child </w:t>
      </w:r>
      <w:proofErr w:type="spellStart"/>
      <w:r w:rsidRPr="007633F4">
        <w:rPr>
          <w:rFonts w:ascii="Aptos Display" w:hAnsi="Aptos Display"/>
        </w:rPr>
        <w:t>Psychol</w:t>
      </w:r>
      <w:proofErr w:type="spellEnd"/>
      <w:r w:rsidRPr="007633F4">
        <w:rPr>
          <w:rFonts w:ascii="Aptos Display" w:hAnsi="Aptos Display"/>
        </w:rPr>
        <w:t xml:space="preserve"> Psychiatry. 2021. 6 September 2021. https://doi.org/10.1111/jcpp.13519.</w:t>
      </w:r>
    </w:p>
    <w:p w14:paraId="6EF2E167"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7. </w:t>
      </w:r>
      <w:r w:rsidRPr="007633F4">
        <w:rPr>
          <w:rFonts w:ascii="Aptos Display" w:hAnsi="Aptos Display"/>
        </w:rPr>
        <w:tab/>
        <w:t xml:space="preserve">Rijsdijk FV, Sham PC. Analytic approaches to twin data using structural equation models. Briefings in Bioinformatics. </w:t>
      </w:r>
      <w:proofErr w:type="gramStart"/>
      <w:r w:rsidRPr="007633F4">
        <w:rPr>
          <w:rFonts w:ascii="Aptos Display" w:hAnsi="Aptos Display"/>
        </w:rPr>
        <w:t>2002;3:119</w:t>
      </w:r>
      <w:proofErr w:type="gramEnd"/>
      <w:r w:rsidRPr="007633F4">
        <w:rPr>
          <w:rFonts w:ascii="Aptos Display" w:hAnsi="Aptos Display"/>
        </w:rPr>
        <w:t>–133.</w:t>
      </w:r>
    </w:p>
    <w:p w14:paraId="76BE1FA8"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8. </w:t>
      </w:r>
      <w:r w:rsidRPr="007633F4">
        <w:rPr>
          <w:rFonts w:ascii="Aptos Display" w:hAnsi="Aptos Display"/>
        </w:rPr>
        <w:tab/>
        <w:t xml:space="preserve">Boker S, Neale M, Maes H, Wilde M, Spiegel M, Brick T, et al. </w:t>
      </w:r>
      <w:proofErr w:type="spellStart"/>
      <w:r w:rsidRPr="007633F4">
        <w:rPr>
          <w:rFonts w:ascii="Aptos Display" w:hAnsi="Aptos Display"/>
        </w:rPr>
        <w:t>OpenMx</w:t>
      </w:r>
      <w:proofErr w:type="spellEnd"/>
      <w:r w:rsidRPr="007633F4">
        <w:rPr>
          <w:rFonts w:ascii="Aptos Display" w:hAnsi="Aptos Display"/>
        </w:rPr>
        <w:t xml:space="preserve">: An </w:t>
      </w:r>
      <w:proofErr w:type="gramStart"/>
      <w:r w:rsidRPr="007633F4">
        <w:rPr>
          <w:rFonts w:ascii="Aptos Display" w:hAnsi="Aptos Display"/>
        </w:rPr>
        <w:t>Open Source</w:t>
      </w:r>
      <w:proofErr w:type="gramEnd"/>
      <w:r w:rsidRPr="007633F4">
        <w:rPr>
          <w:rFonts w:ascii="Aptos Display" w:hAnsi="Aptos Display"/>
        </w:rPr>
        <w:t xml:space="preserve"> Extended Structural Equation </w:t>
      </w:r>
      <w:proofErr w:type="spellStart"/>
      <w:r w:rsidRPr="007633F4">
        <w:rPr>
          <w:rFonts w:ascii="Aptos Display" w:hAnsi="Aptos Display"/>
        </w:rPr>
        <w:t>Modeling</w:t>
      </w:r>
      <w:proofErr w:type="spellEnd"/>
      <w:r w:rsidRPr="007633F4">
        <w:rPr>
          <w:rFonts w:ascii="Aptos Display" w:hAnsi="Aptos Display"/>
        </w:rPr>
        <w:t xml:space="preserve"> Framework. Psychometrika. </w:t>
      </w:r>
      <w:proofErr w:type="gramStart"/>
      <w:r w:rsidRPr="007633F4">
        <w:rPr>
          <w:rFonts w:ascii="Aptos Display" w:hAnsi="Aptos Display"/>
        </w:rPr>
        <w:t>2011;76:306</w:t>
      </w:r>
      <w:proofErr w:type="gramEnd"/>
      <w:r w:rsidRPr="007633F4">
        <w:rPr>
          <w:rFonts w:ascii="Aptos Display" w:hAnsi="Aptos Display"/>
        </w:rPr>
        <w:t>–317.</w:t>
      </w:r>
    </w:p>
    <w:p w14:paraId="76D157F4"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9. </w:t>
      </w:r>
      <w:r w:rsidRPr="007633F4">
        <w:rPr>
          <w:rFonts w:ascii="Aptos Display" w:hAnsi="Aptos Display"/>
        </w:rPr>
        <w:tab/>
        <w:t xml:space="preserve">McGue M, Bouchard TJ Jr. Adjustment of twin data for the effects of age and sex. </w:t>
      </w:r>
      <w:proofErr w:type="spellStart"/>
      <w:r w:rsidRPr="007633F4">
        <w:rPr>
          <w:rFonts w:ascii="Aptos Display" w:hAnsi="Aptos Display"/>
        </w:rPr>
        <w:t>Behav</w:t>
      </w:r>
      <w:proofErr w:type="spellEnd"/>
      <w:r w:rsidRPr="007633F4">
        <w:rPr>
          <w:rFonts w:ascii="Aptos Display" w:hAnsi="Aptos Display"/>
        </w:rPr>
        <w:t xml:space="preserve"> Genet. </w:t>
      </w:r>
      <w:proofErr w:type="gramStart"/>
      <w:r w:rsidRPr="007633F4">
        <w:rPr>
          <w:rFonts w:ascii="Aptos Display" w:hAnsi="Aptos Display"/>
        </w:rPr>
        <w:t>1984;14:325</w:t>
      </w:r>
      <w:proofErr w:type="gramEnd"/>
      <w:r w:rsidRPr="007633F4">
        <w:rPr>
          <w:rFonts w:ascii="Aptos Display" w:hAnsi="Aptos Display"/>
        </w:rPr>
        <w:t>–343.</w:t>
      </w:r>
    </w:p>
    <w:p w14:paraId="58282972"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10. </w:t>
      </w:r>
      <w:r w:rsidRPr="007633F4">
        <w:rPr>
          <w:rFonts w:ascii="Aptos Display" w:hAnsi="Aptos Display"/>
        </w:rPr>
        <w:tab/>
        <w:t xml:space="preserve">Krapohl E, Patel H, Newhouse S, Curtis CJ, von Stumm S, Dale PS, et al. </w:t>
      </w:r>
      <w:proofErr w:type="gramStart"/>
      <w:r w:rsidRPr="007633F4">
        <w:rPr>
          <w:rFonts w:ascii="Aptos Display" w:hAnsi="Aptos Display"/>
        </w:rPr>
        <w:t>Multi-polygenic</w:t>
      </w:r>
      <w:proofErr w:type="gramEnd"/>
      <w:r w:rsidRPr="007633F4">
        <w:rPr>
          <w:rFonts w:ascii="Aptos Display" w:hAnsi="Aptos Display"/>
        </w:rPr>
        <w:t xml:space="preserve"> score approach to trait prediction. Mol Psychiatry. </w:t>
      </w:r>
      <w:proofErr w:type="gramStart"/>
      <w:r w:rsidRPr="007633F4">
        <w:rPr>
          <w:rFonts w:ascii="Aptos Display" w:hAnsi="Aptos Display"/>
        </w:rPr>
        <w:t>2018;23:1368</w:t>
      </w:r>
      <w:proofErr w:type="gramEnd"/>
      <w:r w:rsidRPr="007633F4">
        <w:rPr>
          <w:rFonts w:ascii="Aptos Display" w:hAnsi="Aptos Display"/>
        </w:rPr>
        <w:t>–1374.</w:t>
      </w:r>
    </w:p>
    <w:p w14:paraId="17CAD35B"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11. </w:t>
      </w:r>
      <w:r w:rsidRPr="007633F4">
        <w:rPr>
          <w:rFonts w:ascii="Aptos Display" w:hAnsi="Aptos Display"/>
        </w:rPr>
        <w:tab/>
        <w:t xml:space="preserve">Forbes MK, Kotov R, Ruggero CJ, Watson D, Zimmerman M, Krueger RF. Delineating the joint hierarchical structure of clinical and personality disorders in an outpatient psychiatric sample. </w:t>
      </w:r>
      <w:proofErr w:type="spellStart"/>
      <w:r w:rsidRPr="007633F4">
        <w:rPr>
          <w:rFonts w:ascii="Aptos Display" w:hAnsi="Aptos Display"/>
        </w:rPr>
        <w:t>Compr</w:t>
      </w:r>
      <w:proofErr w:type="spellEnd"/>
      <w:r w:rsidRPr="007633F4">
        <w:rPr>
          <w:rFonts w:ascii="Aptos Display" w:hAnsi="Aptos Display"/>
        </w:rPr>
        <w:t xml:space="preserve"> Psychiatry. </w:t>
      </w:r>
      <w:proofErr w:type="gramStart"/>
      <w:r w:rsidRPr="007633F4">
        <w:rPr>
          <w:rFonts w:ascii="Aptos Display" w:hAnsi="Aptos Display"/>
        </w:rPr>
        <w:t>2017;79:19</w:t>
      </w:r>
      <w:proofErr w:type="gramEnd"/>
      <w:r w:rsidRPr="007633F4">
        <w:rPr>
          <w:rFonts w:ascii="Aptos Display" w:hAnsi="Aptos Display"/>
        </w:rPr>
        <w:t>–30.</w:t>
      </w:r>
    </w:p>
    <w:p w14:paraId="5B1B14D6"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12. </w:t>
      </w:r>
      <w:r w:rsidRPr="007633F4">
        <w:rPr>
          <w:rFonts w:ascii="Aptos Display" w:hAnsi="Aptos Display"/>
        </w:rPr>
        <w:tab/>
      </w:r>
      <w:r w:rsidRPr="000C28AE">
        <w:rPr>
          <w:rFonts w:ascii="Aptos Display" w:hAnsi="Aptos Display"/>
          <w:lang w:val="it-IT"/>
        </w:rPr>
        <w:t xml:space="preserve">Kotov R, Foti D, Li K, Bromet EJ, Hajcak G, Ruggero CJ. </w:t>
      </w:r>
      <w:r w:rsidRPr="007633F4">
        <w:rPr>
          <w:rFonts w:ascii="Aptos Display" w:hAnsi="Aptos Display"/>
        </w:rPr>
        <w:t xml:space="preserve">Validating dimensions of psychosis symptomatology: Neural correlates and 20-year outcomes. J </w:t>
      </w:r>
      <w:proofErr w:type="spellStart"/>
      <w:r w:rsidRPr="007633F4">
        <w:rPr>
          <w:rFonts w:ascii="Aptos Display" w:hAnsi="Aptos Display"/>
        </w:rPr>
        <w:t>Abnorm</w:t>
      </w:r>
      <w:proofErr w:type="spellEnd"/>
      <w:r w:rsidRPr="007633F4">
        <w:rPr>
          <w:rFonts w:ascii="Aptos Display" w:hAnsi="Aptos Display"/>
        </w:rPr>
        <w:t xml:space="preserve"> Psychol. </w:t>
      </w:r>
      <w:proofErr w:type="gramStart"/>
      <w:r w:rsidRPr="007633F4">
        <w:rPr>
          <w:rFonts w:ascii="Aptos Display" w:hAnsi="Aptos Display"/>
        </w:rPr>
        <w:t>2016;125:1103</w:t>
      </w:r>
      <w:proofErr w:type="gramEnd"/>
      <w:r w:rsidRPr="007633F4">
        <w:rPr>
          <w:rFonts w:ascii="Aptos Display" w:hAnsi="Aptos Display"/>
        </w:rPr>
        <w:t>–1119.</w:t>
      </w:r>
    </w:p>
    <w:p w14:paraId="38FB3A39"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13. </w:t>
      </w:r>
      <w:r w:rsidRPr="007633F4">
        <w:rPr>
          <w:rFonts w:ascii="Aptos Display" w:hAnsi="Aptos Display"/>
        </w:rPr>
        <w:tab/>
        <w:t xml:space="preserve">Michelini G, Barch DM, Tian Y, Watson D, Klein DN, Kotov R. Delineating and validating higher-order dimensions of psychopathology in the Adolescent Brain Cognitive Development (ABCD) study. </w:t>
      </w:r>
      <w:proofErr w:type="spellStart"/>
      <w:r w:rsidRPr="007633F4">
        <w:rPr>
          <w:rFonts w:ascii="Aptos Display" w:hAnsi="Aptos Display"/>
        </w:rPr>
        <w:t>Transl</w:t>
      </w:r>
      <w:proofErr w:type="spellEnd"/>
      <w:r w:rsidRPr="007633F4">
        <w:rPr>
          <w:rFonts w:ascii="Aptos Display" w:hAnsi="Aptos Display"/>
        </w:rPr>
        <w:t xml:space="preserve"> Psychiatry. </w:t>
      </w:r>
      <w:proofErr w:type="gramStart"/>
      <w:r w:rsidRPr="007633F4">
        <w:rPr>
          <w:rFonts w:ascii="Aptos Display" w:hAnsi="Aptos Display"/>
        </w:rPr>
        <w:t>2019;9:261</w:t>
      </w:r>
      <w:proofErr w:type="gramEnd"/>
      <w:r w:rsidRPr="007633F4">
        <w:rPr>
          <w:rFonts w:ascii="Aptos Display" w:hAnsi="Aptos Display"/>
        </w:rPr>
        <w:t>.</w:t>
      </w:r>
    </w:p>
    <w:p w14:paraId="18F56670"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14. </w:t>
      </w:r>
      <w:r w:rsidRPr="007633F4">
        <w:rPr>
          <w:rFonts w:ascii="Aptos Display" w:hAnsi="Aptos Display"/>
        </w:rPr>
        <w:tab/>
      </w:r>
      <w:proofErr w:type="spellStart"/>
      <w:r w:rsidRPr="007633F4">
        <w:rPr>
          <w:rFonts w:ascii="Aptos Display" w:hAnsi="Aptos Display"/>
        </w:rPr>
        <w:t>Fabrigar</w:t>
      </w:r>
      <w:proofErr w:type="spellEnd"/>
      <w:r w:rsidRPr="007633F4">
        <w:rPr>
          <w:rFonts w:ascii="Aptos Display" w:hAnsi="Aptos Display"/>
        </w:rPr>
        <w:t xml:space="preserve"> LR, Wegener DT, MacCallum RC, Strahan EJ. Evaluating the use of exploratory factor analysis in psychological research. </w:t>
      </w:r>
      <w:proofErr w:type="spellStart"/>
      <w:r w:rsidRPr="007633F4">
        <w:rPr>
          <w:rFonts w:ascii="Aptos Display" w:hAnsi="Aptos Display"/>
        </w:rPr>
        <w:t>Psychol</w:t>
      </w:r>
      <w:proofErr w:type="spellEnd"/>
      <w:r w:rsidRPr="007633F4">
        <w:rPr>
          <w:rFonts w:ascii="Aptos Display" w:hAnsi="Aptos Display"/>
        </w:rPr>
        <w:t xml:space="preserve"> Methods. </w:t>
      </w:r>
      <w:proofErr w:type="gramStart"/>
      <w:r w:rsidRPr="007633F4">
        <w:rPr>
          <w:rFonts w:ascii="Aptos Display" w:hAnsi="Aptos Display"/>
        </w:rPr>
        <w:t>1999;4:272</w:t>
      </w:r>
      <w:proofErr w:type="gramEnd"/>
      <w:r w:rsidRPr="007633F4">
        <w:rPr>
          <w:rFonts w:ascii="Aptos Display" w:hAnsi="Aptos Display"/>
        </w:rPr>
        <w:t>–299.</w:t>
      </w:r>
    </w:p>
    <w:p w14:paraId="1967A657"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lastRenderedPageBreak/>
        <w:t xml:space="preserve">15. </w:t>
      </w:r>
      <w:r w:rsidRPr="007633F4">
        <w:rPr>
          <w:rFonts w:ascii="Aptos Display" w:hAnsi="Aptos Display"/>
        </w:rPr>
        <w:tab/>
      </w:r>
      <w:proofErr w:type="spellStart"/>
      <w:r w:rsidRPr="007633F4">
        <w:rPr>
          <w:rFonts w:ascii="Aptos Display" w:hAnsi="Aptos Display"/>
        </w:rPr>
        <w:t>Velicer</w:t>
      </w:r>
      <w:proofErr w:type="spellEnd"/>
      <w:r w:rsidRPr="007633F4">
        <w:rPr>
          <w:rFonts w:ascii="Aptos Display" w:hAnsi="Aptos Display"/>
        </w:rPr>
        <w:t xml:space="preserve"> WF, Fava JL. </w:t>
      </w:r>
      <w:proofErr w:type="spellStart"/>
      <w:r w:rsidRPr="007633F4">
        <w:rPr>
          <w:rFonts w:ascii="Aptos Display" w:hAnsi="Aptos Display"/>
        </w:rPr>
        <w:t>Affects</w:t>
      </w:r>
      <w:proofErr w:type="spellEnd"/>
      <w:r w:rsidRPr="007633F4">
        <w:rPr>
          <w:rFonts w:ascii="Aptos Display" w:hAnsi="Aptos Display"/>
        </w:rPr>
        <w:t xml:space="preserve"> of variable and subject sampling on factor pattern recovery. Psychological Methods. </w:t>
      </w:r>
      <w:proofErr w:type="gramStart"/>
      <w:r w:rsidRPr="007633F4">
        <w:rPr>
          <w:rFonts w:ascii="Aptos Display" w:hAnsi="Aptos Display"/>
        </w:rPr>
        <w:t>1998;3:231</w:t>
      </w:r>
      <w:proofErr w:type="gramEnd"/>
      <w:r w:rsidRPr="007633F4">
        <w:rPr>
          <w:rFonts w:ascii="Aptos Display" w:hAnsi="Aptos Display"/>
        </w:rPr>
        <w:t>.</w:t>
      </w:r>
    </w:p>
    <w:p w14:paraId="38650E4E"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16. </w:t>
      </w:r>
      <w:r w:rsidRPr="007633F4">
        <w:rPr>
          <w:rFonts w:ascii="Aptos Display" w:hAnsi="Aptos Display"/>
        </w:rPr>
        <w:tab/>
        <w:t xml:space="preserve">Goldberg LR. Doing it all Bass-Ackwards: The development of hierarchical factor structures from the top down. J Res Pers. </w:t>
      </w:r>
      <w:proofErr w:type="gramStart"/>
      <w:r w:rsidRPr="007633F4">
        <w:rPr>
          <w:rFonts w:ascii="Aptos Display" w:hAnsi="Aptos Display"/>
        </w:rPr>
        <w:t>2006;40:347</w:t>
      </w:r>
      <w:proofErr w:type="gramEnd"/>
      <w:r w:rsidRPr="007633F4">
        <w:rPr>
          <w:rFonts w:ascii="Aptos Display" w:hAnsi="Aptos Display"/>
        </w:rPr>
        <w:t>–358.</w:t>
      </w:r>
    </w:p>
    <w:p w14:paraId="17E290BE" w14:textId="77777777" w:rsidR="007633F4" w:rsidRPr="007633F4" w:rsidRDefault="007633F4" w:rsidP="002224DD">
      <w:pPr>
        <w:pStyle w:val="Bibliography"/>
        <w:spacing w:line="360" w:lineRule="auto"/>
        <w:rPr>
          <w:rFonts w:ascii="Aptos Display" w:hAnsi="Aptos Display"/>
        </w:rPr>
      </w:pPr>
      <w:r w:rsidRPr="007633F4">
        <w:rPr>
          <w:rFonts w:ascii="Aptos Display" w:hAnsi="Aptos Display"/>
        </w:rPr>
        <w:t xml:space="preserve">17. </w:t>
      </w:r>
      <w:r w:rsidRPr="007633F4">
        <w:rPr>
          <w:rFonts w:ascii="Aptos Display" w:hAnsi="Aptos Display"/>
        </w:rPr>
        <w:tab/>
        <w:t xml:space="preserve">Rijsdijk FV, van Haren NE, Picchioni MM, McDonald C, </w:t>
      </w:r>
      <w:proofErr w:type="spellStart"/>
      <w:r w:rsidRPr="007633F4">
        <w:rPr>
          <w:rFonts w:ascii="Aptos Display" w:hAnsi="Aptos Display"/>
        </w:rPr>
        <w:t>Toulopoulou</w:t>
      </w:r>
      <w:proofErr w:type="spellEnd"/>
      <w:r w:rsidRPr="007633F4">
        <w:rPr>
          <w:rFonts w:ascii="Aptos Display" w:hAnsi="Aptos Display"/>
        </w:rPr>
        <w:t xml:space="preserve"> T, Hulshoff Pol HE, et al. Brain MRI abnormalities in schizophrenia: same genes or same environment? Psychological Medicine. </w:t>
      </w:r>
      <w:proofErr w:type="gramStart"/>
      <w:r w:rsidRPr="007633F4">
        <w:rPr>
          <w:rFonts w:ascii="Aptos Display" w:hAnsi="Aptos Display"/>
        </w:rPr>
        <w:t>2005;35:1399</w:t>
      </w:r>
      <w:proofErr w:type="gramEnd"/>
      <w:r w:rsidRPr="007633F4">
        <w:rPr>
          <w:rFonts w:ascii="Aptos Display" w:hAnsi="Aptos Display"/>
        </w:rPr>
        <w:t>–1409.</w:t>
      </w:r>
    </w:p>
    <w:p w14:paraId="073A5773" w14:textId="5C8ADEFF" w:rsidR="00AB3BCC" w:rsidRPr="002441C6" w:rsidRDefault="00AB3BCC" w:rsidP="00AB3BCC">
      <w:pPr>
        <w:tabs>
          <w:tab w:val="left" w:pos="1725"/>
        </w:tabs>
        <w:spacing w:line="360" w:lineRule="auto"/>
        <w:rPr>
          <w:rFonts w:asciiTheme="majorHAnsi" w:hAnsiTheme="majorHAnsi" w:cs="Calibri"/>
          <w:lang w:val="en-US"/>
        </w:rPr>
      </w:pPr>
    </w:p>
    <w:p w14:paraId="403DE004" w14:textId="1F807F5D" w:rsidR="000533D7" w:rsidRPr="002441C6" w:rsidRDefault="000533D7" w:rsidP="00AB3BCC">
      <w:pPr>
        <w:tabs>
          <w:tab w:val="left" w:pos="1725"/>
        </w:tabs>
        <w:spacing w:line="360" w:lineRule="auto"/>
        <w:rPr>
          <w:rFonts w:asciiTheme="majorHAnsi" w:hAnsiTheme="majorHAnsi" w:cs="Calibri"/>
          <w:lang w:val="en-US"/>
        </w:rPr>
      </w:pPr>
      <w:r w:rsidRPr="002441C6">
        <w:rPr>
          <w:rFonts w:asciiTheme="majorHAnsi" w:hAnsiTheme="majorHAnsi" w:cs="Calibri"/>
          <w:lang w:val="en-US"/>
        </w:rPr>
        <w:tab/>
      </w:r>
    </w:p>
    <w:sectPr w:rsidR="000533D7" w:rsidRPr="002441C6" w:rsidSect="006D09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5E24" w14:textId="77777777" w:rsidR="004F2078" w:rsidRDefault="004F2078" w:rsidP="00E667CA">
      <w:pPr>
        <w:spacing w:after="0" w:line="240" w:lineRule="auto"/>
      </w:pPr>
      <w:r>
        <w:separator/>
      </w:r>
    </w:p>
  </w:endnote>
  <w:endnote w:type="continuationSeparator" w:id="0">
    <w:p w14:paraId="296496FC" w14:textId="77777777" w:rsidR="004F2078" w:rsidRDefault="004F2078" w:rsidP="00E66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44640"/>
      <w:docPartObj>
        <w:docPartGallery w:val="Page Numbers (Bottom of Page)"/>
        <w:docPartUnique/>
      </w:docPartObj>
    </w:sdtPr>
    <w:sdtEndPr>
      <w:rPr>
        <w:noProof/>
      </w:rPr>
    </w:sdtEndPr>
    <w:sdtContent>
      <w:p w14:paraId="63DC2293" w14:textId="28B5E895" w:rsidR="005202FD" w:rsidRDefault="005202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8EDBCA" w14:textId="77777777" w:rsidR="005202FD" w:rsidRDefault="0052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FFC3" w14:textId="77777777" w:rsidR="004F2078" w:rsidRDefault="004F2078" w:rsidP="00E667CA">
      <w:pPr>
        <w:spacing w:after="0" w:line="240" w:lineRule="auto"/>
      </w:pPr>
      <w:r>
        <w:separator/>
      </w:r>
    </w:p>
  </w:footnote>
  <w:footnote w:type="continuationSeparator" w:id="0">
    <w:p w14:paraId="696C235A" w14:textId="77777777" w:rsidR="004F2078" w:rsidRDefault="004F2078" w:rsidP="00E66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76BD5"/>
    <w:multiLevelType w:val="hybridMultilevel"/>
    <w:tmpl w:val="E508142E"/>
    <w:lvl w:ilvl="0" w:tplc="211A6A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27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B2"/>
    <w:rsid w:val="00001D46"/>
    <w:rsid w:val="00004A2B"/>
    <w:rsid w:val="000140D3"/>
    <w:rsid w:val="000308B7"/>
    <w:rsid w:val="0003646C"/>
    <w:rsid w:val="00040228"/>
    <w:rsid w:val="000533D7"/>
    <w:rsid w:val="000537D9"/>
    <w:rsid w:val="00060CEB"/>
    <w:rsid w:val="00062ECF"/>
    <w:rsid w:val="00062F1A"/>
    <w:rsid w:val="00063D8F"/>
    <w:rsid w:val="00064796"/>
    <w:rsid w:val="00065407"/>
    <w:rsid w:val="000707C8"/>
    <w:rsid w:val="00070E17"/>
    <w:rsid w:val="000749D9"/>
    <w:rsid w:val="0008743F"/>
    <w:rsid w:val="000B19F8"/>
    <w:rsid w:val="000C28AE"/>
    <w:rsid w:val="000C2BFD"/>
    <w:rsid w:val="000C490E"/>
    <w:rsid w:val="000E08EF"/>
    <w:rsid w:val="000E286B"/>
    <w:rsid w:val="000F2BC1"/>
    <w:rsid w:val="00102DDF"/>
    <w:rsid w:val="0013172C"/>
    <w:rsid w:val="00132DE7"/>
    <w:rsid w:val="001341A7"/>
    <w:rsid w:val="00142ECF"/>
    <w:rsid w:val="00154245"/>
    <w:rsid w:val="00155353"/>
    <w:rsid w:val="0017013B"/>
    <w:rsid w:val="00182F15"/>
    <w:rsid w:val="001839E4"/>
    <w:rsid w:val="00184806"/>
    <w:rsid w:val="001954BD"/>
    <w:rsid w:val="001971E7"/>
    <w:rsid w:val="001A5053"/>
    <w:rsid w:val="001B0E5B"/>
    <w:rsid w:val="001C10E6"/>
    <w:rsid w:val="001C2C73"/>
    <w:rsid w:val="001D3C6B"/>
    <w:rsid w:val="001D42D5"/>
    <w:rsid w:val="001E189F"/>
    <w:rsid w:val="001E1C40"/>
    <w:rsid w:val="001F2A92"/>
    <w:rsid w:val="001F2C8D"/>
    <w:rsid w:val="001F3D19"/>
    <w:rsid w:val="001F4841"/>
    <w:rsid w:val="00201932"/>
    <w:rsid w:val="00211288"/>
    <w:rsid w:val="002200A1"/>
    <w:rsid w:val="002224DD"/>
    <w:rsid w:val="002275CF"/>
    <w:rsid w:val="0023407F"/>
    <w:rsid w:val="00235DB4"/>
    <w:rsid w:val="002441C6"/>
    <w:rsid w:val="002645EE"/>
    <w:rsid w:val="0026525F"/>
    <w:rsid w:val="00266581"/>
    <w:rsid w:val="002719DE"/>
    <w:rsid w:val="00271A54"/>
    <w:rsid w:val="00291A05"/>
    <w:rsid w:val="002A7124"/>
    <w:rsid w:val="002C00FA"/>
    <w:rsid w:val="002C08DB"/>
    <w:rsid w:val="002C4BEF"/>
    <w:rsid w:val="002E1E62"/>
    <w:rsid w:val="002E27F1"/>
    <w:rsid w:val="00310792"/>
    <w:rsid w:val="0031254F"/>
    <w:rsid w:val="003133D0"/>
    <w:rsid w:val="00313ABB"/>
    <w:rsid w:val="00322458"/>
    <w:rsid w:val="00322774"/>
    <w:rsid w:val="00323072"/>
    <w:rsid w:val="003467D2"/>
    <w:rsid w:val="00347B2C"/>
    <w:rsid w:val="003539F6"/>
    <w:rsid w:val="00355E00"/>
    <w:rsid w:val="00356D4E"/>
    <w:rsid w:val="00371712"/>
    <w:rsid w:val="0037487D"/>
    <w:rsid w:val="0038521C"/>
    <w:rsid w:val="0038634D"/>
    <w:rsid w:val="00391D3E"/>
    <w:rsid w:val="00393EAD"/>
    <w:rsid w:val="00396C77"/>
    <w:rsid w:val="003B7E26"/>
    <w:rsid w:val="003C04F1"/>
    <w:rsid w:val="003D1F76"/>
    <w:rsid w:val="003D4A92"/>
    <w:rsid w:val="003E7382"/>
    <w:rsid w:val="003F2A84"/>
    <w:rsid w:val="004315AA"/>
    <w:rsid w:val="00450CB2"/>
    <w:rsid w:val="00462EFB"/>
    <w:rsid w:val="00470234"/>
    <w:rsid w:val="004739BB"/>
    <w:rsid w:val="00475BEC"/>
    <w:rsid w:val="004A35D8"/>
    <w:rsid w:val="004B2356"/>
    <w:rsid w:val="004B2DDE"/>
    <w:rsid w:val="004B646E"/>
    <w:rsid w:val="004C6310"/>
    <w:rsid w:val="004E212F"/>
    <w:rsid w:val="004F192A"/>
    <w:rsid w:val="004F2078"/>
    <w:rsid w:val="00504CAE"/>
    <w:rsid w:val="00506513"/>
    <w:rsid w:val="00510449"/>
    <w:rsid w:val="005202FD"/>
    <w:rsid w:val="0053447E"/>
    <w:rsid w:val="005419BB"/>
    <w:rsid w:val="0055125D"/>
    <w:rsid w:val="005554D3"/>
    <w:rsid w:val="00572EFA"/>
    <w:rsid w:val="00582049"/>
    <w:rsid w:val="00586A6D"/>
    <w:rsid w:val="005877FB"/>
    <w:rsid w:val="00595A01"/>
    <w:rsid w:val="00597DF4"/>
    <w:rsid w:val="005A2956"/>
    <w:rsid w:val="005A45F7"/>
    <w:rsid w:val="005A644B"/>
    <w:rsid w:val="005C00B5"/>
    <w:rsid w:val="005C42C1"/>
    <w:rsid w:val="005C54EC"/>
    <w:rsid w:val="005E38B3"/>
    <w:rsid w:val="005E3C95"/>
    <w:rsid w:val="005F22EC"/>
    <w:rsid w:val="005F5BE6"/>
    <w:rsid w:val="0061128C"/>
    <w:rsid w:val="006118CC"/>
    <w:rsid w:val="006231EC"/>
    <w:rsid w:val="006457C1"/>
    <w:rsid w:val="00645C80"/>
    <w:rsid w:val="00646EA5"/>
    <w:rsid w:val="006661E9"/>
    <w:rsid w:val="006723A4"/>
    <w:rsid w:val="006745DC"/>
    <w:rsid w:val="006825A3"/>
    <w:rsid w:val="006846F1"/>
    <w:rsid w:val="00686E06"/>
    <w:rsid w:val="00696899"/>
    <w:rsid w:val="006A4E3A"/>
    <w:rsid w:val="006B4408"/>
    <w:rsid w:val="006C4F87"/>
    <w:rsid w:val="006D09DF"/>
    <w:rsid w:val="006D70AD"/>
    <w:rsid w:val="006D78CD"/>
    <w:rsid w:val="006E4645"/>
    <w:rsid w:val="006E6231"/>
    <w:rsid w:val="006E6A86"/>
    <w:rsid w:val="006F3F65"/>
    <w:rsid w:val="006F61E7"/>
    <w:rsid w:val="00700898"/>
    <w:rsid w:val="0071050F"/>
    <w:rsid w:val="0075421C"/>
    <w:rsid w:val="007542A2"/>
    <w:rsid w:val="007633F4"/>
    <w:rsid w:val="00776B40"/>
    <w:rsid w:val="0078310F"/>
    <w:rsid w:val="007A4004"/>
    <w:rsid w:val="007B6FFB"/>
    <w:rsid w:val="007C3A5B"/>
    <w:rsid w:val="007E22B3"/>
    <w:rsid w:val="007F1525"/>
    <w:rsid w:val="00800B96"/>
    <w:rsid w:val="00810854"/>
    <w:rsid w:val="00811EBB"/>
    <w:rsid w:val="00820C6D"/>
    <w:rsid w:val="0082242B"/>
    <w:rsid w:val="00837F29"/>
    <w:rsid w:val="0087082A"/>
    <w:rsid w:val="00886769"/>
    <w:rsid w:val="008A7199"/>
    <w:rsid w:val="008B6290"/>
    <w:rsid w:val="008B6CD5"/>
    <w:rsid w:val="008C1A2C"/>
    <w:rsid w:val="008D3A00"/>
    <w:rsid w:val="008E6B23"/>
    <w:rsid w:val="009154D9"/>
    <w:rsid w:val="009213B5"/>
    <w:rsid w:val="00926239"/>
    <w:rsid w:val="009331CB"/>
    <w:rsid w:val="0093526C"/>
    <w:rsid w:val="00944D52"/>
    <w:rsid w:val="0096260F"/>
    <w:rsid w:val="00974E50"/>
    <w:rsid w:val="00991CD7"/>
    <w:rsid w:val="009A401C"/>
    <w:rsid w:val="009A7A8E"/>
    <w:rsid w:val="009B605E"/>
    <w:rsid w:val="009F0B2E"/>
    <w:rsid w:val="009F29FD"/>
    <w:rsid w:val="009F2AE6"/>
    <w:rsid w:val="009F375E"/>
    <w:rsid w:val="00A20C21"/>
    <w:rsid w:val="00A26AE5"/>
    <w:rsid w:val="00A35E5E"/>
    <w:rsid w:val="00A374CC"/>
    <w:rsid w:val="00A37EB7"/>
    <w:rsid w:val="00A51FB6"/>
    <w:rsid w:val="00A54F20"/>
    <w:rsid w:val="00A64EBD"/>
    <w:rsid w:val="00A7138E"/>
    <w:rsid w:val="00A83028"/>
    <w:rsid w:val="00A86636"/>
    <w:rsid w:val="00A911B8"/>
    <w:rsid w:val="00AA00CB"/>
    <w:rsid w:val="00AB3BCC"/>
    <w:rsid w:val="00AC503C"/>
    <w:rsid w:val="00AC76C3"/>
    <w:rsid w:val="00AD2FFE"/>
    <w:rsid w:val="00AE39C8"/>
    <w:rsid w:val="00AE4662"/>
    <w:rsid w:val="00AF7BEA"/>
    <w:rsid w:val="00B04450"/>
    <w:rsid w:val="00B15F23"/>
    <w:rsid w:val="00B165F1"/>
    <w:rsid w:val="00B205A8"/>
    <w:rsid w:val="00B30E0C"/>
    <w:rsid w:val="00B31319"/>
    <w:rsid w:val="00B36DD0"/>
    <w:rsid w:val="00B36F11"/>
    <w:rsid w:val="00B44E1D"/>
    <w:rsid w:val="00B5544E"/>
    <w:rsid w:val="00B574D8"/>
    <w:rsid w:val="00B6061A"/>
    <w:rsid w:val="00B61797"/>
    <w:rsid w:val="00B627AE"/>
    <w:rsid w:val="00B72E2E"/>
    <w:rsid w:val="00B80C8A"/>
    <w:rsid w:val="00B84AB0"/>
    <w:rsid w:val="00B949BC"/>
    <w:rsid w:val="00BB4127"/>
    <w:rsid w:val="00BC3113"/>
    <w:rsid w:val="00BC48E9"/>
    <w:rsid w:val="00BD39B7"/>
    <w:rsid w:val="00BD40E0"/>
    <w:rsid w:val="00BE73F4"/>
    <w:rsid w:val="00BF11D8"/>
    <w:rsid w:val="00C038D9"/>
    <w:rsid w:val="00C05512"/>
    <w:rsid w:val="00C162C9"/>
    <w:rsid w:val="00C164D0"/>
    <w:rsid w:val="00C235A6"/>
    <w:rsid w:val="00C26AA2"/>
    <w:rsid w:val="00C4492E"/>
    <w:rsid w:val="00C7006F"/>
    <w:rsid w:val="00C752AE"/>
    <w:rsid w:val="00C76741"/>
    <w:rsid w:val="00C8616B"/>
    <w:rsid w:val="00C92B20"/>
    <w:rsid w:val="00C9559C"/>
    <w:rsid w:val="00C95C56"/>
    <w:rsid w:val="00CA5B56"/>
    <w:rsid w:val="00CC01C5"/>
    <w:rsid w:val="00CC0CDE"/>
    <w:rsid w:val="00CC31DD"/>
    <w:rsid w:val="00CC4991"/>
    <w:rsid w:val="00CD5E53"/>
    <w:rsid w:val="00CF5ED4"/>
    <w:rsid w:val="00D11445"/>
    <w:rsid w:val="00D1424D"/>
    <w:rsid w:val="00D2142B"/>
    <w:rsid w:val="00D23AE6"/>
    <w:rsid w:val="00D31673"/>
    <w:rsid w:val="00D367A5"/>
    <w:rsid w:val="00D37BE0"/>
    <w:rsid w:val="00D42715"/>
    <w:rsid w:val="00D45A24"/>
    <w:rsid w:val="00D533E4"/>
    <w:rsid w:val="00D564A4"/>
    <w:rsid w:val="00D6039B"/>
    <w:rsid w:val="00D659C3"/>
    <w:rsid w:val="00D6735E"/>
    <w:rsid w:val="00D675E8"/>
    <w:rsid w:val="00D82252"/>
    <w:rsid w:val="00D85B93"/>
    <w:rsid w:val="00D90A38"/>
    <w:rsid w:val="00D93E24"/>
    <w:rsid w:val="00D96C0B"/>
    <w:rsid w:val="00DA14CD"/>
    <w:rsid w:val="00DA1B03"/>
    <w:rsid w:val="00DA5555"/>
    <w:rsid w:val="00DA6E72"/>
    <w:rsid w:val="00DB6B13"/>
    <w:rsid w:val="00DC0CB1"/>
    <w:rsid w:val="00DC2C20"/>
    <w:rsid w:val="00DC6215"/>
    <w:rsid w:val="00DE15FB"/>
    <w:rsid w:val="00DE24EE"/>
    <w:rsid w:val="00DE2923"/>
    <w:rsid w:val="00DE3C00"/>
    <w:rsid w:val="00DF63A6"/>
    <w:rsid w:val="00DF68A3"/>
    <w:rsid w:val="00DF7120"/>
    <w:rsid w:val="00E15398"/>
    <w:rsid w:val="00E161DD"/>
    <w:rsid w:val="00E263F5"/>
    <w:rsid w:val="00E342DE"/>
    <w:rsid w:val="00E44EEB"/>
    <w:rsid w:val="00E57583"/>
    <w:rsid w:val="00E61204"/>
    <w:rsid w:val="00E62C70"/>
    <w:rsid w:val="00E667CA"/>
    <w:rsid w:val="00E82F3F"/>
    <w:rsid w:val="00EA25DE"/>
    <w:rsid w:val="00EA3711"/>
    <w:rsid w:val="00EA782D"/>
    <w:rsid w:val="00EB3FC5"/>
    <w:rsid w:val="00EB5A0A"/>
    <w:rsid w:val="00EC3A65"/>
    <w:rsid w:val="00EC77C4"/>
    <w:rsid w:val="00ED3B15"/>
    <w:rsid w:val="00ED6CE8"/>
    <w:rsid w:val="00ED71D7"/>
    <w:rsid w:val="00ED7C79"/>
    <w:rsid w:val="00EF5009"/>
    <w:rsid w:val="00F01408"/>
    <w:rsid w:val="00F02599"/>
    <w:rsid w:val="00F04D18"/>
    <w:rsid w:val="00F356FF"/>
    <w:rsid w:val="00F35CBA"/>
    <w:rsid w:val="00F63244"/>
    <w:rsid w:val="00F6408A"/>
    <w:rsid w:val="00F737B3"/>
    <w:rsid w:val="00F80881"/>
    <w:rsid w:val="00F826AC"/>
    <w:rsid w:val="00F9050B"/>
    <w:rsid w:val="00F966B3"/>
    <w:rsid w:val="00FA2A09"/>
    <w:rsid w:val="00FA6074"/>
    <w:rsid w:val="00FB4EA9"/>
    <w:rsid w:val="00FC24F8"/>
    <w:rsid w:val="00FE2404"/>
    <w:rsid w:val="00FE2EEB"/>
    <w:rsid w:val="00FF17ED"/>
    <w:rsid w:val="00FF19CD"/>
    <w:rsid w:val="00FF3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AA404"/>
  <w15:chartTrackingRefBased/>
  <w15:docId w15:val="{C69A1EAE-73BB-49FB-ACBD-5890B2B9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CC"/>
  </w:style>
  <w:style w:type="paragraph" w:styleId="Heading1">
    <w:name w:val="heading 1"/>
    <w:basedOn w:val="Normal"/>
    <w:next w:val="Normal"/>
    <w:link w:val="Heading1Char"/>
    <w:uiPriority w:val="9"/>
    <w:qFormat/>
    <w:rsid w:val="00450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CB2"/>
    <w:rPr>
      <w:rFonts w:eastAsiaTheme="majorEastAsia" w:cstheme="majorBidi"/>
      <w:color w:val="272727" w:themeColor="text1" w:themeTint="D8"/>
    </w:rPr>
  </w:style>
  <w:style w:type="paragraph" w:styleId="Title">
    <w:name w:val="Title"/>
    <w:basedOn w:val="Normal"/>
    <w:next w:val="Normal"/>
    <w:link w:val="TitleChar"/>
    <w:uiPriority w:val="10"/>
    <w:qFormat/>
    <w:rsid w:val="00450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CB2"/>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CB2"/>
    <w:pPr>
      <w:spacing w:before="160"/>
      <w:jc w:val="center"/>
    </w:pPr>
    <w:rPr>
      <w:i/>
      <w:iCs/>
      <w:color w:val="404040" w:themeColor="text1" w:themeTint="BF"/>
    </w:rPr>
  </w:style>
  <w:style w:type="character" w:customStyle="1" w:styleId="QuoteChar">
    <w:name w:val="Quote Char"/>
    <w:basedOn w:val="DefaultParagraphFont"/>
    <w:link w:val="Quote"/>
    <w:uiPriority w:val="29"/>
    <w:rsid w:val="00450CB2"/>
    <w:rPr>
      <w:i/>
      <w:iCs/>
      <w:color w:val="404040" w:themeColor="text1" w:themeTint="BF"/>
    </w:rPr>
  </w:style>
  <w:style w:type="paragraph" w:styleId="ListParagraph">
    <w:name w:val="List Paragraph"/>
    <w:basedOn w:val="Normal"/>
    <w:uiPriority w:val="34"/>
    <w:qFormat/>
    <w:rsid w:val="00450CB2"/>
    <w:pPr>
      <w:ind w:left="720"/>
      <w:contextualSpacing/>
    </w:pPr>
  </w:style>
  <w:style w:type="character" w:styleId="IntenseEmphasis">
    <w:name w:val="Intense Emphasis"/>
    <w:basedOn w:val="DefaultParagraphFont"/>
    <w:uiPriority w:val="21"/>
    <w:qFormat/>
    <w:rsid w:val="00450CB2"/>
    <w:rPr>
      <w:i/>
      <w:iCs/>
      <w:color w:val="0F4761" w:themeColor="accent1" w:themeShade="BF"/>
    </w:rPr>
  </w:style>
  <w:style w:type="paragraph" w:styleId="IntenseQuote">
    <w:name w:val="Intense Quote"/>
    <w:basedOn w:val="Normal"/>
    <w:next w:val="Normal"/>
    <w:link w:val="IntenseQuoteChar"/>
    <w:uiPriority w:val="30"/>
    <w:qFormat/>
    <w:rsid w:val="00450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CB2"/>
    <w:rPr>
      <w:i/>
      <w:iCs/>
      <w:color w:val="0F4761" w:themeColor="accent1" w:themeShade="BF"/>
    </w:rPr>
  </w:style>
  <w:style w:type="character" w:styleId="IntenseReference">
    <w:name w:val="Intense Reference"/>
    <w:basedOn w:val="DefaultParagraphFont"/>
    <w:uiPriority w:val="32"/>
    <w:qFormat/>
    <w:rsid w:val="00450CB2"/>
    <w:rPr>
      <w:b/>
      <w:bCs/>
      <w:smallCaps/>
      <w:color w:val="0F4761" w:themeColor="accent1" w:themeShade="BF"/>
      <w:spacing w:val="5"/>
    </w:rPr>
  </w:style>
  <w:style w:type="table" w:styleId="TableGrid">
    <w:name w:val="Table Grid"/>
    <w:basedOn w:val="TableNormal"/>
    <w:uiPriority w:val="39"/>
    <w:rsid w:val="0045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A2B"/>
    <w:rPr>
      <w:sz w:val="16"/>
      <w:szCs w:val="16"/>
    </w:rPr>
  </w:style>
  <w:style w:type="paragraph" w:styleId="CommentText">
    <w:name w:val="annotation text"/>
    <w:basedOn w:val="Normal"/>
    <w:link w:val="CommentTextChar"/>
    <w:uiPriority w:val="99"/>
    <w:unhideWhenUsed/>
    <w:rsid w:val="00004A2B"/>
    <w:pPr>
      <w:spacing w:line="240" w:lineRule="auto"/>
    </w:pPr>
    <w:rPr>
      <w:sz w:val="20"/>
      <w:szCs w:val="20"/>
    </w:rPr>
  </w:style>
  <w:style w:type="character" w:customStyle="1" w:styleId="CommentTextChar">
    <w:name w:val="Comment Text Char"/>
    <w:basedOn w:val="DefaultParagraphFont"/>
    <w:link w:val="CommentText"/>
    <w:uiPriority w:val="99"/>
    <w:rsid w:val="00004A2B"/>
    <w:rPr>
      <w:sz w:val="20"/>
      <w:szCs w:val="20"/>
    </w:rPr>
  </w:style>
  <w:style w:type="paragraph" w:styleId="CommentSubject">
    <w:name w:val="annotation subject"/>
    <w:basedOn w:val="CommentText"/>
    <w:next w:val="CommentText"/>
    <w:link w:val="CommentSubjectChar"/>
    <w:uiPriority w:val="99"/>
    <w:semiHidden/>
    <w:unhideWhenUsed/>
    <w:rsid w:val="00004A2B"/>
    <w:rPr>
      <w:b/>
      <w:bCs/>
    </w:rPr>
  </w:style>
  <w:style w:type="character" w:customStyle="1" w:styleId="CommentSubjectChar">
    <w:name w:val="Comment Subject Char"/>
    <w:basedOn w:val="CommentTextChar"/>
    <w:link w:val="CommentSubject"/>
    <w:uiPriority w:val="99"/>
    <w:semiHidden/>
    <w:rsid w:val="00004A2B"/>
    <w:rPr>
      <w:b/>
      <w:bCs/>
      <w:sz w:val="20"/>
      <w:szCs w:val="20"/>
    </w:rPr>
  </w:style>
  <w:style w:type="character" w:styleId="Hyperlink">
    <w:name w:val="Hyperlink"/>
    <w:basedOn w:val="DefaultParagraphFont"/>
    <w:uiPriority w:val="99"/>
    <w:unhideWhenUsed/>
    <w:rsid w:val="003F2A84"/>
    <w:rPr>
      <w:color w:val="467886" w:themeColor="hyperlink"/>
      <w:u w:val="single"/>
    </w:rPr>
  </w:style>
  <w:style w:type="character" w:styleId="UnresolvedMention">
    <w:name w:val="Unresolved Mention"/>
    <w:basedOn w:val="DefaultParagraphFont"/>
    <w:uiPriority w:val="99"/>
    <w:semiHidden/>
    <w:unhideWhenUsed/>
    <w:rsid w:val="003F2A84"/>
    <w:rPr>
      <w:color w:val="605E5C"/>
      <w:shd w:val="clear" w:color="auto" w:fill="E1DFDD"/>
    </w:rPr>
  </w:style>
  <w:style w:type="table" w:styleId="PlainTable5">
    <w:name w:val="Plain Table 5"/>
    <w:basedOn w:val="TableNormal"/>
    <w:uiPriority w:val="45"/>
    <w:rsid w:val="0093526C"/>
    <w:pPr>
      <w:spacing w:after="0" w:line="240" w:lineRule="auto"/>
      <w:ind w:firstLine="0"/>
    </w:pPr>
    <w:rPr>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66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7CA"/>
  </w:style>
  <w:style w:type="paragraph" w:styleId="Footer">
    <w:name w:val="footer"/>
    <w:basedOn w:val="Normal"/>
    <w:link w:val="FooterChar"/>
    <w:uiPriority w:val="99"/>
    <w:unhideWhenUsed/>
    <w:rsid w:val="00E66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7CA"/>
  </w:style>
  <w:style w:type="paragraph" w:styleId="Bibliography">
    <w:name w:val="Bibliography"/>
    <w:basedOn w:val="Normal"/>
    <w:next w:val="Normal"/>
    <w:uiPriority w:val="37"/>
    <w:unhideWhenUsed/>
    <w:rsid w:val="00EC3A65"/>
    <w:pPr>
      <w:tabs>
        <w:tab w:val="left" w:pos="384"/>
      </w:tabs>
      <w:spacing w:after="0" w:line="240" w:lineRule="auto"/>
      <w:ind w:left="384" w:hanging="384"/>
    </w:pPr>
  </w:style>
  <w:style w:type="paragraph" w:styleId="Revision">
    <w:name w:val="Revision"/>
    <w:hidden/>
    <w:uiPriority w:val="99"/>
    <w:semiHidden/>
    <w:rsid w:val="00347B2C"/>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912">
      <w:bodyDiv w:val="1"/>
      <w:marLeft w:val="0"/>
      <w:marRight w:val="0"/>
      <w:marTop w:val="0"/>
      <w:marBottom w:val="0"/>
      <w:divBdr>
        <w:top w:val="none" w:sz="0" w:space="0" w:color="auto"/>
        <w:left w:val="none" w:sz="0" w:space="0" w:color="auto"/>
        <w:bottom w:val="none" w:sz="0" w:space="0" w:color="auto"/>
        <w:right w:val="none" w:sz="0" w:space="0" w:color="auto"/>
      </w:divBdr>
    </w:div>
    <w:div w:id="213857609">
      <w:bodyDiv w:val="1"/>
      <w:marLeft w:val="0"/>
      <w:marRight w:val="0"/>
      <w:marTop w:val="0"/>
      <w:marBottom w:val="0"/>
      <w:divBdr>
        <w:top w:val="none" w:sz="0" w:space="0" w:color="auto"/>
        <w:left w:val="none" w:sz="0" w:space="0" w:color="auto"/>
        <w:bottom w:val="none" w:sz="0" w:space="0" w:color="auto"/>
        <w:right w:val="none" w:sz="0" w:space="0" w:color="auto"/>
      </w:divBdr>
    </w:div>
    <w:div w:id="1086421795">
      <w:bodyDiv w:val="1"/>
      <w:marLeft w:val="0"/>
      <w:marRight w:val="0"/>
      <w:marTop w:val="0"/>
      <w:marBottom w:val="0"/>
      <w:divBdr>
        <w:top w:val="none" w:sz="0" w:space="0" w:color="auto"/>
        <w:left w:val="none" w:sz="0" w:space="0" w:color="auto"/>
        <w:bottom w:val="none" w:sz="0" w:space="0" w:color="auto"/>
        <w:right w:val="none" w:sz="0" w:space="0" w:color="auto"/>
      </w:divBdr>
    </w:div>
    <w:div w:id="1497304021">
      <w:bodyDiv w:val="1"/>
      <w:marLeft w:val="0"/>
      <w:marRight w:val="0"/>
      <w:marTop w:val="0"/>
      <w:marBottom w:val="0"/>
      <w:divBdr>
        <w:top w:val="none" w:sz="0" w:space="0" w:color="auto"/>
        <w:left w:val="none" w:sz="0" w:space="0" w:color="auto"/>
        <w:bottom w:val="none" w:sz="0" w:space="0" w:color="auto"/>
        <w:right w:val="none" w:sz="0" w:space="0" w:color="auto"/>
      </w:divBdr>
    </w:div>
    <w:div w:id="1791431276">
      <w:bodyDiv w:val="1"/>
      <w:marLeft w:val="0"/>
      <w:marRight w:val="0"/>
      <w:marTop w:val="0"/>
      <w:marBottom w:val="0"/>
      <w:divBdr>
        <w:top w:val="none" w:sz="0" w:space="0" w:color="auto"/>
        <w:left w:val="none" w:sz="0" w:space="0" w:color="auto"/>
        <w:bottom w:val="none" w:sz="0" w:space="0" w:color="auto"/>
        <w:right w:val="none" w:sz="0" w:space="0" w:color="auto"/>
      </w:divBdr>
    </w:div>
    <w:div w:id="19727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dqbnj/?view_only=f2510b6766bc4b86bf9344fee1139233"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ds.ac.uk/datadictionary/studies/measures/polygenic_scores.htm" TargetMode="External"/><Relationship Id="rId4" Type="http://schemas.openxmlformats.org/officeDocument/2006/relationships/settings" Target="settings.xml"/><Relationship Id="rId9" Type="http://schemas.openxmlformats.org/officeDocument/2006/relationships/hyperlink" Target="https://www.med.unc.edu/pgc/download-result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AAC37-1E8F-4189-B19A-8C6020BC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3912</Words>
  <Characters>24918</Characters>
  <Application>Microsoft Office Word</Application>
  <DocSecurity>0</DocSecurity>
  <Lines>325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Michelini</dc:creator>
  <cp:keywords/>
  <dc:description/>
  <cp:lastModifiedBy>Giorgia Michelini</cp:lastModifiedBy>
  <cp:revision>3</cp:revision>
  <dcterms:created xsi:type="dcterms:W3CDTF">2025-06-06T14:32:00Z</dcterms:created>
  <dcterms:modified xsi:type="dcterms:W3CDTF">2025-07-15T09:04:00Z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8e173817-4828-452c-a322-20e796d82306</vt:lpwstr>
  </property>
  <property fmtid="{D5CDD505-2E9C-101B-9397-08002B2CF9AE}" pid="3" name="ZOTERO_PREF_1">
    <vt:lpwstr>&lt;data data-version="3" zotero-version="7.0.15"&gt;&lt;session id="fLPQbusc"/&gt;&lt;style id="http://www.zotero.org/styles/molecular-psychiatry" hasBibliography="1" bibliographyStyleHasBeenSet="1"/&gt;&lt;prefs&gt;&lt;pref name="fieldType" value="Field"/&gt;&lt;/prefs&gt;&lt;/data&gt;</vt:lpwstr>
  </property>
</Properties>
</file>