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A7A7" w14:textId="77777777" w:rsidR="00D436A5" w:rsidRDefault="00D436A5" w:rsidP="00D436A5">
      <w:pPr>
        <w:pStyle w:val="ds-markdown-paragraph"/>
        <w:spacing w:line="480" w:lineRule="auto"/>
        <w:jc w:val="center"/>
        <w:rPr>
          <w:rFonts w:asciiTheme="majorBidi" w:eastAsiaTheme="majorEastAsia" w:hAnsiTheme="majorBidi" w:cstheme="majorBidi"/>
          <w:b/>
          <w:bCs/>
        </w:rPr>
      </w:pPr>
      <w:r w:rsidRPr="006A5CF7">
        <w:rPr>
          <w:rFonts w:asciiTheme="majorBidi" w:hAnsiTheme="majorBidi" w:cstheme="majorBidi"/>
          <w:b/>
          <w:bCs/>
        </w:rPr>
        <w:t>Gut Microbiome Dysbiosis in Hepatocellular Carcinoma Patients with Persistent HCV Viremia versus Viral Clearance: A Cross-Sectional Study</w:t>
      </w:r>
    </w:p>
    <w:p w14:paraId="58F12027" w14:textId="5BD3D3DA" w:rsidR="00C25436" w:rsidRPr="00034A28" w:rsidRDefault="00D436A5" w:rsidP="00D436A5">
      <w:pPr>
        <w:spacing w:line="480" w:lineRule="auto"/>
        <w:jc w:val="center"/>
      </w:pPr>
      <w:r w:rsidRPr="00034A28">
        <w:t>Hany R. Hashem</w:t>
      </w:r>
      <w:r w:rsidRPr="00034A28">
        <w:rPr>
          <w:vertAlign w:val="superscript"/>
        </w:rPr>
        <w:t>1</w:t>
      </w:r>
      <w:r w:rsidRPr="00034A28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034A28">
        <w:rPr>
          <w:vertAlign w:val="superscript"/>
        </w:rPr>
        <w:t>†</w:t>
      </w:r>
      <w:r w:rsidRPr="00034A28">
        <w:t>, Tasnem Yehia</w:t>
      </w:r>
      <w:r w:rsidRPr="00034A28">
        <w:rPr>
          <w:vertAlign w:val="superscript"/>
        </w:rPr>
        <w:t>2</w:t>
      </w:r>
      <w:r w:rsidRPr="00034A28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034A28">
        <w:rPr>
          <w:vertAlign w:val="superscript"/>
        </w:rPr>
        <w:t>†</w:t>
      </w:r>
      <w:r w:rsidRPr="00034A28">
        <w:t>, Marwa Azab</w:t>
      </w:r>
      <w:r w:rsidRPr="00034A28">
        <w:rPr>
          <w:vertAlign w:val="superscript"/>
        </w:rPr>
        <w:t>2</w:t>
      </w:r>
      <w:r w:rsidRPr="00034A28">
        <w:t>, Ali Abdellah</w:t>
      </w:r>
      <w:r w:rsidRPr="00034A28">
        <w:rPr>
          <w:vertAlign w:val="superscript"/>
        </w:rPr>
        <w:t>2</w:t>
      </w:r>
      <w:r w:rsidRPr="00034A28">
        <w:t>, Ibrahim A. Amin</w:t>
      </w:r>
      <w:r w:rsidRPr="00034A28">
        <w:rPr>
          <w:vertAlign w:val="superscript"/>
        </w:rPr>
        <w:t>3</w:t>
      </w:r>
      <w:r w:rsidRPr="00034A28">
        <w:t>, Mohammed Ramadan</w:t>
      </w:r>
      <w:r w:rsidRPr="00034A28">
        <w:rPr>
          <w:vertAlign w:val="superscript"/>
        </w:rPr>
        <w:t>3</w:t>
      </w:r>
      <w:r w:rsidRPr="00034A28">
        <w:t>*</w:t>
      </w:r>
    </w:p>
    <w:p w14:paraId="5A73FFEA" w14:textId="3199050B" w:rsidR="006D0C4A" w:rsidRPr="00D436A5" w:rsidRDefault="006D0C4A" w:rsidP="006D0C4A">
      <w:pPr>
        <w:pStyle w:val="ds-markdown-paragraph"/>
        <w:shd w:val="clear" w:color="auto" w:fill="FFFFFF"/>
        <w:spacing w:before="206" w:line="480" w:lineRule="auto"/>
        <w:rPr>
          <w:rFonts w:asciiTheme="majorBidi" w:hAnsiTheme="majorBidi" w:cstheme="majorBidi"/>
          <w:b/>
          <w:bCs/>
        </w:rPr>
      </w:pPr>
      <w:r w:rsidRPr="00D436A5">
        <w:rPr>
          <w:rFonts w:asciiTheme="majorBidi" w:hAnsiTheme="majorBidi" w:cstheme="majorBidi"/>
          <w:b/>
          <w:bCs/>
        </w:rPr>
        <w:t>Table S</w:t>
      </w:r>
      <w:r>
        <w:rPr>
          <w:rFonts w:asciiTheme="majorBidi" w:hAnsiTheme="majorBidi" w:cstheme="majorBidi"/>
          <w:b/>
          <w:bCs/>
        </w:rPr>
        <w:t>1</w:t>
      </w:r>
      <w:r w:rsidRPr="00D436A5">
        <w:rPr>
          <w:rFonts w:asciiTheme="majorBidi" w:hAnsiTheme="majorBidi" w:cstheme="majorBidi"/>
          <w:b/>
          <w:bCs/>
        </w:rPr>
        <w:t>. Statistical Summary of Classification Error Rates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584"/>
        <w:gridCol w:w="2279"/>
        <w:gridCol w:w="2030"/>
        <w:gridCol w:w="2092"/>
        <w:gridCol w:w="1781"/>
      </w:tblGrid>
      <w:tr w:rsidR="006D0C4A" w:rsidRPr="00DC104E" w14:paraId="6166EC75" w14:textId="77777777" w:rsidTr="00C1098E">
        <w:trPr>
          <w:trHeight w:val="483"/>
        </w:trPr>
        <w:tc>
          <w:tcPr>
            <w:tcW w:w="0" w:type="auto"/>
            <w:shd w:val="clear" w:color="auto" w:fill="auto"/>
            <w:hideMark/>
          </w:tcPr>
          <w:p w14:paraId="2F2D933E" w14:textId="77777777" w:rsidR="006D0C4A" w:rsidRPr="00DC104E" w:rsidRDefault="006D0C4A" w:rsidP="00C1098E">
            <w:pPr>
              <w:spacing w:before="20" w:after="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Group</w:t>
            </w:r>
          </w:p>
        </w:tc>
        <w:tc>
          <w:tcPr>
            <w:tcW w:w="0" w:type="auto"/>
            <w:shd w:val="clear" w:color="auto" w:fill="auto"/>
            <w:hideMark/>
          </w:tcPr>
          <w:p w14:paraId="02768632" w14:textId="77777777" w:rsidR="006D0C4A" w:rsidRPr="00DC104E" w:rsidRDefault="006D0C4A" w:rsidP="00C1098E">
            <w:pPr>
              <w:spacing w:before="20" w:after="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Mean Error</w:t>
            </w:r>
          </w:p>
        </w:tc>
        <w:tc>
          <w:tcPr>
            <w:tcW w:w="0" w:type="auto"/>
            <w:shd w:val="clear" w:color="auto" w:fill="auto"/>
            <w:hideMark/>
          </w:tcPr>
          <w:p w14:paraId="1806E962" w14:textId="77777777" w:rsidR="006D0C4A" w:rsidRPr="00DC104E" w:rsidRDefault="006D0C4A" w:rsidP="00C1098E">
            <w:pPr>
              <w:spacing w:before="20" w:after="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Min Error</w:t>
            </w:r>
          </w:p>
        </w:tc>
        <w:tc>
          <w:tcPr>
            <w:tcW w:w="0" w:type="auto"/>
            <w:shd w:val="clear" w:color="auto" w:fill="auto"/>
            <w:hideMark/>
          </w:tcPr>
          <w:p w14:paraId="5C341770" w14:textId="77777777" w:rsidR="006D0C4A" w:rsidRPr="00DC104E" w:rsidRDefault="006D0C4A" w:rsidP="00C1098E">
            <w:pPr>
              <w:spacing w:before="20" w:after="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Max Error</w:t>
            </w:r>
          </w:p>
        </w:tc>
        <w:tc>
          <w:tcPr>
            <w:tcW w:w="0" w:type="auto"/>
            <w:shd w:val="clear" w:color="auto" w:fill="auto"/>
            <w:hideMark/>
          </w:tcPr>
          <w:p w14:paraId="5574156D" w14:textId="77777777" w:rsidR="006D0C4A" w:rsidRPr="00DC104E" w:rsidRDefault="006D0C4A" w:rsidP="00C1098E">
            <w:pPr>
              <w:spacing w:before="20" w:after="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Std. Dev.</w:t>
            </w:r>
          </w:p>
        </w:tc>
      </w:tr>
      <w:tr w:rsidR="006D0C4A" w:rsidRPr="00DC104E" w14:paraId="12BBFCE6" w14:textId="77777777" w:rsidTr="00C1098E">
        <w:trPr>
          <w:trHeight w:val="483"/>
        </w:trPr>
        <w:tc>
          <w:tcPr>
            <w:tcW w:w="0" w:type="auto"/>
            <w:shd w:val="clear" w:color="auto" w:fill="auto"/>
            <w:hideMark/>
          </w:tcPr>
          <w:p w14:paraId="448A39FE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Overall</w:t>
            </w:r>
          </w:p>
        </w:tc>
        <w:tc>
          <w:tcPr>
            <w:tcW w:w="0" w:type="auto"/>
            <w:shd w:val="clear" w:color="auto" w:fill="auto"/>
            <w:hideMark/>
          </w:tcPr>
          <w:p w14:paraId="05DF97EC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0.208</w:t>
            </w:r>
          </w:p>
        </w:tc>
        <w:tc>
          <w:tcPr>
            <w:tcW w:w="0" w:type="auto"/>
            <w:shd w:val="clear" w:color="auto" w:fill="auto"/>
            <w:hideMark/>
          </w:tcPr>
          <w:p w14:paraId="6DD3F99F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0.103</w:t>
            </w:r>
          </w:p>
        </w:tc>
        <w:tc>
          <w:tcPr>
            <w:tcW w:w="0" w:type="auto"/>
            <w:shd w:val="clear" w:color="auto" w:fill="auto"/>
            <w:hideMark/>
          </w:tcPr>
          <w:p w14:paraId="781C2E23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0.300</w:t>
            </w:r>
          </w:p>
        </w:tc>
        <w:tc>
          <w:tcPr>
            <w:tcW w:w="0" w:type="auto"/>
            <w:shd w:val="clear" w:color="auto" w:fill="auto"/>
            <w:hideMark/>
          </w:tcPr>
          <w:p w14:paraId="6C22EBC6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0.059</w:t>
            </w:r>
          </w:p>
        </w:tc>
      </w:tr>
      <w:tr w:rsidR="006D0C4A" w:rsidRPr="00DC104E" w14:paraId="072BCE05" w14:textId="77777777" w:rsidTr="00C1098E">
        <w:trPr>
          <w:trHeight w:val="483"/>
        </w:trPr>
        <w:tc>
          <w:tcPr>
            <w:tcW w:w="0" w:type="auto"/>
            <w:shd w:val="clear" w:color="auto" w:fill="auto"/>
            <w:hideMark/>
          </w:tcPr>
          <w:p w14:paraId="50E1C1AB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Control</w:t>
            </w:r>
          </w:p>
        </w:tc>
        <w:tc>
          <w:tcPr>
            <w:tcW w:w="0" w:type="auto"/>
            <w:shd w:val="clear" w:color="auto" w:fill="auto"/>
            <w:hideMark/>
          </w:tcPr>
          <w:p w14:paraId="7FCFAD36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0.110</w:t>
            </w:r>
          </w:p>
        </w:tc>
        <w:tc>
          <w:tcPr>
            <w:tcW w:w="0" w:type="auto"/>
            <w:shd w:val="clear" w:color="auto" w:fill="auto"/>
            <w:hideMark/>
          </w:tcPr>
          <w:p w14:paraId="5D34E6A1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0.053</w:t>
            </w:r>
          </w:p>
        </w:tc>
        <w:tc>
          <w:tcPr>
            <w:tcW w:w="0" w:type="auto"/>
            <w:shd w:val="clear" w:color="auto" w:fill="auto"/>
            <w:hideMark/>
          </w:tcPr>
          <w:p w14:paraId="51808BA0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0.196</w:t>
            </w:r>
          </w:p>
        </w:tc>
        <w:tc>
          <w:tcPr>
            <w:tcW w:w="0" w:type="auto"/>
            <w:shd w:val="clear" w:color="auto" w:fill="auto"/>
            <w:hideMark/>
          </w:tcPr>
          <w:p w14:paraId="4B794A7F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0.041</w:t>
            </w:r>
          </w:p>
        </w:tc>
      </w:tr>
      <w:tr w:rsidR="006D0C4A" w:rsidRPr="00DC104E" w14:paraId="6412E05B" w14:textId="77777777" w:rsidTr="00C1098E">
        <w:trPr>
          <w:trHeight w:val="483"/>
        </w:trPr>
        <w:tc>
          <w:tcPr>
            <w:tcW w:w="0" w:type="auto"/>
            <w:shd w:val="clear" w:color="auto" w:fill="auto"/>
            <w:hideMark/>
          </w:tcPr>
          <w:p w14:paraId="368B4E2A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RHCC</w:t>
            </w:r>
          </w:p>
        </w:tc>
        <w:tc>
          <w:tcPr>
            <w:tcW w:w="0" w:type="auto"/>
            <w:shd w:val="clear" w:color="auto" w:fill="auto"/>
            <w:hideMark/>
          </w:tcPr>
          <w:p w14:paraId="19426B84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0.254</w:t>
            </w:r>
          </w:p>
        </w:tc>
        <w:tc>
          <w:tcPr>
            <w:tcW w:w="0" w:type="auto"/>
            <w:shd w:val="clear" w:color="auto" w:fill="auto"/>
            <w:hideMark/>
          </w:tcPr>
          <w:p w14:paraId="24235AA8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0.165</w:t>
            </w:r>
          </w:p>
        </w:tc>
        <w:tc>
          <w:tcPr>
            <w:tcW w:w="0" w:type="auto"/>
            <w:shd w:val="clear" w:color="auto" w:fill="auto"/>
            <w:hideMark/>
          </w:tcPr>
          <w:p w14:paraId="7B599F3E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0.349</w:t>
            </w:r>
          </w:p>
        </w:tc>
        <w:tc>
          <w:tcPr>
            <w:tcW w:w="0" w:type="auto"/>
            <w:shd w:val="clear" w:color="auto" w:fill="auto"/>
            <w:hideMark/>
          </w:tcPr>
          <w:p w14:paraId="383F00EA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0.051</w:t>
            </w:r>
          </w:p>
        </w:tc>
      </w:tr>
      <w:tr w:rsidR="006D0C4A" w:rsidRPr="00DC104E" w14:paraId="6FE03D59" w14:textId="77777777" w:rsidTr="00C1098E">
        <w:trPr>
          <w:trHeight w:val="483"/>
        </w:trPr>
        <w:tc>
          <w:tcPr>
            <w:tcW w:w="0" w:type="auto"/>
            <w:shd w:val="clear" w:color="auto" w:fill="auto"/>
            <w:hideMark/>
          </w:tcPr>
          <w:p w14:paraId="4335EA9C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THCC</w:t>
            </w:r>
          </w:p>
        </w:tc>
        <w:tc>
          <w:tcPr>
            <w:tcW w:w="0" w:type="auto"/>
            <w:shd w:val="clear" w:color="auto" w:fill="auto"/>
            <w:hideMark/>
          </w:tcPr>
          <w:p w14:paraId="06763D90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0.309</w:t>
            </w:r>
          </w:p>
        </w:tc>
        <w:tc>
          <w:tcPr>
            <w:tcW w:w="0" w:type="auto"/>
            <w:shd w:val="clear" w:color="auto" w:fill="auto"/>
            <w:hideMark/>
          </w:tcPr>
          <w:p w14:paraId="01247D75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0.205</w:t>
            </w:r>
          </w:p>
        </w:tc>
        <w:tc>
          <w:tcPr>
            <w:tcW w:w="0" w:type="auto"/>
            <w:shd w:val="clear" w:color="auto" w:fill="auto"/>
            <w:hideMark/>
          </w:tcPr>
          <w:p w14:paraId="6FED9132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0.398</w:t>
            </w:r>
          </w:p>
        </w:tc>
        <w:tc>
          <w:tcPr>
            <w:tcW w:w="0" w:type="auto"/>
            <w:shd w:val="clear" w:color="auto" w:fill="auto"/>
            <w:hideMark/>
          </w:tcPr>
          <w:p w14:paraId="07E82501" w14:textId="77777777" w:rsidR="006D0C4A" w:rsidRPr="00DC104E" w:rsidRDefault="006D0C4A" w:rsidP="00C1098E">
            <w:pPr>
              <w:spacing w:before="20" w:after="20" w:line="48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DC104E">
              <w:rPr>
                <w:rFonts w:asciiTheme="majorBidi" w:eastAsia="Times New Roman" w:hAnsiTheme="majorBidi" w:cstheme="majorBidi"/>
                <w:color w:val="auto"/>
              </w:rPr>
              <w:t>0.055</w:t>
            </w:r>
          </w:p>
        </w:tc>
      </w:tr>
    </w:tbl>
    <w:p w14:paraId="089E830F" w14:textId="77777777" w:rsidR="006D0C4A" w:rsidRDefault="006D0C4A" w:rsidP="006D0C4A">
      <w:pPr>
        <w:pStyle w:val="ds-markdown-paragraph"/>
        <w:shd w:val="clear" w:color="auto" w:fill="FFFFFF"/>
        <w:spacing w:before="206" w:beforeAutospacing="0" w:line="480" w:lineRule="auto"/>
        <w:rPr>
          <w:rFonts w:asciiTheme="majorBidi" w:hAnsiTheme="majorBidi" w:cstheme="majorBidi"/>
        </w:rPr>
      </w:pPr>
      <w:r>
        <w:t>The control</w:t>
      </w:r>
      <w:r w:rsidRPr="00574C07">
        <w:rPr>
          <w:rFonts w:asciiTheme="majorBidi" w:hAnsiTheme="majorBidi" w:cstheme="majorBidi"/>
        </w:rPr>
        <w:t xml:space="preserve"> group </w:t>
      </w:r>
      <w:r>
        <w:t>had</w:t>
      </w:r>
      <w:r w:rsidRPr="00574C07">
        <w:rPr>
          <w:rFonts w:asciiTheme="majorBidi" w:hAnsiTheme="majorBidi" w:cstheme="majorBidi"/>
        </w:rPr>
        <w:t xml:space="preserve"> the lowest average error and least variability, indicating high classification accuracy. The THCC group had the highest average error, suggesting </w:t>
      </w:r>
      <w:r>
        <w:t>that classification</w:t>
      </w:r>
      <w:r w:rsidRPr="00574C07">
        <w:rPr>
          <w:rFonts w:asciiTheme="majorBidi" w:hAnsiTheme="majorBidi" w:cstheme="majorBidi"/>
        </w:rPr>
        <w:t xml:space="preserve"> was the most challenging</w:t>
      </w:r>
      <w:r>
        <w:t>. The overall</w:t>
      </w:r>
      <w:r w:rsidRPr="00574C07">
        <w:rPr>
          <w:rFonts w:asciiTheme="majorBidi" w:hAnsiTheme="majorBidi" w:cstheme="majorBidi"/>
        </w:rPr>
        <w:t xml:space="preserve"> error decreased and stabilized as the number of trees increased, </w:t>
      </w:r>
      <w:r>
        <w:t>indicating</w:t>
      </w:r>
      <w:r w:rsidRPr="00574C07">
        <w:rPr>
          <w:rFonts w:asciiTheme="majorBidi" w:hAnsiTheme="majorBidi" w:cstheme="majorBidi"/>
        </w:rPr>
        <w:t xml:space="preserve"> model convergence. Annotations highlight key points </w:t>
      </w:r>
      <w:r>
        <w:t>such as the</w:t>
      </w:r>
      <w:r w:rsidRPr="00574C07">
        <w:rPr>
          <w:rFonts w:asciiTheme="majorBidi" w:hAnsiTheme="majorBidi" w:cstheme="majorBidi"/>
        </w:rPr>
        <w:t xml:space="preserve"> lowest errors and convergence behavior.</w:t>
      </w:r>
    </w:p>
    <w:p w14:paraId="62B599B2" w14:textId="77777777" w:rsidR="006D0C4A" w:rsidRDefault="006D0C4A" w:rsidP="00403F29">
      <w:pPr>
        <w:shd w:val="clear" w:color="auto" w:fill="FFFFFF"/>
        <w:spacing w:before="206" w:after="206" w:line="480" w:lineRule="auto"/>
        <w:rPr>
          <w:rFonts w:eastAsia="Times New Roman"/>
          <w:b/>
          <w:bCs/>
          <w:color w:val="auto"/>
        </w:rPr>
      </w:pPr>
    </w:p>
    <w:p w14:paraId="12231BEF" w14:textId="77777777" w:rsidR="006D0C4A" w:rsidRDefault="006D0C4A" w:rsidP="00403F29">
      <w:pPr>
        <w:shd w:val="clear" w:color="auto" w:fill="FFFFFF"/>
        <w:spacing w:before="206" w:after="206" w:line="480" w:lineRule="auto"/>
        <w:rPr>
          <w:rFonts w:eastAsia="Times New Roman"/>
          <w:b/>
          <w:bCs/>
          <w:color w:val="auto"/>
        </w:rPr>
      </w:pPr>
    </w:p>
    <w:p w14:paraId="7B319544" w14:textId="77777777" w:rsidR="006D0C4A" w:rsidRDefault="006D0C4A" w:rsidP="00403F29">
      <w:pPr>
        <w:shd w:val="clear" w:color="auto" w:fill="FFFFFF"/>
        <w:spacing w:before="206" w:after="206" w:line="480" w:lineRule="auto"/>
        <w:rPr>
          <w:rFonts w:eastAsia="Times New Roman"/>
          <w:b/>
          <w:bCs/>
          <w:color w:val="auto"/>
        </w:rPr>
      </w:pPr>
    </w:p>
    <w:p w14:paraId="608BE6FB" w14:textId="77777777" w:rsidR="006D0C4A" w:rsidRDefault="006D0C4A" w:rsidP="00403F29">
      <w:pPr>
        <w:shd w:val="clear" w:color="auto" w:fill="FFFFFF"/>
        <w:spacing w:before="206" w:after="206" w:line="480" w:lineRule="auto"/>
        <w:rPr>
          <w:rFonts w:eastAsia="Times New Roman"/>
          <w:b/>
          <w:bCs/>
          <w:color w:val="auto"/>
        </w:rPr>
      </w:pPr>
    </w:p>
    <w:p w14:paraId="3BF12561" w14:textId="38383D14" w:rsidR="00403F29" w:rsidRPr="00D436A5" w:rsidRDefault="00C25436" w:rsidP="00403F29">
      <w:pPr>
        <w:shd w:val="clear" w:color="auto" w:fill="FFFFFF"/>
        <w:spacing w:before="206" w:after="206" w:line="480" w:lineRule="auto"/>
        <w:rPr>
          <w:rFonts w:asciiTheme="majorBidi" w:eastAsia="Times New Roman" w:hAnsiTheme="majorBidi" w:cstheme="majorBidi"/>
          <w:b/>
          <w:bCs/>
          <w:color w:val="auto"/>
        </w:rPr>
      </w:pPr>
      <w:r w:rsidRPr="00D436A5">
        <w:rPr>
          <w:rFonts w:eastAsia="Times New Roman"/>
          <w:b/>
          <w:bCs/>
          <w:color w:val="auto"/>
        </w:rPr>
        <w:lastRenderedPageBreak/>
        <w:t>Table S</w:t>
      </w:r>
      <w:r w:rsidR="006D0C4A">
        <w:rPr>
          <w:rFonts w:eastAsia="Times New Roman"/>
          <w:b/>
          <w:bCs/>
          <w:color w:val="auto"/>
        </w:rPr>
        <w:t>2</w:t>
      </w:r>
      <w:r w:rsidRPr="00D436A5">
        <w:rPr>
          <w:rFonts w:eastAsia="Times New Roman"/>
          <w:b/>
          <w:bCs/>
          <w:color w:val="auto"/>
        </w:rPr>
        <w:t>.</w:t>
      </w:r>
      <w:r w:rsidR="00403F29" w:rsidRPr="00D436A5">
        <w:rPr>
          <w:rFonts w:eastAsia="Times New Roman"/>
          <w:b/>
          <w:bCs/>
          <w:color w:val="auto"/>
        </w:rPr>
        <w:t xml:space="preserve"> </w:t>
      </w:r>
      <w:r w:rsidR="00403F29" w:rsidRPr="00D436A5">
        <w:rPr>
          <w:rFonts w:asciiTheme="majorBidi" w:eastAsia="Times New Roman" w:hAnsiTheme="majorBidi" w:cstheme="majorBidi"/>
          <w:b/>
          <w:bCs/>
          <w:color w:val="auto"/>
        </w:rPr>
        <w:t>Microbiome Stratification by Enterotyping in HCC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3361"/>
        <w:gridCol w:w="1530"/>
        <w:gridCol w:w="3106"/>
      </w:tblGrid>
      <w:tr w:rsidR="00403F29" w14:paraId="226F75D1" w14:textId="77777777" w:rsidTr="00ED3483">
        <w:trPr>
          <w:trHeight w:val="56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D33BF53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Enterotype</w:t>
            </w:r>
          </w:p>
        </w:tc>
        <w:tc>
          <w:tcPr>
            <w:tcW w:w="33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F98C3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Key Genera (Mean Relative Abundance %)</w:t>
            </w:r>
          </w:p>
        </w:tc>
        <w:tc>
          <w:tcPr>
            <w:tcW w:w="15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440DD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Group Association</w:t>
            </w:r>
          </w:p>
        </w:tc>
        <w:tc>
          <w:tcPr>
            <w:tcW w:w="31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937D3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b/>
                <w:bCs/>
                <w:color w:val="auto"/>
              </w:rPr>
              <w:t>Significant Features</w:t>
            </w:r>
          </w:p>
        </w:tc>
      </w:tr>
      <w:tr w:rsidR="00403F29" w14:paraId="596082C0" w14:textId="77777777" w:rsidTr="00ED3483">
        <w:trPr>
          <w:trHeight w:val="149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9079670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ET-R (Relapse-associated)</w:t>
            </w:r>
          </w:p>
        </w:tc>
        <w:tc>
          <w:tcPr>
            <w:tcW w:w="33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3136B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 xml:space="preserve">1. Asteroleplasma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 xml:space="preserve">2. uncultured Succinivibrionaceae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 xml:space="preserve">3. </w:t>
            </w:r>
            <w:r w:rsidRPr="00760C4F">
              <w:rPr>
                <w:rFonts w:asciiTheme="majorBidi" w:eastAsia="Times New Roman" w:hAnsiTheme="majorBidi" w:cstheme="majorBidi"/>
                <w:i/>
                <w:iCs/>
                <w:color w:val="auto"/>
              </w:rPr>
              <w:t xml:space="preserve">Succinivibrio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 xml:space="preserve">4. Treponema 2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5. uncultured bacterium Clostridiales vadinBB60</w:t>
            </w:r>
          </w:p>
        </w:tc>
        <w:tc>
          <w:tcPr>
            <w:tcW w:w="15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CA35A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RHCC</w:t>
            </w:r>
          </w:p>
        </w:tc>
        <w:tc>
          <w:tcPr>
            <w:tcW w:w="31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35F01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 xml:space="preserve">• Highest Asteroleplasma (KW </w:t>
            </w:r>
            <w:r w:rsidRPr="003A1F76">
              <w:rPr>
                <w:rFonts w:asciiTheme="majorBidi" w:eastAsia="Times New Roman" w:hAnsiTheme="majorBidi" w:cstheme="majorBidi"/>
                <w:i/>
                <w:iCs/>
                <w:color w:val="auto"/>
              </w:rPr>
              <w:t>p=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t>0.009)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• Elevated LPS-producers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• Depleted SCFA-generators</w:t>
            </w:r>
          </w:p>
        </w:tc>
      </w:tr>
      <w:tr w:rsidR="00403F29" w14:paraId="2B020AC8" w14:textId="77777777" w:rsidTr="00ED3483">
        <w:trPr>
          <w:trHeight w:val="86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684F456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ET-T (Treatment-associated)</w:t>
            </w:r>
          </w:p>
        </w:tc>
        <w:tc>
          <w:tcPr>
            <w:tcW w:w="33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E795C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 xml:space="preserve">1. Prevotella 9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 xml:space="preserve">2. </w:t>
            </w:r>
            <w:r w:rsidRPr="00AF166E">
              <w:rPr>
                <w:rFonts w:asciiTheme="majorBidi" w:eastAsia="Times New Roman" w:hAnsiTheme="majorBidi" w:cstheme="majorBidi"/>
                <w:i/>
                <w:iCs/>
                <w:color w:val="auto"/>
              </w:rPr>
              <w:t>Bifidobacterium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t xml:space="preserve">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 xml:space="preserve">3. </w:t>
            </w:r>
            <w:r w:rsidRPr="00DC410C">
              <w:rPr>
                <w:rFonts w:asciiTheme="majorBidi" w:eastAsia="Times New Roman" w:hAnsiTheme="majorBidi" w:cstheme="majorBidi"/>
                <w:i/>
                <w:iCs/>
                <w:color w:val="auto"/>
              </w:rPr>
              <w:t>Ruminococcaceae UCG-002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 xml:space="preserve">4. Parabacteroides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5. Ruminococcaceae UCG-014</w:t>
            </w:r>
          </w:p>
        </w:tc>
        <w:tc>
          <w:tcPr>
            <w:tcW w:w="15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28A65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THCC</w:t>
            </w:r>
          </w:p>
        </w:tc>
        <w:tc>
          <w:tcPr>
            <w:tcW w:w="31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44BF0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• Intermediate Prevotella 9 levels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• Partial Ruminococcaceae recovery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• Reduced Asteroleplasma</w:t>
            </w:r>
          </w:p>
        </w:tc>
      </w:tr>
      <w:tr w:rsidR="00403F29" w14:paraId="4C059E10" w14:textId="77777777" w:rsidTr="00ED3483">
        <w:trPr>
          <w:trHeight w:val="9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8647745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ET-C (Control-associated)</w:t>
            </w:r>
          </w:p>
        </w:tc>
        <w:tc>
          <w:tcPr>
            <w:tcW w:w="33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05907" w14:textId="77777777" w:rsidR="00403F29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1. Faecalibacterium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2. Bacteroides</w:t>
            </w:r>
          </w:p>
          <w:p w14:paraId="6CA4158A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 xml:space="preserve">3. Megasphaera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 xml:space="preserve">4. Prevotella 2 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5. Subdoligranulum</w:t>
            </w:r>
          </w:p>
        </w:tc>
        <w:tc>
          <w:tcPr>
            <w:tcW w:w="15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B5195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>Control</w:t>
            </w:r>
          </w:p>
        </w:tc>
        <w:tc>
          <w:tcPr>
            <w:tcW w:w="31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5A41D" w14:textId="77777777" w:rsidR="00403F29" w:rsidRPr="00574C07" w:rsidRDefault="00403F29" w:rsidP="00ED3483">
            <w:pPr>
              <w:spacing w:after="0" w:line="240" w:lineRule="auto"/>
              <w:rPr>
                <w:rFonts w:asciiTheme="majorBidi" w:eastAsia="Times New Roman" w:hAnsiTheme="majorBidi" w:cstheme="majorBidi"/>
                <w:color w:val="auto"/>
              </w:rPr>
            </w:pPr>
            <w:r w:rsidRPr="00574C07">
              <w:rPr>
                <w:rFonts w:asciiTheme="majorBidi" w:eastAsia="Times New Roman" w:hAnsiTheme="majorBidi" w:cstheme="majorBidi"/>
                <w:color w:val="auto"/>
              </w:rPr>
              <w:t xml:space="preserve">• Highest Bacteroides (KW </w:t>
            </w:r>
            <w:r w:rsidRPr="003A1F76">
              <w:rPr>
                <w:rFonts w:asciiTheme="majorBidi" w:eastAsia="Times New Roman" w:hAnsiTheme="majorBidi" w:cstheme="majorBidi"/>
                <w:i/>
                <w:iCs/>
                <w:color w:val="auto"/>
              </w:rPr>
              <w:t>p=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t>0.041)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• Balanced SCFA-producers</w:t>
            </w:r>
            <w:r w:rsidRPr="00574C07">
              <w:rPr>
                <w:rFonts w:asciiTheme="majorBidi" w:eastAsia="Times New Roman" w:hAnsiTheme="majorBidi" w:cstheme="majorBidi"/>
                <w:color w:val="auto"/>
              </w:rPr>
              <w:br/>
              <w:t>• Lowest pathogenic genera</w:t>
            </w:r>
          </w:p>
        </w:tc>
      </w:tr>
    </w:tbl>
    <w:p w14:paraId="02B8E965" w14:textId="77777777" w:rsidR="00403F29" w:rsidRDefault="00403F29" w:rsidP="00403F29">
      <w:pPr>
        <w:pStyle w:val="ds-markdown-paragraph"/>
        <w:shd w:val="clear" w:color="auto" w:fill="FFFFFF"/>
        <w:spacing w:before="206" w:line="480" w:lineRule="auto"/>
        <w:rPr>
          <w:rFonts w:asciiTheme="majorBidi" w:hAnsiTheme="majorBidi" w:cstheme="majorBidi"/>
        </w:rPr>
      </w:pPr>
    </w:p>
    <w:p w14:paraId="6AE602DC" w14:textId="77777777" w:rsidR="00403F29" w:rsidRDefault="00403F29" w:rsidP="00403F29">
      <w:pPr>
        <w:pStyle w:val="ds-markdown-paragraph"/>
        <w:shd w:val="clear" w:color="auto" w:fill="FFFFFF"/>
        <w:spacing w:before="206" w:line="480" w:lineRule="auto"/>
        <w:rPr>
          <w:rFonts w:asciiTheme="majorBidi" w:hAnsiTheme="majorBidi" w:cstheme="majorBidi"/>
        </w:rPr>
      </w:pPr>
    </w:p>
    <w:p w14:paraId="2A18F125" w14:textId="77777777" w:rsidR="00D436A5" w:rsidRDefault="00D436A5" w:rsidP="00403F29">
      <w:pPr>
        <w:pStyle w:val="ds-markdown-paragraph"/>
        <w:shd w:val="clear" w:color="auto" w:fill="FFFFFF"/>
        <w:spacing w:before="206" w:line="480" w:lineRule="auto"/>
        <w:rPr>
          <w:rFonts w:asciiTheme="majorBidi" w:hAnsiTheme="majorBidi" w:cstheme="majorBidi"/>
        </w:rPr>
      </w:pPr>
    </w:p>
    <w:p w14:paraId="10ACA891" w14:textId="77777777" w:rsidR="00403F29" w:rsidRDefault="00403F29" w:rsidP="00403F29">
      <w:pPr>
        <w:pStyle w:val="ds-markdown-paragraph"/>
        <w:shd w:val="clear" w:color="auto" w:fill="FFFFFF"/>
        <w:spacing w:before="206" w:beforeAutospacing="0" w:line="480" w:lineRule="auto"/>
        <w:rPr>
          <w:rFonts w:asciiTheme="majorBidi" w:hAnsiTheme="majorBidi" w:cstheme="majorBidi"/>
        </w:rPr>
      </w:pPr>
    </w:p>
    <w:p w14:paraId="4ACB8476" w14:textId="77777777" w:rsidR="00403F29" w:rsidRDefault="00403F29" w:rsidP="00403F29">
      <w:pPr>
        <w:pStyle w:val="ds-markdown-paragraph"/>
        <w:shd w:val="clear" w:color="auto" w:fill="FFFFFF"/>
        <w:spacing w:before="206" w:beforeAutospacing="0" w:line="480" w:lineRule="auto"/>
        <w:rPr>
          <w:rFonts w:asciiTheme="majorBidi" w:hAnsiTheme="majorBidi" w:cstheme="majorBidi"/>
        </w:rPr>
      </w:pPr>
    </w:p>
    <w:p w14:paraId="7CA58F23" w14:textId="77777777" w:rsidR="00403F29" w:rsidRDefault="00403F29" w:rsidP="00403F29">
      <w:pPr>
        <w:pStyle w:val="ds-markdown-paragraph"/>
        <w:shd w:val="clear" w:color="auto" w:fill="FFFFFF"/>
        <w:spacing w:before="206" w:beforeAutospacing="0" w:line="480" w:lineRule="auto"/>
        <w:rPr>
          <w:rFonts w:asciiTheme="majorBidi" w:hAnsiTheme="majorBidi" w:cstheme="majorBidi"/>
        </w:rPr>
      </w:pPr>
    </w:p>
    <w:p w14:paraId="404DC630" w14:textId="77777777" w:rsidR="00403F29" w:rsidRPr="00574C07" w:rsidRDefault="00403F29" w:rsidP="00403F29">
      <w:pPr>
        <w:pStyle w:val="ds-markdown-paragraph"/>
        <w:spacing w:line="480" w:lineRule="auto"/>
        <w:rPr>
          <w:rFonts w:asciiTheme="majorBidi" w:hAnsiTheme="majorBidi" w:cstheme="majorBidi"/>
        </w:rPr>
      </w:pPr>
    </w:p>
    <w:p w14:paraId="3FBEBC88" w14:textId="09CCD645" w:rsidR="00DC104E" w:rsidRPr="00DC104E" w:rsidRDefault="00403F29" w:rsidP="005E7DC7">
      <w:pPr>
        <w:pStyle w:val="ds-markdown-paragraph"/>
        <w:spacing w:line="480" w:lineRule="auto"/>
        <w:rPr>
          <w:rFonts w:asciiTheme="majorBidi" w:hAnsiTheme="majorBidi" w:cstheme="majorBidi"/>
          <w:b/>
          <w:bCs/>
        </w:rPr>
      </w:pPr>
      <w:r w:rsidRPr="00574C07">
        <w:rPr>
          <w:rFonts w:asciiTheme="majorBidi" w:hAnsiTheme="majorBidi" w:cstheme="majorBidi"/>
          <w:b/>
          <w:bCs/>
        </w:rPr>
        <w:lastRenderedPageBreak/>
        <w:t>Figure S1</w:t>
      </w:r>
      <w:r>
        <w:rPr>
          <w:rFonts w:asciiTheme="majorBidi" w:hAnsiTheme="majorBidi" w:cstheme="majorBidi"/>
          <w:b/>
          <w:bCs/>
        </w:rPr>
        <w:t xml:space="preserve">. </w:t>
      </w:r>
      <w:r w:rsidR="00DC104E" w:rsidRPr="00DC104E">
        <w:rPr>
          <w:rFonts w:asciiTheme="majorBidi" w:hAnsiTheme="majorBidi" w:cstheme="majorBidi"/>
          <w:b/>
          <w:bCs/>
        </w:rPr>
        <w:t>Bacterial diversity analysis</w:t>
      </w:r>
      <w:r w:rsidR="00DC104E">
        <w:rPr>
          <w:rFonts w:asciiTheme="majorBidi" w:hAnsiTheme="majorBidi" w:cstheme="majorBidi"/>
          <w:b/>
          <w:bCs/>
        </w:rPr>
        <w:t>: Alpha diversity</w:t>
      </w:r>
    </w:p>
    <w:p w14:paraId="095AB89A" w14:textId="7652970F" w:rsidR="005E7DC7" w:rsidRPr="005E7DC7" w:rsidRDefault="005E7DC7" w:rsidP="005E7DC7">
      <w:pPr>
        <w:pStyle w:val="ds-markdown-paragraph"/>
        <w:spacing w:line="480" w:lineRule="auto"/>
        <w:rPr>
          <w:rFonts w:asciiTheme="majorBidi" w:hAnsiTheme="majorBidi" w:cstheme="majorBidi"/>
        </w:rPr>
      </w:pPr>
      <w:r w:rsidRPr="00574C07">
        <w:rPr>
          <w:rFonts w:asciiTheme="majorBidi" w:hAnsiTheme="majorBidi" w:cstheme="majorBidi"/>
        </w:rPr>
        <w:t xml:space="preserve">Rarefaction curves demonstrating observed amplicon sequence variants (ASVs) across sequencing depths for (A) healthy versus diseased samples and (B) different disease </w:t>
      </w:r>
      <w:r>
        <w:t>statuses</w:t>
      </w:r>
      <w:r w:rsidRPr="00574C07">
        <w:rPr>
          <w:rFonts w:asciiTheme="majorBidi" w:hAnsiTheme="majorBidi" w:cstheme="majorBidi"/>
        </w:rPr>
        <w:t xml:space="preserve"> (Control/THCC/RHCC). Curves represent individual samples</w:t>
      </w:r>
      <w:r w:rsidR="000662D3" w:rsidRPr="00574C07">
        <w:rPr>
          <w:rFonts w:asciiTheme="majorBidi" w:hAnsiTheme="majorBidi" w:cstheme="majorBidi"/>
        </w:rPr>
        <w:t>. The</w:t>
      </w:r>
      <w:r>
        <w:t xml:space="preserve"> dashed</w:t>
      </w:r>
      <w:r w:rsidRPr="00574C07">
        <w:rPr>
          <w:rFonts w:asciiTheme="majorBidi" w:hAnsiTheme="majorBidi" w:cstheme="majorBidi"/>
        </w:rPr>
        <w:t xml:space="preserve"> vertical line indicates the rarefaction depth (27,119 reads) used for downstream analyses.</w:t>
      </w:r>
    </w:p>
    <w:p w14:paraId="3DE68A0E" w14:textId="541CE1BD" w:rsidR="001366EE" w:rsidRPr="001366EE" w:rsidRDefault="00FA3EE3" w:rsidP="001366EE">
      <w:pPr>
        <w:pStyle w:val="ds-markdown-paragraph"/>
        <w:shd w:val="clear" w:color="auto" w:fill="FFFFFF"/>
        <w:spacing w:before="206" w:beforeAutospacing="0"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2EDF2DA2" wp14:editId="489197F6">
            <wp:extent cx="5478032" cy="3562184"/>
            <wp:effectExtent l="0" t="0" r="8890" b="635"/>
            <wp:docPr id="10722199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348" cy="356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BF4B" w14:textId="22A57D69" w:rsidR="005E7DC7" w:rsidRPr="00574C07" w:rsidRDefault="005E7DC7" w:rsidP="005E7DC7">
      <w:pPr>
        <w:pStyle w:val="ds-markdown-paragraph"/>
        <w:spacing w:line="480" w:lineRule="auto"/>
        <w:rPr>
          <w:rFonts w:asciiTheme="majorBidi" w:hAnsiTheme="majorBidi" w:cstheme="majorBidi"/>
        </w:rPr>
      </w:pPr>
      <w:r w:rsidRPr="00574C07">
        <w:rPr>
          <w:rFonts w:asciiTheme="majorBidi" w:hAnsiTheme="majorBidi" w:cstheme="majorBidi"/>
          <w:b/>
          <w:bCs/>
        </w:rPr>
        <w:t>Figure S1.</w:t>
      </w:r>
      <w:r>
        <w:t xml:space="preserve"> </w:t>
      </w:r>
      <w:r w:rsidRPr="00574C07">
        <w:rPr>
          <w:rFonts w:asciiTheme="majorBidi" w:hAnsiTheme="majorBidi" w:cstheme="majorBidi"/>
        </w:rPr>
        <w:t xml:space="preserve">Variable-Length Rarefaction Curves Showing Microbial Diversity by Health and </w:t>
      </w:r>
      <w:r>
        <w:rPr>
          <w:rFonts w:asciiTheme="majorBidi" w:hAnsiTheme="majorBidi" w:cstheme="majorBidi"/>
        </w:rPr>
        <w:t>Diseased status</w:t>
      </w:r>
    </w:p>
    <w:p w14:paraId="6DD15630" w14:textId="77777777" w:rsidR="005E7DC7" w:rsidRDefault="005E7DC7" w:rsidP="005E7DC7">
      <w:pPr>
        <w:shd w:val="clear" w:color="auto" w:fill="FFFFFF"/>
        <w:spacing w:before="206" w:after="206" w:line="480" w:lineRule="auto"/>
        <w:rPr>
          <w:rFonts w:eastAsia="Times New Roman"/>
          <w:color w:val="auto"/>
        </w:rPr>
      </w:pPr>
    </w:p>
    <w:p w14:paraId="3CB6667B" w14:textId="77777777" w:rsidR="000662D3" w:rsidRDefault="000662D3" w:rsidP="005E7DC7">
      <w:pPr>
        <w:shd w:val="clear" w:color="auto" w:fill="FFFFFF"/>
        <w:spacing w:before="206" w:after="206" w:line="480" w:lineRule="auto"/>
        <w:rPr>
          <w:rFonts w:eastAsia="Times New Roman"/>
          <w:color w:val="auto"/>
        </w:rPr>
      </w:pPr>
    </w:p>
    <w:p w14:paraId="12DB9ACF" w14:textId="77777777" w:rsidR="005E7DC7" w:rsidRDefault="005E7DC7" w:rsidP="005E7DC7">
      <w:pPr>
        <w:shd w:val="clear" w:color="auto" w:fill="FFFFFF"/>
        <w:spacing w:before="206" w:after="206" w:line="480" w:lineRule="auto"/>
        <w:rPr>
          <w:rFonts w:eastAsia="Times New Roman"/>
          <w:color w:val="auto"/>
        </w:rPr>
      </w:pPr>
    </w:p>
    <w:p w14:paraId="722FF6E1" w14:textId="2F0706EC" w:rsidR="000662D3" w:rsidRDefault="005E7DC7" w:rsidP="000662D3">
      <w:pPr>
        <w:pStyle w:val="ds-markdown-paragraph"/>
        <w:shd w:val="clear" w:color="auto" w:fill="FFFFFF"/>
        <w:spacing w:before="206" w:line="480" w:lineRule="auto"/>
        <w:rPr>
          <w:rFonts w:asciiTheme="majorBidi" w:hAnsiTheme="majorBidi" w:cstheme="majorBidi"/>
        </w:rPr>
      </w:pPr>
      <w:r w:rsidRPr="00574C07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20FEA2E1" wp14:editId="63BB5AA4">
            <wp:extent cx="4858000" cy="45976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45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68E65" w14:textId="3029ECA1" w:rsidR="005E7DC7" w:rsidRPr="00574C07" w:rsidRDefault="005E7DC7" w:rsidP="005E7DC7">
      <w:pPr>
        <w:pStyle w:val="ds-markdown-paragraph"/>
        <w:shd w:val="clear" w:color="auto" w:fill="FFFFFF"/>
        <w:spacing w:before="206" w:line="480" w:lineRule="auto"/>
        <w:rPr>
          <w:rFonts w:asciiTheme="majorBidi" w:hAnsiTheme="majorBidi" w:cstheme="majorBidi"/>
        </w:rPr>
      </w:pPr>
      <w:r w:rsidRPr="00C25436">
        <w:rPr>
          <w:rFonts w:asciiTheme="majorBidi" w:hAnsiTheme="majorBidi" w:cstheme="majorBidi"/>
          <w:b/>
          <w:bCs/>
        </w:rPr>
        <w:t>Figure S2</w:t>
      </w:r>
      <w:r w:rsidR="00C25436" w:rsidRPr="00C25436">
        <w:rPr>
          <w:rFonts w:asciiTheme="majorBidi" w:hAnsiTheme="majorBidi" w:cstheme="majorBidi"/>
          <w:b/>
          <w:bCs/>
        </w:rPr>
        <w:t>.</w:t>
      </w:r>
      <w:r w:rsidRPr="00574C07">
        <w:rPr>
          <w:rFonts w:asciiTheme="majorBidi" w:hAnsiTheme="majorBidi" w:cstheme="majorBidi"/>
        </w:rPr>
        <w:t xml:space="preserve"> </w:t>
      </w:r>
      <w:r>
        <w:t>RF classification</w:t>
      </w:r>
      <w:r w:rsidRPr="00574C07">
        <w:rPr>
          <w:rFonts w:asciiTheme="majorBidi" w:hAnsiTheme="majorBidi" w:cstheme="majorBidi"/>
        </w:rPr>
        <w:t xml:space="preserve"> illustrates how the classification error rate changes as the number of trees in the </w:t>
      </w:r>
      <w:r>
        <w:t>RF</w:t>
      </w:r>
      <w:r w:rsidRPr="00574C07">
        <w:rPr>
          <w:rFonts w:asciiTheme="majorBidi" w:hAnsiTheme="majorBidi" w:cstheme="majorBidi"/>
        </w:rPr>
        <w:t xml:space="preserve"> model increases (from 0</w:t>
      </w:r>
      <w:r>
        <w:t>-</w:t>
      </w:r>
      <w:r w:rsidRPr="00574C07">
        <w:rPr>
          <w:rFonts w:asciiTheme="majorBidi" w:hAnsiTheme="majorBidi" w:cstheme="majorBidi"/>
        </w:rPr>
        <w:t xml:space="preserve">500). As the number of trees increases, the error rates for all groups generally decrease, indicating improved model performance with more trees. The overall error stabilizes at a lower level, suggesting good general classification performance. The Control group appears to have the lowest error, indicating </w:t>
      </w:r>
      <w:r>
        <w:t xml:space="preserve">that </w:t>
      </w:r>
      <w:r w:rsidRPr="00574C07">
        <w:rPr>
          <w:rFonts w:asciiTheme="majorBidi" w:hAnsiTheme="majorBidi" w:cstheme="majorBidi"/>
        </w:rPr>
        <w:t xml:space="preserve">it is the easiest to classify. The RHCC and THCC groups </w:t>
      </w:r>
      <w:r>
        <w:t>have</w:t>
      </w:r>
      <w:r w:rsidRPr="00574C07">
        <w:rPr>
          <w:rFonts w:asciiTheme="majorBidi" w:hAnsiTheme="majorBidi" w:cstheme="majorBidi"/>
        </w:rPr>
        <w:t xml:space="preserve"> higher error rates, possibly </w:t>
      </w:r>
      <w:r>
        <w:t>because of</w:t>
      </w:r>
      <w:r w:rsidRPr="00574C07">
        <w:rPr>
          <w:rFonts w:asciiTheme="majorBidi" w:hAnsiTheme="majorBidi" w:cstheme="majorBidi"/>
        </w:rPr>
        <w:t xml:space="preserve"> overlapping features or more complex patterns.</w:t>
      </w:r>
    </w:p>
    <w:p w14:paraId="5F81BDB0" w14:textId="77777777" w:rsidR="005E7DC7" w:rsidRPr="00574C07" w:rsidRDefault="005E7DC7" w:rsidP="005E7DC7">
      <w:pPr>
        <w:pStyle w:val="ds-markdown-paragraph"/>
        <w:shd w:val="clear" w:color="auto" w:fill="FFFFFF"/>
        <w:spacing w:before="206" w:line="480" w:lineRule="auto"/>
        <w:rPr>
          <w:rFonts w:asciiTheme="majorBidi" w:hAnsiTheme="majorBidi" w:cstheme="majorBidi"/>
        </w:rPr>
      </w:pPr>
    </w:p>
    <w:p w14:paraId="175892D0" w14:textId="53FE9A19" w:rsidR="00E5516C" w:rsidRPr="00E5516C" w:rsidRDefault="00E5516C" w:rsidP="00E5516C">
      <w:pPr>
        <w:spacing w:line="480" w:lineRule="auto"/>
        <w:rPr>
          <w:rFonts w:asciiTheme="majorBidi" w:hAnsiTheme="majorBidi" w:cstheme="majorBidi"/>
          <w:color w:val="auto"/>
        </w:rPr>
      </w:pPr>
      <w:r w:rsidRPr="00E5516C">
        <w:rPr>
          <w:rFonts w:asciiTheme="majorBidi" w:hAnsiTheme="majorBidi" w:cstheme="majorBidi"/>
          <w:noProof/>
          <w:color w:val="auto"/>
        </w:rPr>
        <w:lastRenderedPageBreak/>
        <w:drawing>
          <wp:inline distT="0" distB="0" distL="0" distR="0" wp14:anchorId="512F1C2C" wp14:editId="13B18C0B">
            <wp:extent cx="5485389" cy="6241610"/>
            <wp:effectExtent l="0" t="0" r="1270" b="6985"/>
            <wp:docPr id="2102190451" name="Picture 4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90451" name="Picture 4" descr="A close-up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458" cy="624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0BE41" w14:textId="0F012C16" w:rsidR="000662D3" w:rsidRPr="000662D3" w:rsidRDefault="00C25436" w:rsidP="000662D3">
      <w:pPr>
        <w:spacing w:line="480" w:lineRule="auto"/>
        <w:rPr>
          <w:rFonts w:asciiTheme="majorBidi" w:hAnsiTheme="majorBidi" w:cstheme="majorBidi"/>
          <w:color w:val="auto"/>
        </w:rPr>
      </w:pPr>
      <w:r w:rsidRPr="00C25436">
        <w:rPr>
          <w:rFonts w:asciiTheme="majorBidi" w:hAnsiTheme="majorBidi" w:cstheme="majorBidi"/>
          <w:b/>
          <w:color w:val="auto"/>
        </w:rPr>
        <w:t>Figure S3.</w:t>
      </w:r>
      <w:r w:rsidR="000662D3">
        <w:rPr>
          <w:rFonts w:asciiTheme="majorBidi" w:hAnsiTheme="majorBidi" w:cstheme="majorBidi"/>
          <w:color w:val="auto"/>
        </w:rPr>
        <w:t xml:space="preserve"> </w:t>
      </w:r>
      <w:r w:rsidR="000662D3" w:rsidRPr="000662D3">
        <w:rPr>
          <w:rFonts w:asciiTheme="majorBidi" w:hAnsiTheme="majorBidi" w:cstheme="majorBidi"/>
          <w:color w:val="auto"/>
        </w:rPr>
        <w:t>ROC Curves for Top Discriminative Bacterial Genera Across RHCC, THCC, and Control Groups</w:t>
      </w:r>
    </w:p>
    <w:p w14:paraId="1BF9E827" w14:textId="3C193497" w:rsidR="005E7DC7" w:rsidRDefault="000662D3" w:rsidP="000662D3">
      <w:pPr>
        <w:spacing w:line="480" w:lineRule="auto"/>
        <w:rPr>
          <w:rFonts w:asciiTheme="majorBidi" w:hAnsiTheme="majorBidi" w:cstheme="majorBidi"/>
          <w:color w:val="auto"/>
        </w:rPr>
      </w:pPr>
      <w:r w:rsidRPr="000662D3">
        <w:rPr>
          <w:rFonts w:asciiTheme="majorBidi" w:hAnsiTheme="majorBidi" w:cstheme="majorBidi"/>
          <w:color w:val="auto"/>
        </w:rPr>
        <w:t>This figure displays</w:t>
      </w:r>
      <w:r>
        <w:rPr>
          <w:rFonts w:asciiTheme="majorBidi" w:hAnsiTheme="majorBidi" w:cstheme="majorBidi"/>
          <w:color w:val="auto"/>
        </w:rPr>
        <w:t xml:space="preserve"> </w:t>
      </w:r>
      <w:r w:rsidRPr="000662D3">
        <w:rPr>
          <w:rFonts w:asciiTheme="majorBidi" w:hAnsiTheme="majorBidi" w:cstheme="majorBidi"/>
          <w:color w:val="auto"/>
        </w:rPr>
        <w:t xml:space="preserve">Receiver Operating Characteristic (ROC) curves for the most discriminative bacterial genera identified in three clinical groups: RHCC (A), THCC (B), and Control (C). Each subplot illustrates the diagnostic performance of a specific genus, </w:t>
      </w:r>
      <w:r w:rsidRPr="000662D3">
        <w:rPr>
          <w:rFonts w:asciiTheme="majorBidi" w:hAnsiTheme="majorBidi" w:cstheme="majorBidi"/>
          <w:color w:val="auto"/>
        </w:rPr>
        <w:lastRenderedPageBreak/>
        <w:t>with sensitivity plotted against 1-specificity. The Area Under the Curve (AUC) values are provided to quantify the classification accuracy of each genus in distinguishing between groups. Genera such as </w:t>
      </w:r>
      <w:r w:rsidRPr="000662D3">
        <w:rPr>
          <w:rFonts w:asciiTheme="majorBidi" w:hAnsiTheme="majorBidi" w:cstheme="majorBidi"/>
          <w:i/>
          <w:iCs/>
          <w:color w:val="auto"/>
        </w:rPr>
        <w:t>Asteroeplasma</w:t>
      </w:r>
      <w:r w:rsidRPr="000662D3">
        <w:rPr>
          <w:rFonts w:asciiTheme="majorBidi" w:hAnsiTheme="majorBidi" w:cstheme="majorBidi"/>
          <w:color w:val="auto"/>
        </w:rPr>
        <w:t>, </w:t>
      </w:r>
      <w:r w:rsidRPr="000662D3">
        <w:rPr>
          <w:rFonts w:asciiTheme="majorBidi" w:hAnsiTheme="majorBidi" w:cstheme="majorBidi"/>
          <w:i/>
          <w:iCs/>
          <w:color w:val="auto"/>
        </w:rPr>
        <w:t>Enterorhabdus</w:t>
      </w:r>
      <w:r w:rsidRPr="000662D3">
        <w:rPr>
          <w:rFonts w:asciiTheme="majorBidi" w:hAnsiTheme="majorBidi" w:cstheme="majorBidi"/>
          <w:color w:val="auto"/>
        </w:rPr>
        <w:t>, and </w:t>
      </w:r>
      <w:r w:rsidRPr="000662D3">
        <w:rPr>
          <w:rFonts w:asciiTheme="majorBidi" w:hAnsiTheme="majorBidi" w:cstheme="majorBidi"/>
          <w:i/>
          <w:iCs/>
          <w:color w:val="auto"/>
        </w:rPr>
        <w:t>Coprococcus_1</w:t>
      </w:r>
      <w:r w:rsidRPr="000662D3">
        <w:rPr>
          <w:rFonts w:asciiTheme="majorBidi" w:hAnsiTheme="majorBidi" w:cstheme="majorBidi"/>
          <w:color w:val="auto"/>
        </w:rPr>
        <w:t> demonstrated high discriminative power across different comparisons.</w:t>
      </w:r>
    </w:p>
    <w:sectPr w:rsidR="005E7D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C7"/>
    <w:rsid w:val="00034A28"/>
    <w:rsid w:val="000662D3"/>
    <w:rsid w:val="001366EE"/>
    <w:rsid w:val="001B5B68"/>
    <w:rsid w:val="001C1FE3"/>
    <w:rsid w:val="00210F0F"/>
    <w:rsid w:val="00247CF3"/>
    <w:rsid w:val="00372228"/>
    <w:rsid w:val="00403F29"/>
    <w:rsid w:val="005E7DC7"/>
    <w:rsid w:val="006D0C4A"/>
    <w:rsid w:val="006F760B"/>
    <w:rsid w:val="00801936"/>
    <w:rsid w:val="00AE1E97"/>
    <w:rsid w:val="00C25436"/>
    <w:rsid w:val="00CB2FDE"/>
    <w:rsid w:val="00D436A5"/>
    <w:rsid w:val="00DC0D8F"/>
    <w:rsid w:val="00DC104E"/>
    <w:rsid w:val="00E5516C"/>
    <w:rsid w:val="00FA3EE3"/>
    <w:rsid w:val="00F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8291F"/>
  <w15:chartTrackingRefBased/>
  <w15:docId w15:val="{DDD83BCA-B4C1-4DF2-B847-4F92CCB2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C7"/>
    <w:pPr>
      <w:spacing w:line="259" w:lineRule="auto"/>
    </w:pPr>
    <w:rPr>
      <w:rFonts w:ascii="Times New Roman" w:hAnsi="Times New Roman" w:cs="Times New Roman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DC7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link w:val="ds-markdown-paragraphChar"/>
    <w:rsid w:val="005E7DC7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customStyle="1" w:styleId="ds-markdown-paragraphChar">
    <w:name w:val="ds-markdown-paragraph Char"/>
    <w:basedOn w:val="DefaultParagraphFont"/>
    <w:link w:val="ds-markdown-paragraph"/>
    <w:rsid w:val="005E7DC7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E7DC7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mohamedhussien</dc:creator>
  <cp:keywords/>
  <dc:description/>
  <cp:lastModifiedBy>mohamedhussien</cp:lastModifiedBy>
  <cp:revision>4</cp:revision>
  <dcterms:created xsi:type="dcterms:W3CDTF">2025-07-05T19:53:00Z</dcterms:created>
  <dcterms:modified xsi:type="dcterms:W3CDTF">2025-07-05T21:16:00Z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aa9640f0-bf08-409b-b1b6-42bf7a359b82</vt:lpwstr>
  </property>
</Properties>
</file>