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A654" w14:textId="77777777" w:rsidR="008D32F5" w:rsidRDefault="008D32F5" w:rsidP="008D32F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8D32F5">
        <w:rPr>
          <w:rFonts w:ascii="Times New Roman" w:eastAsia="新細明體" w:hAnsi="Times New Roman" w:cs="Times New Roman"/>
          <w:sz w:val="24"/>
          <w:szCs w:val="24"/>
          <w:lang w:eastAsia="zh-TW"/>
        </w:rPr>
        <w:t>In the SLM process of Ti6Al4V, a combination of dimensionless modeling, melt pool geometry analysis, and energy consumption index was used to identify the optimal laser power and scanning speed.</w:t>
      </w:r>
    </w:p>
    <w:p w14:paraId="6DCF251A" w14:textId="77777777" w:rsidR="008D32F5" w:rsidRPr="008D32F5" w:rsidRDefault="008D32F5" w:rsidP="008D32F5">
      <w:pPr>
        <w:pStyle w:val="a3"/>
        <w:spacing w:before="100" w:beforeAutospacing="1" w:after="100" w:afterAutospacing="1" w:line="240" w:lineRule="auto"/>
        <w:ind w:left="480"/>
        <w:jc w:val="both"/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</w:pPr>
    </w:p>
    <w:p w14:paraId="2694D489" w14:textId="4AC5412D" w:rsidR="008D32F5" w:rsidRDefault="008D32F5" w:rsidP="008D32F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8D32F5">
        <w:rPr>
          <w:rFonts w:ascii="Times New Roman" w:eastAsia="新細明體" w:hAnsi="Times New Roman" w:cs="Times New Roman"/>
          <w:sz w:val="24"/>
          <w:szCs w:val="24"/>
          <w:lang w:eastAsia="zh-TW"/>
        </w:rPr>
        <w:t>An artificial neural network (ANN) was employed to predict melt pool aspect ratio and energy-saving index (Es), achieving 98.8% accuracy for defining the optimal processing zone.</w:t>
      </w:r>
    </w:p>
    <w:p w14:paraId="0BD2E195" w14:textId="77777777" w:rsidR="008D32F5" w:rsidRPr="008D32F5" w:rsidRDefault="008D32F5" w:rsidP="008D32F5">
      <w:pPr>
        <w:pStyle w:val="a3"/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</w:pPr>
    </w:p>
    <w:p w14:paraId="087BAE1A" w14:textId="77777777" w:rsidR="008D32F5" w:rsidRPr="008D32F5" w:rsidRDefault="008D32F5" w:rsidP="008D32F5">
      <w:pPr>
        <w:pStyle w:val="a3"/>
        <w:spacing w:before="100" w:beforeAutospacing="1" w:after="100" w:afterAutospacing="1" w:line="240" w:lineRule="auto"/>
        <w:ind w:left="480"/>
        <w:jc w:val="both"/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</w:pPr>
    </w:p>
    <w:p w14:paraId="36AA5487" w14:textId="40B4A1AF" w:rsidR="008D32F5" w:rsidRDefault="008D32F5" w:rsidP="008D32F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8D32F5">
        <w:rPr>
          <w:rFonts w:ascii="Times New Roman" w:eastAsia="新細明體" w:hAnsi="Times New Roman" w:cs="Times New Roman"/>
          <w:sz w:val="24"/>
          <w:szCs w:val="24"/>
          <w:lang w:eastAsia="zh-TW"/>
        </w:rPr>
        <w:t>Experimental validation showed that the optimal parameter set (Set I: 300 W, 1400 mm/s, h = 80 µm) resulted in a relative density of 99.977%, tensile strength of 1201 MPa, and elongation of 8.2%.</w:t>
      </w:r>
    </w:p>
    <w:p w14:paraId="0EB2EE75" w14:textId="77777777" w:rsidR="008D32F5" w:rsidRPr="008D32F5" w:rsidRDefault="008D32F5" w:rsidP="008D32F5">
      <w:pPr>
        <w:pStyle w:val="a3"/>
        <w:spacing w:before="100" w:beforeAutospacing="1" w:after="100" w:afterAutospacing="1" w:line="240" w:lineRule="auto"/>
        <w:ind w:left="480"/>
        <w:jc w:val="both"/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</w:pPr>
    </w:p>
    <w:p w14:paraId="3F7980D5" w14:textId="3D170259" w:rsidR="008D32F5" w:rsidRDefault="008D32F5" w:rsidP="008D32F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8D32F5">
        <w:rPr>
          <w:rFonts w:ascii="Times New Roman" w:eastAsia="新細明體" w:hAnsi="Times New Roman" w:cs="Times New Roman"/>
          <w:sz w:val="24"/>
          <w:szCs w:val="24"/>
          <w:lang w:eastAsia="zh-TW"/>
        </w:rPr>
        <w:t>Through a novel method, the maximum hatching space (h = 120 µm) was determined, reducing the energy-saving index by approximately 33.4% while maintaining high density (99.948%) and excellent mechanical properties.</w:t>
      </w:r>
    </w:p>
    <w:p w14:paraId="08E3379E" w14:textId="77777777" w:rsidR="008D32F5" w:rsidRPr="008D32F5" w:rsidRDefault="008D32F5" w:rsidP="008D32F5">
      <w:pPr>
        <w:pStyle w:val="a3"/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</w:pPr>
    </w:p>
    <w:p w14:paraId="56E0CB47" w14:textId="77777777" w:rsidR="008D32F5" w:rsidRPr="008D32F5" w:rsidRDefault="008D32F5" w:rsidP="008D32F5">
      <w:pPr>
        <w:pStyle w:val="a3"/>
        <w:spacing w:before="100" w:beforeAutospacing="1" w:after="100" w:afterAutospacing="1" w:line="240" w:lineRule="auto"/>
        <w:ind w:left="480"/>
        <w:jc w:val="both"/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</w:pPr>
    </w:p>
    <w:p w14:paraId="0676E0FA" w14:textId="5F3E2ED0" w:rsidR="00DD4811" w:rsidRPr="008D32F5" w:rsidRDefault="008D32F5" w:rsidP="008D32F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8D32F5">
        <w:rPr>
          <w:rFonts w:ascii="Times New Roman" w:eastAsia="新細明體" w:hAnsi="Times New Roman" w:cs="Times New Roman"/>
          <w:sz w:val="24"/>
          <w:szCs w:val="24"/>
          <w:lang w:eastAsia="zh-TW"/>
        </w:rPr>
        <w:t>This optimization strategy effectively balances build quality and energy efficiency, enhancing SLM process performance and offering potential for application to other metals and multi-objective optimizations.</w:t>
      </w:r>
    </w:p>
    <w:sectPr w:rsidR="00DD4811" w:rsidRPr="008D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D30E" w14:textId="77777777" w:rsidR="00362B58" w:rsidRDefault="00362B58" w:rsidP="00BE3864">
      <w:pPr>
        <w:spacing w:after="0" w:line="240" w:lineRule="auto"/>
      </w:pPr>
      <w:r>
        <w:separator/>
      </w:r>
    </w:p>
  </w:endnote>
  <w:endnote w:type="continuationSeparator" w:id="0">
    <w:p w14:paraId="5714CA87" w14:textId="77777777" w:rsidR="00362B58" w:rsidRDefault="00362B58" w:rsidP="00BE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733A" w14:textId="77777777" w:rsidR="00362B58" w:rsidRDefault="00362B58" w:rsidP="00BE3864">
      <w:pPr>
        <w:spacing w:after="0" w:line="240" w:lineRule="auto"/>
      </w:pPr>
      <w:r>
        <w:separator/>
      </w:r>
    </w:p>
  </w:footnote>
  <w:footnote w:type="continuationSeparator" w:id="0">
    <w:p w14:paraId="7DA7DCB2" w14:textId="77777777" w:rsidR="00362B58" w:rsidRDefault="00362B58" w:rsidP="00BE3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5440"/>
    <w:multiLevelType w:val="hybridMultilevel"/>
    <w:tmpl w:val="A88C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717DA"/>
    <w:multiLevelType w:val="hybridMultilevel"/>
    <w:tmpl w:val="6D3AB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C39F5"/>
    <w:multiLevelType w:val="hybridMultilevel"/>
    <w:tmpl w:val="CB62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12DF4"/>
    <w:multiLevelType w:val="hybridMultilevel"/>
    <w:tmpl w:val="C3AC4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4A37E9"/>
    <w:multiLevelType w:val="hybridMultilevel"/>
    <w:tmpl w:val="5BDA28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578999">
    <w:abstractNumId w:val="2"/>
  </w:num>
  <w:num w:numId="2" w16cid:durableId="832718236">
    <w:abstractNumId w:val="0"/>
  </w:num>
  <w:num w:numId="3" w16cid:durableId="1500265820">
    <w:abstractNumId w:val="4"/>
  </w:num>
  <w:num w:numId="4" w16cid:durableId="1968461911">
    <w:abstractNumId w:val="1"/>
  </w:num>
  <w:num w:numId="5" w16cid:durableId="188948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0sDAwNjMytDA2NzFX0lEKTi0uzszPAykwqgUAJlPgaSwAAAA="/>
  </w:docVars>
  <w:rsids>
    <w:rsidRoot w:val="008338E6"/>
    <w:rsid w:val="00122418"/>
    <w:rsid w:val="001B63BE"/>
    <w:rsid w:val="00352832"/>
    <w:rsid w:val="00362B58"/>
    <w:rsid w:val="00404124"/>
    <w:rsid w:val="00441DEE"/>
    <w:rsid w:val="0074030A"/>
    <w:rsid w:val="007637F6"/>
    <w:rsid w:val="00827626"/>
    <w:rsid w:val="008338E6"/>
    <w:rsid w:val="008D32F5"/>
    <w:rsid w:val="00BE3864"/>
    <w:rsid w:val="00DD4811"/>
    <w:rsid w:val="00F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38A12"/>
  <w15:chartTrackingRefBased/>
  <w15:docId w15:val="{BA736CCA-5AB9-4135-8387-0740F39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864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6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3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38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3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386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E3864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  <w14:ligatures w14:val="standardContextual"/>
    </w:rPr>
  </w:style>
  <w:style w:type="character" w:styleId="a8">
    <w:name w:val="Strong"/>
    <w:basedOn w:val="a0"/>
    <w:uiPriority w:val="22"/>
    <w:qFormat/>
    <w:rsid w:val="00DD4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 Raza</dc:creator>
  <cp:keywords/>
  <dc:description/>
  <cp:lastModifiedBy>郭家瑋</cp:lastModifiedBy>
  <cp:revision>10</cp:revision>
  <dcterms:created xsi:type="dcterms:W3CDTF">2021-01-26T04:13:00Z</dcterms:created>
  <dcterms:modified xsi:type="dcterms:W3CDTF">2025-04-02T09:51:00Z</dcterms:modified>
</cp:coreProperties>
</file>