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CF24A" w14:textId="77777777" w:rsidR="00AE2BAA" w:rsidRPr="00AE2BAA" w:rsidRDefault="00AE2BAA" w:rsidP="00AE2BAA">
      <w:pPr>
        <w:spacing w:line="360" w:lineRule="auto"/>
        <w:jc w:val="center"/>
        <w:rPr>
          <w:rFonts w:ascii="Times New Roman" w:hAnsi="Times New Roman" w:cs="Times New Roman"/>
          <w:b/>
          <w:bCs/>
          <w:lang w:val="en-US"/>
        </w:rPr>
      </w:pPr>
      <w:r w:rsidRPr="00AE2BAA">
        <w:rPr>
          <w:rFonts w:ascii="Times New Roman" w:hAnsi="Times New Roman" w:cs="Times New Roman"/>
          <w:b/>
          <w:bCs/>
          <w:lang w:val="en-US"/>
        </w:rPr>
        <w:t xml:space="preserve">Root colonisation and induction of plant defence-associated signalling pathways in </w:t>
      </w:r>
      <w:r w:rsidRPr="00AE2BAA">
        <w:rPr>
          <w:rFonts w:ascii="Times New Roman" w:hAnsi="Times New Roman" w:cs="Times New Roman"/>
          <w:b/>
          <w:bCs/>
          <w:i/>
          <w:iCs/>
          <w:lang w:val="en-US"/>
        </w:rPr>
        <w:t>Arabidopsis thaliana</w:t>
      </w:r>
      <w:r w:rsidRPr="00AE2BAA">
        <w:rPr>
          <w:rFonts w:ascii="Times New Roman" w:hAnsi="Times New Roman" w:cs="Times New Roman"/>
          <w:b/>
          <w:bCs/>
          <w:lang w:val="en-US"/>
        </w:rPr>
        <w:t xml:space="preserve"> by </w:t>
      </w:r>
      <w:r w:rsidRPr="00AE2BAA">
        <w:rPr>
          <w:rFonts w:ascii="Times New Roman" w:hAnsi="Times New Roman" w:cs="Times New Roman"/>
          <w:b/>
          <w:bCs/>
          <w:i/>
          <w:iCs/>
          <w:lang w:val="en-US"/>
        </w:rPr>
        <w:t>Serratia marcescens</w:t>
      </w:r>
      <w:r w:rsidRPr="00AE2BAA">
        <w:rPr>
          <w:rFonts w:ascii="Times New Roman" w:hAnsi="Times New Roman" w:cs="Times New Roman"/>
          <w:b/>
          <w:bCs/>
          <w:lang w:val="en-US"/>
        </w:rPr>
        <w:t xml:space="preserve">, </w:t>
      </w:r>
      <w:r w:rsidRPr="00AE2BAA">
        <w:rPr>
          <w:rFonts w:ascii="Times New Roman" w:hAnsi="Times New Roman" w:cs="Times New Roman"/>
          <w:b/>
          <w:bCs/>
          <w:i/>
          <w:iCs/>
          <w:lang w:val="en-US"/>
        </w:rPr>
        <w:t>Streptomyces galilaeus</w:t>
      </w:r>
      <w:r w:rsidRPr="00AE2BAA">
        <w:rPr>
          <w:rFonts w:ascii="Times New Roman" w:hAnsi="Times New Roman" w:cs="Times New Roman"/>
          <w:b/>
          <w:bCs/>
          <w:lang w:val="en-US"/>
        </w:rPr>
        <w:t xml:space="preserve">, and </w:t>
      </w:r>
      <w:r w:rsidRPr="00AE2BAA">
        <w:rPr>
          <w:rFonts w:ascii="Times New Roman" w:hAnsi="Times New Roman" w:cs="Times New Roman"/>
          <w:b/>
          <w:bCs/>
          <w:i/>
          <w:iCs/>
          <w:lang w:val="en-US"/>
        </w:rPr>
        <w:t>Trichoderma viride</w:t>
      </w:r>
    </w:p>
    <w:p w14:paraId="29CE62DB" w14:textId="77777777" w:rsidR="00AE2BAA" w:rsidRDefault="00AE2BAA" w:rsidP="00AE2BAA">
      <w:pPr>
        <w:rPr>
          <w:rFonts w:ascii="Times New Roman" w:hAnsi="Times New Roman" w:cs="Times New Roman"/>
        </w:rPr>
      </w:pPr>
    </w:p>
    <w:p w14:paraId="1BCA183F" w14:textId="3310E282" w:rsidR="00AE2BAA" w:rsidRPr="00AE2BAA" w:rsidRDefault="00AE2BAA" w:rsidP="00AE2BAA">
      <w:pPr>
        <w:rPr>
          <w:rFonts w:ascii="Times New Roman" w:hAnsi="Times New Roman" w:cs="Times New Roman"/>
        </w:rPr>
      </w:pPr>
      <w:r w:rsidRPr="00AE2BAA">
        <w:rPr>
          <w:rFonts w:ascii="Times New Roman" w:hAnsi="Times New Roman" w:cs="Times New Roman"/>
        </w:rPr>
        <w:t>Archives of Microbiology</w:t>
      </w:r>
    </w:p>
    <w:p w14:paraId="44D7CD62" w14:textId="77777777" w:rsidR="00AE2BAA" w:rsidRPr="00AE2BAA" w:rsidRDefault="00AE2BAA" w:rsidP="00AE2BAA">
      <w:pPr>
        <w:spacing w:line="360" w:lineRule="auto"/>
        <w:rPr>
          <w:rFonts w:ascii="Times New Roman" w:hAnsi="Times New Roman" w:cs="Times New Roman"/>
          <w:lang w:val="en-US"/>
        </w:rPr>
      </w:pPr>
    </w:p>
    <w:p w14:paraId="25EF13E7" w14:textId="77777777" w:rsidR="00AE2BAA" w:rsidRPr="00AE2BAA" w:rsidRDefault="00AE2BAA" w:rsidP="00AE2BAA">
      <w:pPr>
        <w:spacing w:line="360" w:lineRule="auto"/>
        <w:rPr>
          <w:rFonts w:ascii="Times New Roman" w:hAnsi="Times New Roman" w:cs="Times New Roman"/>
          <w:vertAlign w:val="superscript"/>
        </w:rPr>
      </w:pPr>
      <w:r w:rsidRPr="00AE2BAA">
        <w:rPr>
          <w:rFonts w:ascii="Times New Roman" w:hAnsi="Times New Roman" w:cs="Times New Roman"/>
        </w:rPr>
        <w:t>Luis Enrique Luna-Hernández</w:t>
      </w:r>
      <w:r w:rsidRPr="00AE2BAA">
        <w:rPr>
          <w:rFonts w:ascii="Times New Roman" w:hAnsi="Times New Roman" w:cs="Times New Roman"/>
          <w:vertAlign w:val="superscript"/>
        </w:rPr>
        <w:t>1</w:t>
      </w:r>
      <w:r w:rsidRPr="00AE2BAA">
        <w:rPr>
          <w:rFonts w:ascii="Times New Roman" w:hAnsi="Times New Roman" w:cs="Times New Roman"/>
        </w:rPr>
        <w:t>, Graciela Huerta-Palacios</w:t>
      </w:r>
      <w:r w:rsidRPr="00AE2BAA">
        <w:rPr>
          <w:rFonts w:ascii="Times New Roman" w:hAnsi="Times New Roman" w:cs="Times New Roman"/>
          <w:vertAlign w:val="superscript"/>
        </w:rPr>
        <w:t>1</w:t>
      </w:r>
      <w:r w:rsidRPr="00AE2BAA">
        <w:rPr>
          <w:rFonts w:ascii="Times New Roman" w:hAnsi="Times New Roman" w:cs="Times New Roman"/>
        </w:rPr>
        <w:t>, Francisco Holguín-Meléndez</w:t>
      </w:r>
      <w:r w:rsidRPr="00AE2BAA">
        <w:rPr>
          <w:rFonts w:ascii="Times New Roman" w:hAnsi="Times New Roman" w:cs="Times New Roman"/>
          <w:vertAlign w:val="superscript"/>
        </w:rPr>
        <w:t>2</w:t>
      </w:r>
      <w:r w:rsidRPr="00AE2BAA">
        <w:rPr>
          <w:rFonts w:ascii="Times New Roman" w:hAnsi="Times New Roman" w:cs="Times New Roman"/>
        </w:rPr>
        <w:t>, Karina Guillén-Navarro</w:t>
      </w:r>
      <w:r w:rsidRPr="00AE2BAA">
        <w:rPr>
          <w:rFonts w:ascii="Times New Roman" w:hAnsi="Times New Roman" w:cs="Times New Roman"/>
          <w:vertAlign w:val="superscript"/>
        </w:rPr>
        <w:t>1*</w:t>
      </w:r>
    </w:p>
    <w:p w14:paraId="5FDB3C97" w14:textId="77777777" w:rsidR="00AE2BAA" w:rsidRPr="00AE2BAA" w:rsidRDefault="00AE2BAA" w:rsidP="00AE2BAA">
      <w:pPr>
        <w:spacing w:line="360" w:lineRule="auto"/>
        <w:rPr>
          <w:rFonts w:ascii="Times New Roman" w:hAnsi="Times New Roman" w:cs="Times New Roman"/>
        </w:rPr>
      </w:pPr>
    </w:p>
    <w:p w14:paraId="78B0451E" w14:textId="77777777" w:rsidR="00AE2BAA" w:rsidRPr="00AE2BAA" w:rsidRDefault="00AE2BAA" w:rsidP="00AE2BAA">
      <w:pPr>
        <w:spacing w:line="360" w:lineRule="auto"/>
        <w:rPr>
          <w:rFonts w:ascii="Times New Roman" w:hAnsi="Times New Roman" w:cs="Times New Roman"/>
        </w:rPr>
      </w:pPr>
      <w:r w:rsidRPr="00AE2BAA">
        <w:rPr>
          <w:rFonts w:ascii="Times New Roman" w:hAnsi="Times New Roman" w:cs="Times New Roman"/>
        </w:rPr>
        <w:t xml:space="preserve">1 </w:t>
      </w:r>
      <w:r w:rsidRPr="00AE2BAA">
        <w:rPr>
          <w:rFonts w:ascii="Times New Roman" w:hAnsi="Times New Roman" w:cs="Times New Roman"/>
          <w:i/>
          <w:iCs/>
        </w:rPr>
        <w:t>Grupo Académico de Biotecnología Ambiental</w:t>
      </w:r>
      <w:r w:rsidRPr="00AE2BAA">
        <w:rPr>
          <w:rFonts w:ascii="Times New Roman" w:hAnsi="Times New Roman" w:cs="Times New Roman"/>
        </w:rPr>
        <w:t xml:space="preserve">. </w:t>
      </w:r>
      <w:r w:rsidRPr="00AE2BAA">
        <w:rPr>
          <w:rFonts w:ascii="Times New Roman" w:hAnsi="Times New Roman" w:cs="Times New Roman"/>
          <w:i/>
          <w:iCs/>
        </w:rPr>
        <w:t>El Colegio de la Frontera Sur</w:t>
      </w:r>
      <w:r w:rsidRPr="00AE2BAA">
        <w:rPr>
          <w:rFonts w:ascii="Times New Roman" w:hAnsi="Times New Roman" w:cs="Times New Roman"/>
        </w:rPr>
        <w:t xml:space="preserve"> (ECOSUR), </w:t>
      </w:r>
      <w:r w:rsidRPr="00AE2BAA">
        <w:rPr>
          <w:rFonts w:ascii="Times New Roman" w:hAnsi="Times New Roman" w:cs="Times New Roman"/>
          <w:i/>
          <w:iCs/>
        </w:rPr>
        <w:t>Unidad Tapachula</w:t>
      </w:r>
      <w:r w:rsidRPr="00AE2BAA">
        <w:rPr>
          <w:rFonts w:ascii="Times New Roman" w:hAnsi="Times New Roman" w:cs="Times New Roman"/>
        </w:rPr>
        <w:t xml:space="preserve">, Carretera Antiguo Aeropuerto Km 2.5, 30700, Tapachula, Chiapas, Mexico. </w:t>
      </w:r>
    </w:p>
    <w:p w14:paraId="1D588F0E" w14:textId="77777777" w:rsidR="00AE2BAA" w:rsidRPr="00AE2BAA" w:rsidRDefault="00AE2BAA" w:rsidP="00AE2BAA">
      <w:pPr>
        <w:spacing w:line="360" w:lineRule="auto"/>
        <w:rPr>
          <w:rFonts w:ascii="Times New Roman" w:hAnsi="Times New Roman" w:cs="Times New Roman"/>
        </w:rPr>
      </w:pPr>
      <w:r w:rsidRPr="00AE2BAA">
        <w:rPr>
          <w:rFonts w:ascii="Times New Roman" w:hAnsi="Times New Roman" w:cs="Times New Roman"/>
        </w:rPr>
        <w:t xml:space="preserve">2 </w:t>
      </w:r>
      <w:r w:rsidRPr="00AE2BAA">
        <w:rPr>
          <w:rFonts w:ascii="Times New Roman" w:hAnsi="Times New Roman" w:cs="Times New Roman"/>
          <w:i/>
          <w:iCs/>
        </w:rPr>
        <w:t>Laboratorio de Diagnóstico Fitosanitario, El Colegio de la Frontera Sur (ECOSUR), Unidad Tapachula</w:t>
      </w:r>
      <w:r w:rsidRPr="00AE2BAA">
        <w:rPr>
          <w:rFonts w:ascii="Times New Roman" w:hAnsi="Times New Roman" w:cs="Times New Roman"/>
        </w:rPr>
        <w:t>, Carretera Antiguo Aeropuerto Km 2.5, 30700, Tapachula, Chiapas, Mexico.</w:t>
      </w:r>
    </w:p>
    <w:p w14:paraId="6974C900" w14:textId="77777777" w:rsidR="00AE2BAA" w:rsidRPr="00AE2BAA" w:rsidRDefault="00AE2BAA" w:rsidP="00AE2BAA">
      <w:pPr>
        <w:spacing w:line="360" w:lineRule="auto"/>
        <w:rPr>
          <w:rFonts w:ascii="Times New Roman" w:hAnsi="Times New Roman" w:cs="Times New Roman"/>
          <w:lang w:val="en-GB"/>
        </w:rPr>
      </w:pPr>
      <w:r w:rsidRPr="00AE2BAA">
        <w:rPr>
          <w:rFonts w:ascii="Times New Roman" w:hAnsi="Times New Roman" w:cs="Times New Roman"/>
          <w:lang w:val="en-GB"/>
        </w:rPr>
        <w:t>*Corresponding author: kguillen@ecosur.mx</w:t>
      </w:r>
    </w:p>
    <w:p w14:paraId="701FBDC1" w14:textId="3CE2F403" w:rsidR="00F828F2" w:rsidRDefault="00F828F2"/>
    <w:p w14:paraId="7B8DCE36" w14:textId="6DB325ED" w:rsidR="00AE2BAA" w:rsidRDefault="00AE2BAA">
      <w:pPr>
        <w:rPr>
          <w:rFonts w:ascii="Times New Roman" w:hAnsi="Times New Roman" w:cs="Times New Roman"/>
        </w:rPr>
      </w:pPr>
    </w:p>
    <w:p w14:paraId="0CC2E20C" w14:textId="2B669E08" w:rsidR="00AE2BAA" w:rsidRDefault="00AE2BAA">
      <w:pPr>
        <w:rPr>
          <w:rFonts w:ascii="Times New Roman" w:hAnsi="Times New Roman" w:cs="Times New Roman"/>
        </w:rPr>
      </w:pPr>
    </w:p>
    <w:p w14:paraId="1AC9712D" w14:textId="3D077DC6" w:rsidR="00AE2BAA" w:rsidRDefault="00AE2BAA">
      <w:pPr>
        <w:rPr>
          <w:rFonts w:ascii="Times New Roman" w:hAnsi="Times New Roman" w:cs="Times New Roman"/>
        </w:rPr>
      </w:pPr>
    </w:p>
    <w:p w14:paraId="6370F822" w14:textId="7FEC1D12" w:rsidR="00AE2BAA" w:rsidRDefault="00AE2BAA">
      <w:pPr>
        <w:rPr>
          <w:rFonts w:ascii="Times New Roman" w:hAnsi="Times New Roman" w:cs="Times New Roman"/>
        </w:rPr>
      </w:pPr>
    </w:p>
    <w:p w14:paraId="20242AE3" w14:textId="268DF6F2" w:rsidR="00AE2BAA" w:rsidRDefault="00AE2BAA">
      <w:pPr>
        <w:rPr>
          <w:rFonts w:ascii="Times New Roman" w:hAnsi="Times New Roman" w:cs="Times New Roman"/>
        </w:rPr>
      </w:pPr>
    </w:p>
    <w:p w14:paraId="2F476966" w14:textId="61A32C78" w:rsidR="00AE2BAA" w:rsidRDefault="00AE2BAA">
      <w:pPr>
        <w:rPr>
          <w:rFonts w:ascii="Times New Roman" w:hAnsi="Times New Roman" w:cs="Times New Roman"/>
        </w:rPr>
      </w:pPr>
    </w:p>
    <w:p w14:paraId="4BEDDD32" w14:textId="7F4BACB0" w:rsidR="00AE2BAA" w:rsidRDefault="00AE2BAA">
      <w:pPr>
        <w:rPr>
          <w:rFonts w:ascii="Times New Roman" w:hAnsi="Times New Roman" w:cs="Times New Roman"/>
        </w:rPr>
      </w:pPr>
    </w:p>
    <w:p w14:paraId="152CE0DD" w14:textId="75BB3AC0" w:rsidR="00AE2BAA" w:rsidRDefault="00AE2BAA">
      <w:pPr>
        <w:rPr>
          <w:rFonts w:ascii="Times New Roman" w:hAnsi="Times New Roman" w:cs="Times New Roman"/>
        </w:rPr>
      </w:pPr>
    </w:p>
    <w:p w14:paraId="2AC9C7FF" w14:textId="1A0A3903" w:rsidR="00AE2BAA" w:rsidRDefault="00AE2BAA">
      <w:pPr>
        <w:rPr>
          <w:rFonts w:ascii="Times New Roman" w:hAnsi="Times New Roman" w:cs="Times New Roman"/>
        </w:rPr>
      </w:pPr>
    </w:p>
    <w:p w14:paraId="1539E47C" w14:textId="68FF2BF5" w:rsidR="00AE2BAA" w:rsidRDefault="00AE2BAA">
      <w:pPr>
        <w:rPr>
          <w:rFonts w:ascii="Times New Roman" w:hAnsi="Times New Roman" w:cs="Times New Roman"/>
        </w:rPr>
      </w:pPr>
    </w:p>
    <w:p w14:paraId="204637B6" w14:textId="40D41590" w:rsidR="00AE2BAA" w:rsidRDefault="00AE2BAA">
      <w:pPr>
        <w:rPr>
          <w:rFonts w:ascii="Times New Roman" w:hAnsi="Times New Roman" w:cs="Times New Roman"/>
        </w:rPr>
      </w:pPr>
    </w:p>
    <w:p w14:paraId="234C03FD" w14:textId="3641D01C" w:rsidR="00AE2BAA" w:rsidRDefault="00AE2BAA">
      <w:pPr>
        <w:rPr>
          <w:rFonts w:ascii="Times New Roman" w:hAnsi="Times New Roman" w:cs="Times New Roman"/>
        </w:rPr>
      </w:pPr>
    </w:p>
    <w:p w14:paraId="15D99BCA" w14:textId="583A5126" w:rsidR="00AE2BAA" w:rsidRDefault="00AE2BAA">
      <w:pPr>
        <w:rPr>
          <w:rFonts w:ascii="Times New Roman" w:hAnsi="Times New Roman" w:cs="Times New Roman"/>
        </w:rPr>
      </w:pPr>
    </w:p>
    <w:p w14:paraId="5048048E" w14:textId="75E3AF0C" w:rsidR="00AE2BAA" w:rsidRDefault="00AE2BAA">
      <w:pPr>
        <w:rPr>
          <w:rFonts w:ascii="Times New Roman" w:hAnsi="Times New Roman" w:cs="Times New Roman"/>
        </w:rPr>
      </w:pPr>
    </w:p>
    <w:p w14:paraId="3ABF5C0A" w14:textId="5A3ACF10" w:rsidR="00AE2BAA" w:rsidRDefault="00AE2BAA">
      <w:pPr>
        <w:rPr>
          <w:rFonts w:ascii="Times New Roman" w:hAnsi="Times New Roman" w:cs="Times New Roman"/>
        </w:rPr>
      </w:pPr>
    </w:p>
    <w:p w14:paraId="1D267414" w14:textId="26CD8AAF" w:rsidR="00AE2BAA" w:rsidRDefault="00AE2BAA">
      <w:pPr>
        <w:rPr>
          <w:rFonts w:ascii="Times New Roman" w:hAnsi="Times New Roman" w:cs="Times New Roman"/>
        </w:rPr>
      </w:pPr>
      <w:r>
        <w:rPr>
          <w:rFonts w:ascii="Times New Roman" w:hAnsi="Times New Roman" w:cs="Times New Roman"/>
        </w:rPr>
        <w:lastRenderedPageBreak/>
        <w:t>Supplementary Information</w:t>
      </w:r>
    </w:p>
    <w:p w14:paraId="364E315E" w14:textId="70C8BC29" w:rsidR="00AE2BAA" w:rsidRDefault="00AE2BAA">
      <w:pPr>
        <w:rPr>
          <w:rFonts w:ascii="Times New Roman" w:hAnsi="Times New Roman" w:cs="Times New Roman"/>
        </w:rPr>
      </w:pPr>
    </w:p>
    <w:p w14:paraId="5FE76901" w14:textId="4BC9252B" w:rsidR="00AE2BAA" w:rsidRPr="0077662D" w:rsidRDefault="0077662D">
      <w:pPr>
        <w:rPr>
          <w:rFonts w:ascii="Times New Roman" w:hAnsi="Times New Roman" w:cs="Times New Roman"/>
          <w:lang w:val="en-US"/>
        </w:rPr>
      </w:pPr>
      <w:r>
        <w:rPr>
          <w:rFonts w:asciiTheme="minorBidi" w:hAnsiTheme="minorBidi"/>
          <w:b/>
          <w:bCs/>
          <w:lang w:val="en-GB"/>
        </w:rPr>
        <w:t>Supplementary Table 1</w:t>
      </w:r>
      <w:r w:rsidRPr="00182A27">
        <w:rPr>
          <w:rFonts w:asciiTheme="minorBidi" w:hAnsiTheme="minorBidi"/>
          <w:lang w:val="en-GB"/>
        </w:rPr>
        <w:t xml:space="preserve">: </w:t>
      </w:r>
      <w:r w:rsidRPr="0060641B">
        <w:rPr>
          <w:rFonts w:asciiTheme="minorBidi" w:hAnsiTheme="minorBidi"/>
          <w:lang w:val="en-GB"/>
        </w:rPr>
        <w:t>Sequences of the primers used in the gene expression assay</w:t>
      </w:r>
    </w:p>
    <w:tbl>
      <w:tblPr>
        <w:tblStyle w:val="Tablanormal3"/>
        <w:tblW w:w="8838" w:type="dxa"/>
        <w:tblLayout w:type="fixed"/>
        <w:tblLook w:val="0000" w:firstRow="0" w:lastRow="0" w:firstColumn="0" w:lastColumn="0" w:noHBand="0" w:noVBand="0"/>
      </w:tblPr>
      <w:tblGrid>
        <w:gridCol w:w="993"/>
        <w:gridCol w:w="2409"/>
        <w:gridCol w:w="2127"/>
        <w:gridCol w:w="1475"/>
        <w:gridCol w:w="1834"/>
      </w:tblGrid>
      <w:tr w:rsidR="00AE2BAA" w:rsidRPr="00F263F3" w14:paraId="7955D1E6" w14:textId="77777777" w:rsidTr="00857CD5">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993" w:type="dxa"/>
            <w:tcBorders>
              <w:top w:val="single" w:sz="6" w:space="0" w:color="000000"/>
              <w:bottom w:val="single" w:sz="6" w:space="0" w:color="000000"/>
            </w:tcBorders>
            <w:shd w:val="clear" w:color="auto" w:fill="auto"/>
          </w:tcPr>
          <w:p w14:paraId="2E1AD718" w14:textId="11FFBB10" w:rsidR="00AE2BAA" w:rsidRPr="00F263F3" w:rsidRDefault="00AE2BAA" w:rsidP="00857CD5">
            <w:pPr>
              <w:autoSpaceDE w:val="0"/>
              <w:autoSpaceDN w:val="0"/>
              <w:adjustRightInd w:val="0"/>
              <w:rPr>
                <w:rFonts w:ascii="Arial" w:hAnsi="Arial" w:cs="Arial"/>
                <w:color w:val="000000"/>
                <w:sz w:val="20"/>
                <w:szCs w:val="20"/>
              </w:rPr>
            </w:pPr>
            <w:r w:rsidRPr="00F263F3">
              <w:rPr>
                <w:rFonts w:ascii="Arial" w:hAnsi="Arial" w:cs="Arial"/>
                <w:color w:val="000000"/>
                <w:sz w:val="20"/>
                <w:szCs w:val="20"/>
              </w:rPr>
              <w:t>Gen</w:t>
            </w:r>
            <w:r w:rsidR="0077662D">
              <w:rPr>
                <w:rFonts w:ascii="Arial" w:hAnsi="Arial" w:cs="Arial"/>
                <w:color w:val="000000"/>
                <w:sz w:val="20"/>
                <w:szCs w:val="20"/>
              </w:rPr>
              <w:t>e</w:t>
            </w:r>
          </w:p>
        </w:tc>
        <w:tc>
          <w:tcPr>
            <w:tcW w:w="2409" w:type="dxa"/>
            <w:tcBorders>
              <w:top w:val="single" w:sz="6" w:space="0" w:color="000000"/>
              <w:bottom w:val="single" w:sz="6" w:space="0" w:color="000000"/>
            </w:tcBorders>
            <w:shd w:val="clear" w:color="auto" w:fill="auto"/>
          </w:tcPr>
          <w:p w14:paraId="56BA76B4" w14:textId="77777777" w:rsidR="00AE2BAA" w:rsidRPr="00F263F3" w:rsidRDefault="00AE2BAA" w:rsidP="00857C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sequence fw primer (5’-3’)</w:t>
            </w:r>
          </w:p>
        </w:tc>
        <w:tc>
          <w:tcPr>
            <w:cnfStyle w:val="000010000000" w:firstRow="0" w:lastRow="0" w:firstColumn="0" w:lastColumn="0" w:oddVBand="1" w:evenVBand="0" w:oddHBand="0" w:evenHBand="0" w:firstRowFirstColumn="0" w:firstRowLastColumn="0" w:lastRowFirstColumn="0" w:lastRowLastColumn="0"/>
            <w:tcW w:w="2127" w:type="dxa"/>
            <w:tcBorders>
              <w:top w:val="single" w:sz="6" w:space="0" w:color="000000"/>
              <w:bottom w:val="single" w:sz="6" w:space="0" w:color="000000"/>
            </w:tcBorders>
            <w:shd w:val="clear" w:color="auto" w:fill="auto"/>
          </w:tcPr>
          <w:p w14:paraId="4A68C011" w14:textId="77777777" w:rsidR="00AE2BAA" w:rsidRPr="00F263F3" w:rsidRDefault="00AE2BAA" w:rsidP="00857CD5">
            <w:pPr>
              <w:autoSpaceDE w:val="0"/>
              <w:autoSpaceDN w:val="0"/>
              <w:adjustRightInd w:val="0"/>
              <w:rPr>
                <w:rFonts w:ascii="Arial" w:hAnsi="Arial" w:cs="Arial"/>
                <w:color w:val="000000"/>
                <w:sz w:val="20"/>
                <w:szCs w:val="20"/>
              </w:rPr>
            </w:pPr>
            <w:r w:rsidRPr="00F263F3">
              <w:rPr>
                <w:rFonts w:ascii="Arial" w:hAnsi="Arial" w:cs="Arial"/>
                <w:color w:val="000000"/>
                <w:sz w:val="20"/>
                <w:szCs w:val="20"/>
              </w:rPr>
              <w:t>sequence rev primer (5’-3’)</w:t>
            </w:r>
          </w:p>
        </w:tc>
        <w:tc>
          <w:tcPr>
            <w:tcW w:w="1475" w:type="dxa"/>
            <w:tcBorders>
              <w:top w:val="single" w:sz="6" w:space="0" w:color="000000"/>
              <w:bottom w:val="single" w:sz="6" w:space="0" w:color="000000"/>
            </w:tcBorders>
            <w:shd w:val="clear" w:color="auto" w:fill="auto"/>
          </w:tcPr>
          <w:p w14:paraId="2F9D1C80" w14:textId="77777777" w:rsidR="00AE2BAA" w:rsidRPr="00F263F3" w:rsidRDefault="00AE2BAA" w:rsidP="00857C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263F3">
              <w:rPr>
                <w:rFonts w:ascii="Arial" w:hAnsi="Arial" w:cs="Arial"/>
                <w:color w:val="000000"/>
                <w:sz w:val="20"/>
                <w:szCs w:val="20"/>
              </w:rPr>
              <w:t xml:space="preserve">  </w:t>
            </w:r>
            <w:r w:rsidRPr="00F263F3">
              <w:rPr>
                <w:rFonts w:ascii="Arial" w:hAnsi="Arial" w:cs="Arial"/>
                <w:color w:val="000000"/>
                <w:sz w:val="20"/>
                <w:szCs w:val="20"/>
                <w:lang w:val="en-US"/>
              </w:rPr>
              <w:t>Amplicon size (bp)</w:t>
            </w:r>
          </w:p>
        </w:tc>
        <w:tc>
          <w:tcPr>
            <w:cnfStyle w:val="000010000000" w:firstRow="0" w:lastRow="0" w:firstColumn="0" w:lastColumn="0" w:oddVBand="1" w:evenVBand="0" w:oddHBand="0" w:evenHBand="0" w:firstRowFirstColumn="0" w:firstRowLastColumn="0" w:lastRowFirstColumn="0" w:lastRowLastColumn="0"/>
            <w:tcW w:w="1834" w:type="dxa"/>
            <w:tcBorders>
              <w:top w:val="single" w:sz="6" w:space="0" w:color="000000"/>
              <w:bottom w:val="single" w:sz="6" w:space="0" w:color="000000"/>
            </w:tcBorders>
            <w:shd w:val="clear" w:color="auto" w:fill="auto"/>
            <w:vAlign w:val="center"/>
          </w:tcPr>
          <w:p w14:paraId="395B298D" w14:textId="77777777" w:rsidR="00AE2BAA" w:rsidRPr="00F263F3" w:rsidRDefault="00AE2BAA" w:rsidP="00857CD5">
            <w:pPr>
              <w:autoSpaceDE w:val="0"/>
              <w:autoSpaceDN w:val="0"/>
              <w:adjustRightInd w:val="0"/>
              <w:jc w:val="center"/>
              <w:rPr>
                <w:rFonts w:ascii="Arial" w:hAnsi="Arial" w:cs="Arial"/>
                <w:color w:val="000000"/>
                <w:sz w:val="20"/>
                <w:szCs w:val="20"/>
                <w:lang w:val="en-US"/>
              </w:rPr>
            </w:pPr>
            <w:r w:rsidRPr="00F263F3">
              <w:rPr>
                <w:rFonts w:ascii="Arial" w:hAnsi="Arial" w:cs="Arial"/>
                <w:color w:val="000000"/>
                <w:sz w:val="20"/>
                <w:szCs w:val="20"/>
                <w:lang w:val="en-US"/>
              </w:rPr>
              <w:t>Source</w:t>
            </w:r>
          </w:p>
        </w:tc>
      </w:tr>
      <w:tr w:rsidR="00AE2BAA" w:rsidRPr="00F263F3" w14:paraId="1F2E3431" w14:textId="77777777" w:rsidTr="00857CD5">
        <w:trPr>
          <w:trHeight w:val="290"/>
        </w:trPr>
        <w:tc>
          <w:tcPr>
            <w:cnfStyle w:val="000010000000" w:firstRow="0" w:lastRow="0" w:firstColumn="0" w:lastColumn="0" w:oddVBand="1" w:evenVBand="0" w:oddHBand="0" w:evenHBand="0" w:firstRowFirstColumn="0" w:firstRowLastColumn="0" w:lastRowFirstColumn="0" w:lastRowLastColumn="0"/>
            <w:tcW w:w="993" w:type="dxa"/>
            <w:tcBorders>
              <w:top w:val="single" w:sz="6" w:space="0" w:color="000000"/>
            </w:tcBorders>
            <w:shd w:val="clear" w:color="auto" w:fill="auto"/>
          </w:tcPr>
          <w:p w14:paraId="6C624FED" w14:textId="77777777" w:rsidR="00AE2BAA" w:rsidRPr="00F263F3" w:rsidRDefault="00AE2BAA" w:rsidP="00857CD5">
            <w:pPr>
              <w:autoSpaceDE w:val="0"/>
              <w:autoSpaceDN w:val="0"/>
              <w:adjustRightInd w:val="0"/>
              <w:rPr>
                <w:rFonts w:ascii="Arial" w:hAnsi="Arial" w:cs="Arial"/>
                <w:i/>
                <w:iCs/>
                <w:color w:val="000000"/>
                <w:sz w:val="20"/>
                <w:szCs w:val="20"/>
              </w:rPr>
            </w:pPr>
            <w:r w:rsidRPr="00F263F3">
              <w:rPr>
                <w:rFonts w:ascii="Arial" w:hAnsi="Arial" w:cs="Arial"/>
                <w:i/>
                <w:iCs/>
                <w:color w:val="000000"/>
                <w:sz w:val="20"/>
                <w:szCs w:val="20"/>
              </w:rPr>
              <w:t>PR1</w:t>
            </w:r>
          </w:p>
        </w:tc>
        <w:tc>
          <w:tcPr>
            <w:tcW w:w="2409" w:type="dxa"/>
            <w:tcBorders>
              <w:top w:val="single" w:sz="6" w:space="0" w:color="000000"/>
            </w:tcBorders>
          </w:tcPr>
          <w:p w14:paraId="12A11C2E" w14:textId="77777777" w:rsidR="00AE2BAA" w:rsidRPr="00F263F3" w:rsidRDefault="00AE2BAA" w:rsidP="00857C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CTCGGAGCTACGCAGAACAA</w:t>
            </w:r>
          </w:p>
        </w:tc>
        <w:tc>
          <w:tcPr>
            <w:cnfStyle w:val="000010000000" w:firstRow="0" w:lastRow="0" w:firstColumn="0" w:lastColumn="0" w:oddVBand="1" w:evenVBand="0" w:oddHBand="0" w:evenHBand="0" w:firstRowFirstColumn="0" w:firstRowLastColumn="0" w:lastRowFirstColumn="0" w:lastRowLastColumn="0"/>
            <w:tcW w:w="2127" w:type="dxa"/>
            <w:tcBorders>
              <w:top w:val="single" w:sz="6" w:space="0" w:color="000000"/>
            </w:tcBorders>
            <w:shd w:val="clear" w:color="auto" w:fill="auto"/>
          </w:tcPr>
          <w:p w14:paraId="49C2C589" w14:textId="77777777" w:rsidR="00AE2BAA" w:rsidRPr="00F263F3" w:rsidRDefault="00AE2BAA" w:rsidP="00857CD5">
            <w:pPr>
              <w:autoSpaceDE w:val="0"/>
              <w:autoSpaceDN w:val="0"/>
              <w:adjustRightInd w:val="0"/>
              <w:rPr>
                <w:rFonts w:ascii="Arial" w:hAnsi="Arial" w:cs="Arial"/>
                <w:color w:val="000000"/>
                <w:sz w:val="20"/>
                <w:szCs w:val="20"/>
              </w:rPr>
            </w:pPr>
            <w:r w:rsidRPr="00F263F3">
              <w:rPr>
                <w:rFonts w:ascii="Arial" w:hAnsi="Arial" w:cs="Arial"/>
                <w:color w:val="000000"/>
                <w:sz w:val="20"/>
                <w:szCs w:val="20"/>
              </w:rPr>
              <w:t>TTCTCGCTAACCCACATGTTCA</w:t>
            </w:r>
          </w:p>
        </w:tc>
        <w:tc>
          <w:tcPr>
            <w:tcW w:w="1475" w:type="dxa"/>
            <w:tcBorders>
              <w:top w:val="single" w:sz="6" w:space="0" w:color="000000"/>
            </w:tcBorders>
            <w:vAlign w:val="center"/>
          </w:tcPr>
          <w:p w14:paraId="5020F4C8" w14:textId="77777777" w:rsidR="00AE2BAA" w:rsidRPr="00F263F3" w:rsidRDefault="00AE2BAA" w:rsidP="00857CD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133</w:t>
            </w:r>
          </w:p>
        </w:tc>
        <w:tc>
          <w:tcPr>
            <w:cnfStyle w:val="000010000000" w:firstRow="0" w:lastRow="0" w:firstColumn="0" w:lastColumn="0" w:oddVBand="1" w:evenVBand="0" w:oddHBand="0" w:evenHBand="0" w:firstRowFirstColumn="0" w:firstRowLastColumn="0" w:lastRowFirstColumn="0" w:lastRowLastColumn="0"/>
            <w:tcW w:w="1834" w:type="dxa"/>
            <w:vMerge w:val="restart"/>
            <w:tcBorders>
              <w:top w:val="single" w:sz="6" w:space="0" w:color="000000"/>
            </w:tcBorders>
            <w:shd w:val="clear" w:color="auto" w:fill="auto"/>
            <w:vAlign w:val="center"/>
          </w:tcPr>
          <w:p w14:paraId="1B5B7899" w14:textId="77777777" w:rsidR="00AE2BAA" w:rsidRPr="00F263F3" w:rsidRDefault="00AE2BAA" w:rsidP="00857CD5">
            <w:pPr>
              <w:autoSpaceDE w:val="0"/>
              <w:autoSpaceDN w:val="0"/>
              <w:adjustRightInd w:val="0"/>
              <w:jc w:val="center"/>
              <w:rPr>
                <w:rFonts w:ascii="Arial" w:hAnsi="Arial" w:cs="Arial"/>
                <w:color w:val="000000"/>
                <w:sz w:val="20"/>
                <w:szCs w:val="20"/>
              </w:rPr>
            </w:pPr>
            <w:r w:rsidRPr="00F263F3">
              <w:rPr>
                <w:rFonts w:ascii="Arial" w:hAnsi="Arial" w:cs="Arial"/>
                <w:color w:val="000000"/>
                <w:sz w:val="20"/>
                <w:szCs w:val="20"/>
              </w:rPr>
              <w:fldChar w:fldCharType="begin"/>
            </w:r>
            <w:r w:rsidRPr="00F263F3">
              <w:rPr>
                <w:rFonts w:ascii="Arial" w:hAnsi="Arial" w:cs="Arial"/>
                <w:color w:val="000000"/>
                <w:sz w:val="20"/>
                <w:szCs w:val="20"/>
              </w:rPr>
              <w:instrText xml:space="preserve"> ADDIN ZOTERO_ITEM CSL_CITATION {"citationID":"CC9IAaQ0","properties":{"formattedCitation":"(Yang et\\uc0\\u160{}al., 2023)","plainCitation":"(Yang et al., 2023)","noteIndex":0},"citationItems":[{"id":106,"uris":["http://zotero.org/users/local/ZXxGWwvq/items/MLZVZ757"],"itemData":{"id":106,"type":"article-journal","abstract":"Pseudomonas syringae\n              and\n              Botrytis cinerea\n              cause destructive bacterial speck and grey mold diseases in many plant species, leading to substantial economic losses in agricultural production. Our study discovered that the application of\n              Bacillus proteolyticus\n              strain OSUB18 as a root-drench enhanced the resistance of\n              Arabidopsis\n              plants against\n              P. syringae\n              and\n              B. cinerea\n              through activating Induced Systemic Resistance (ISR). The underlying mechanisms by which OSUB18 activates ISR were studied. Our results revealed that the\n              Arabidopsis\n              plants with OSUB18 root-drench showed the enhanced callose deposition and ROS production when inoculated with\n              Pseudomonas syringae\n              and\n              Botrytis cinerea\n              pathogens, respectively. Also, the increased salicylic acid (SA) levels were detected in the OSUB18 root-drenched plants compared with the water root-drenched plants after the\n              P. syringae\n              infection. In contrast, the OSUB18 root-drenched plants produced significantly higher levels of jasmonyl isoleucine (JA-Ile) than the water root-drenched control after the\n              B. cinerea\n              infection. The qRT-PCR analyses indicated that the ISR-responsive gene\n              MYC2\n              and the ROS-responsive gene\n              RBOHD\n              were significantly upregulated in OSUB18 root-drenched plants upon both pathogen infections compared with the controls. Also, twenty-four hours after the bacterial or fungal inoculation, the OSUB18 root-drenched plants showed the upregulated expression levels of SA-related genes (\n              PR1, PR2, PR5, EDS5\n              , and\n              SID2\n              ) or JA-related genes (\n              PDF1.2, LOX3, JAR1\n              and\n              COI1\n              ), respectively, which were consistent with the related hormone levels upon these two different pathogen infections. Moreover, OSUB18 can trigger ISR in\n              jar1\n              or\n              sid2\n              mutants but not in\n              myc2\n              or\n              npr1\n              mutants, depending on the pathogen’s lifestyles. In addition, OSUB18 prompted the production of acetoin, which was reported as a novel rhizobacterial ISR elicitor. In summary, our studies discover that OSUB18 is a novel ISR inducer that primes plants’ resistance against bacterial and fungal pathogens by enhancing the callose deposition and ROS accumulation, increasing the production of specific phytohormones and other metabolites involved in plant defense, and elevating the expression levels of multiple defense genes.","container-title":"Frontiers in Plant Science","DOI":"10.3389/fpls.2023.1078100","ISSN":"1664-462X","journalAbbreviation":"Front. Plant Sci.","page":"1078100","source":"DOI.org (Crossref)","title":"&lt;i&gt;Bacillus proteolyticus&lt;/i&gt; OSUB18 triggers induced systemic resistance against bacterial and fungal pathogens in &lt;i&gt;Arabidopsis&lt;/i&gt;","URL":"https://www.frontiersin.org/articles/10.3389/fpls.2023.1078100/full","volume":"14","author":[{"family":"Yang","given":"Piao"},{"family":"Zhao","given":"Zhenzhen"},{"family":"Fan","given":"Jiangbo"},{"family":"Liang","given":"Yinping"},{"family":"Bernier","given":"Matthew C."},{"family":"Gao","given":"Yu"},{"family":"Zhao","given":"Lijing"},{"family":"Opiyo","given":"Stephen Obol"},{"family":"Xia","given":"Ye"}],"accessed":{"date-parts":[["2023",7,18]]},"issued":{"date-parts":[["2023",1,23]]}}}],"schema":"https://github.com/citation-style-language/schema/raw/master/csl-citation.json"} </w:instrText>
            </w:r>
            <w:r w:rsidRPr="00F263F3">
              <w:rPr>
                <w:rFonts w:ascii="Arial" w:hAnsi="Arial" w:cs="Arial"/>
                <w:color w:val="000000"/>
                <w:sz w:val="20"/>
                <w:szCs w:val="20"/>
              </w:rPr>
              <w:fldChar w:fldCharType="separate"/>
            </w:r>
            <w:r w:rsidRPr="00F263F3">
              <w:rPr>
                <w:rFonts w:ascii="Arial" w:hAnsi="Arial" w:cs="Arial"/>
                <w:sz w:val="20"/>
              </w:rPr>
              <w:t>(Yang et al., 2023)</w:t>
            </w:r>
            <w:r w:rsidRPr="00F263F3">
              <w:rPr>
                <w:rFonts w:ascii="Arial" w:hAnsi="Arial" w:cs="Arial"/>
                <w:color w:val="000000"/>
                <w:sz w:val="20"/>
                <w:szCs w:val="20"/>
              </w:rPr>
              <w:fldChar w:fldCharType="end"/>
            </w:r>
          </w:p>
        </w:tc>
      </w:tr>
      <w:tr w:rsidR="00AE2BAA" w:rsidRPr="00F263F3" w14:paraId="1E3EC06A" w14:textId="77777777" w:rsidTr="00857CD5">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14:paraId="4A94EE87" w14:textId="77777777" w:rsidR="00AE2BAA" w:rsidRPr="00F263F3" w:rsidRDefault="00AE2BAA" w:rsidP="00857CD5">
            <w:pPr>
              <w:autoSpaceDE w:val="0"/>
              <w:autoSpaceDN w:val="0"/>
              <w:adjustRightInd w:val="0"/>
              <w:rPr>
                <w:rFonts w:ascii="Arial" w:hAnsi="Arial" w:cs="Arial"/>
                <w:i/>
                <w:iCs/>
                <w:color w:val="000000"/>
                <w:sz w:val="20"/>
                <w:szCs w:val="20"/>
              </w:rPr>
            </w:pPr>
            <w:r w:rsidRPr="00F263F3">
              <w:rPr>
                <w:rFonts w:ascii="Arial" w:hAnsi="Arial" w:cs="Arial"/>
                <w:i/>
                <w:iCs/>
                <w:color w:val="000000"/>
                <w:sz w:val="20"/>
                <w:szCs w:val="20"/>
              </w:rPr>
              <w:t>PDF1.2</w:t>
            </w:r>
          </w:p>
        </w:tc>
        <w:tc>
          <w:tcPr>
            <w:tcW w:w="2409" w:type="dxa"/>
            <w:shd w:val="clear" w:color="auto" w:fill="auto"/>
          </w:tcPr>
          <w:p w14:paraId="4E8F89C2" w14:textId="77777777" w:rsidR="00AE2BAA" w:rsidRPr="00F263F3" w:rsidRDefault="00AE2BAA" w:rsidP="00857C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AGTTGTGCGAGAAGCCAAGT</w:t>
            </w:r>
          </w:p>
        </w:tc>
        <w:tc>
          <w:tcPr>
            <w:cnfStyle w:val="000010000000" w:firstRow="0" w:lastRow="0" w:firstColumn="0" w:lastColumn="0" w:oddVBand="1" w:evenVBand="0" w:oddHBand="0" w:evenHBand="0" w:firstRowFirstColumn="0" w:firstRowLastColumn="0" w:lastRowFirstColumn="0" w:lastRowLastColumn="0"/>
            <w:tcW w:w="2127" w:type="dxa"/>
            <w:shd w:val="clear" w:color="auto" w:fill="auto"/>
          </w:tcPr>
          <w:p w14:paraId="73A4B3B6" w14:textId="77777777" w:rsidR="00AE2BAA" w:rsidRPr="00F263F3" w:rsidRDefault="00AE2BAA" w:rsidP="00857CD5">
            <w:pPr>
              <w:autoSpaceDE w:val="0"/>
              <w:autoSpaceDN w:val="0"/>
              <w:adjustRightInd w:val="0"/>
              <w:rPr>
                <w:rFonts w:ascii="Arial" w:hAnsi="Arial" w:cs="Arial"/>
                <w:color w:val="000000"/>
                <w:sz w:val="20"/>
                <w:szCs w:val="20"/>
              </w:rPr>
            </w:pPr>
            <w:r w:rsidRPr="00F263F3">
              <w:rPr>
                <w:rFonts w:ascii="Arial" w:hAnsi="Arial" w:cs="Arial"/>
                <w:color w:val="000000"/>
                <w:sz w:val="20"/>
                <w:szCs w:val="20"/>
              </w:rPr>
              <w:t>GTTGCATGATCCATGTTTGG</w:t>
            </w:r>
          </w:p>
        </w:tc>
        <w:tc>
          <w:tcPr>
            <w:tcW w:w="1475" w:type="dxa"/>
            <w:shd w:val="clear" w:color="auto" w:fill="auto"/>
            <w:vAlign w:val="center"/>
          </w:tcPr>
          <w:p w14:paraId="108F3DF6" w14:textId="77777777" w:rsidR="00AE2BAA" w:rsidRPr="00F263F3" w:rsidRDefault="00AE2BAA" w:rsidP="00857C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107</w:t>
            </w:r>
          </w:p>
        </w:tc>
        <w:tc>
          <w:tcPr>
            <w:cnfStyle w:val="000010000000" w:firstRow="0" w:lastRow="0" w:firstColumn="0" w:lastColumn="0" w:oddVBand="1" w:evenVBand="0" w:oddHBand="0" w:evenHBand="0" w:firstRowFirstColumn="0" w:firstRowLastColumn="0" w:lastRowFirstColumn="0" w:lastRowLastColumn="0"/>
            <w:tcW w:w="1834" w:type="dxa"/>
            <w:vMerge/>
            <w:shd w:val="clear" w:color="auto" w:fill="auto"/>
          </w:tcPr>
          <w:p w14:paraId="6248CF1F" w14:textId="77777777" w:rsidR="00AE2BAA" w:rsidRPr="00F263F3" w:rsidRDefault="00AE2BAA" w:rsidP="00857CD5">
            <w:pPr>
              <w:autoSpaceDE w:val="0"/>
              <w:autoSpaceDN w:val="0"/>
              <w:adjustRightInd w:val="0"/>
              <w:rPr>
                <w:rFonts w:ascii="Arial" w:hAnsi="Arial" w:cs="Arial"/>
                <w:color w:val="000000"/>
                <w:sz w:val="20"/>
                <w:szCs w:val="20"/>
              </w:rPr>
            </w:pPr>
          </w:p>
        </w:tc>
      </w:tr>
      <w:tr w:rsidR="00AE2BAA" w:rsidRPr="00F263F3" w14:paraId="24A4EA4A" w14:textId="77777777" w:rsidTr="00857CD5">
        <w:trPr>
          <w:trHeight w:val="290"/>
        </w:trPr>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14:paraId="6868686A" w14:textId="77777777" w:rsidR="00AE2BAA" w:rsidRPr="00F263F3" w:rsidRDefault="00AE2BAA" w:rsidP="00857CD5">
            <w:pPr>
              <w:autoSpaceDE w:val="0"/>
              <w:autoSpaceDN w:val="0"/>
              <w:adjustRightInd w:val="0"/>
              <w:rPr>
                <w:rFonts w:ascii="Arial" w:hAnsi="Arial" w:cs="Arial"/>
                <w:i/>
                <w:iCs/>
                <w:color w:val="000000"/>
                <w:sz w:val="20"/>
                <w:szCs w:val="20"/>
              </w:rPr>
            </w:pPr>
            <w:r w:rsidRPr="00F263F3">
              <w:rPr>
                <w:rFonts w:ascii="Arial" w:hAnsi="Arial" w:cs="Arial"/>
                <w:i/>
                <w:iCs/>
                <w:color w:val="000000"/>
                <w:sz w:val="20"/>
                <w:szCs w:val="20"/>
              </w:rPr>
              <w:t>UBQ10</w:t>
            </w:r>
          </w:p>
        </w:tc>
        <w:tc>
          <w:tcPr>
            <w:tcW w:w="2409" w:type="dxa"/>
          </w:tcPr>
          <w:p w14:paraId="087A9669" w14:textId="77777777" w:rsidR="00AE2BAA" w:rsidRPr="00F263F3" w:rsidRDefault="00AE2BAA" w:rsidP="00857C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AAAGAGATAACAGGAACGGAAACA TAGT</w:t>
            </w:r>
          </w:p>
        </w:tc>
        <w:tc>
          <w:tcPr>
            <w:cnfStyle w:val="000010000000" w:firstRow="0" w:lastRow="0" w:firstColumn="0" w:lastColumn="0" w:oddVBand="1" w:evenVBand="0" w:oddHBand="0" w:evenHBand="0" w:firstRowFirstColumn="0" w:firstRowLastColumn="0" w:lastRowFirstColumn="0" w:lastRowLastColumn="0"/>
            <w:tcW w:w="2127" w:type="dxa"/>
            <w:shd w:val="clear" w:color="auto" w:fill="auto"/>
          </w:tcPr>
          <w:p w14:paraId="61E8DCD6" w14:textId="77777777" w:rsidR="00AE2BAA" w:rsidRPr="00F263F3" w:rsidRDefault="00AE2BAA" w:rsidP="00857CD5">
            <w:pPr>
              <w:autoSpaceDE w:val="0"/>
              <w:autoSpaceDN w:val="0"/>
              <w:adjustRightInd w:val="0"/>
              <w:rPr>
                <w:rFonts w:ascii="Arial" w:hAnsi="Arial" w:cs="Arial"/>
                <w:color w:val="000000"/>
                <w:sz w:val="20"/>
                <w:szCs w:val="20"/>
              </w:rPr>
            </w:pPr>
            <w:r w:rsidRPr="00F263F3">
              <w:rPr>
                <w:rFonts w:ascii="Arial" w:hAnsi="Arial" w:cs="Arial"/>
                <w:color w:val="000000"/>
                <w:sz w:val="20"/>
                <w:szCs w:val="20"/>
              </w:rPr>
              <w:t>GGCCTTGTATAATCCCTGATGAATA AG</w:t>
            </w:r>
          </w:p>
        </w:tc>
        <w:tc>
          <w:tcPr>
            <w:tcW w:w="1475" w:type="dxa"/>
            <w:vAlign w:val="center"/>
          </w:tcPr>
          <w:p w14:paraId="3D6CDB67" w14:textId="77777777" w:rsidR="00AE2BAA" w:rsidRPr="00F263F3" w:rsidRDefault="00AE2BAA" w:rsidP="00857CD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61</w:t>
            </w:r>
          </w:p>
        </w:tc>
        <w:tc>
          <w:tcPr>
            <w:cnfStyle w:val="000010000000" w:firstRow="0" w:lastRow="0" w:firstColumn="0" w:lastColumn="0" w:oddVBand="1" w:evenVBand="0" w:oddHBand="0" w:evenHBand="0" w:firstRowFirstColumn="0" w:firstRowLastColumn="0" w:lastRowFirstColumn="0" w:lastRowLastColumn="0"/>
            <w:tcW w:w="1834" w:type="dxa"/>
            <w:vMerge/>
            <w:shd w:val="clear" w:color="auto" w:fill="auto"/>
          </w:tcPr>
          <w:p w14:paraId="1429DA35" w14:textId="77777777" w:rsidR="00AE2BAA" w:rsidRPr="00F263F3" w:rsidRDefault="00AE2BAA" w:rsidP="00857CD5">
            <w:pPr>
              <w:autoSpaceDE w:val="0"/>
              <w:autoSpaceDN w:val="0"/>
              <w:adjustRightInd w:val="0"/>
              <w:rPr>
                <w:rFonts w:ascii="Arial" w:hAnsi="Arial" w:cs="Arial"/>
                <w:color w:val="000000"/>
                <w:sz w:val="20"/>
                <w:szCs w:val="20"/>
              </w:rPr>
            </w:pPr>
          </w:p>
        </w:tc>
      </w:tr>
      <w:tr w:rsidR="00AE2BAA" w:rsidRPr="00F263F3" w14:paraId="3DB2D8D2" w14:textId="77777777" w:rsidTr="00857CD5">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993" w:type="dxa"/>
            <w:tcBorders>
              <w:bottom w:val="single" w:sz="6" w:space="0" w:color="000000"/>
            </w:tcBorders>
            <w:shd w:val="clear" w:color="auto" w:fill="auto"/>
          </w:tcPr>
          <w:p w14:paraId="65BCD3D9" w14:textId="77777777" w:rsidR="00AE2BAA" w:rsidRPr="00F263F3" w:rsidRDefault="00AE2BAA" w:rsidP="00857CD5">
            <w:pPr>
              <w:autoSpaceDE w:val="0"/>
              <w:autoSpaceDN w:val="0"/>
              <w:adjustRightInd w:val="0"/>
              <w:rPr>
                <w:rFonts w:ascii="Arial" w:hAnsi="Arial" w:cs="Arial"/>
                <w:i/>
                <w:iCs/>
                <w:color w:val="000000"/>
                <w:sz w:val="20"/>
                <w:szCs w:val="20"/>
              </w:rPr>
            </w:pPr>
            <w:r w:rsidRPr="00F263F3">
              <w:rPr>
                <w:rFonts w:ascii="Arial" w:hAnsi="Arial" w:cs="Arial"/>
                <w:i/>
                <w:iCs/>
                <w:color w:val="000000"/>
                <w:sz w:val="20"/>
                <w:szCs w:val="20"/>
              </w:rPr>
              <w:t>EF1α</w:t>
            </w:r>
          </w:p>
        </w:tc>
        <w:tc>
          <w:tcPr>
            <w:tcW w:w="2409" w:type="dxa"/>
            <w:tcBorders>
              <w:bottom w:val="single" w:sz="6" w:space="0" w:color="000000"/>
            </w:tcBorders>
            <w:shd w:val="clear" w:color="auto" w:fill="auto"/>
          </w:tcPr>
          <w:p w14:paraId="18182A2A" w14:textId="77777777" w:rsidR="00AE2BAA" w:rsidRPr="00F263F3" w:rsidRDefault="00AE2BAA" w:rsidP="00857C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TGAGCACGCTCTTCTTGCTTTCA</w:t>
            </w:r>
          </w:p>
        </w:tc>
        <w:tc>
          <w:tcPr>
            <w:cnfStyle w:val="000010000000" w:firstRow="0" w:lastRow="0" w:firstColumn="0" w:lastColumn="0" w:oddVBand="1" w:evenVBand="0" w:oddHBand="0" w:evenHBand="0" w:firstRowFirstColumn="0" w:firstRowLastColumn="0" w:lastRowFirstColumn="0" w:lastRowLastColumn="0"/>
            <w:tcW w:w="2127" w:type="dxa"/>
            <w:tcBorders>
              <w:bottom w:val="single" w:sz="6" w:space="0" w:color="000000"/>
            </w:tcBorders>
            <w:shd w:val="clear" w:color="auto" w:fill="auto"/>
          </w:tcPr>
          <w:p w14:paraId="72164A2C" w14:textId="77777777" w:rsidR="00AE2BAA" w:rsidRPr="00F263F3" w:rsidRDefault="00AE2BAA" w:rsidP="00857CD5">
            <w:pPr>
              <w:autoSpaceDE w:val="0"/>
              <w:autoSpaceDN w:val="0"/>
              <w:adjustRightInd w:val="0"/>
              <w:rPr>
                <w:rFonts w:ascii="Arial" w:hAnsi="Arial" w:cs="Arial"/>
                <w:color w:val="000000"/>
                <w:sz w:val="20"/>
                <w:szCs w:val="20"/>
              </w:rPr>
            </w:pPr>
            <w:r w:rsidRPr="00F263F3">
              <w:rPr>
                <w:rFonts w:ascii="Arial" w:hAnsi="Arial" w:cs="Arial"/>
                <w:color w:val="000000"/>
                <w:sz w:val="20"/>
                <w:szCs w:val="20"/>
              </w:rPr>
              <w:t>GGTGGTGGCATCCATCTTGTTACA</w:t>
            </w:r>
          </w:p>
        </w:tc>
        <w:tc>
          <w:tcPr>
            <w:tcW w:w="1475" w:type="dxa"/>
            <w:tcBorders>
              <w:bottom w:val="single" w:sz="6" w:space="0" w:color="000000"/>
            </w:tcBorders>
            <w:shd w:val="clear" w:color="auto" w:fill="auto"/>
            <w:vAlign w:val="center"/>
          </w:tcPr>
          <w:p w14:paraId="5C286DAC" w14:textId="77777777" w:rsidR="00AE2BAA" w:rsidRPr="00F263F3" w:rsidRDefault="00AE2BAA" w:rsidP="00857C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63F3">
              <w:rPr>
                <w:rFonts w:ascii="Arial" w:hAnsi="Arial" w:cs="Arial"/>
                <w:color w:val="000000"/>
                <w:sz w:val="20"/>
                <w:szCs w:val="20"/>
              </w:rPr>
              <w:t>76</w:t>
            </w:r>
          </w:p>
        </w:tc>
        <w:tc>
          <w:tcPr>
            <w:cnfStyle w:val="000010000000" w:firstRow="0" w:lastRow="0" w:firstColumn="0" w:lastColumn="0" w:oddVBand="1" w:evenVBand="0" w:oddHBand="0" w:evenHBand="0" w:firstRowFirstColumn="0" w:firstRowLastColumn="0" w:lastRowFirstColumn="0" w:lastRowLastColumn="0"/>
            <w:tcW w:w="1834" w:type="dxa"/>
            <w:tcBorders>
              <w:bottom w:val="single" w:sz="6" w:space="0" w:color="000000"/>
            </w:tcBorders>
            <w:shd w:val="clear" w:color="auto" w:fill="auto"/>
            <w:vAlign w:val="center"/>
          </w:tcPr>
          <w:p w14:paraId="16044AB6" w14:textId="77777777" w:rsidR="00AE2BAA" w:rsidRPr="00F263F3" w:rsidRDefault="00AE2BAA" w:rsidP="00857CD5">
            <w:pPr>
              <w:autoSpaceDE w:val="0"/>
              <w:autoSpaceDN w:val="0"/>
              <w:adjustRightInd w:val="0"/>
              <w:jc w:val="center"/>
              <w:rPr>
                <w:rFonts w:ascii="Arial" w:hAnsi="Arial" w:cs="Arial"/>
                <w:color w:val="000000"/>
                <w:sz w:val="20"/>
                <w:szCs w:val="20"/>
              </w:rPr>
            </w:pPr>
            <w:r w:rsidRPr="00F263F3">
              <w:rPr>
                <w:rFonts w:ascii="Arial" w:hAnsi="Arial" w:cs="Arial"/>
                <w:color w:val="000000"/>
                <w:sz w:val="20"/>
                <w:szCs w:val="20"/>
              </w:rPr>
              <w:fldChar w:fldCharType="begin"/>
            </w:r>
            <w:r w:rsidRPr="00F263F3">
              <w:rPr>
                <w:rFonts w:ascii="Arial" w:hAnsi="Arial" w:cs="Arial"/>
                <w:color w:val="000000"/>
                <w:sz w:val="20"/>
                <w:szCs w:val="20"/>
              </w:rPr>
              <w:instrText xml:space="preserve"> ADDIN ZOTERO_ITEM CSL_CITATION {"citationID":"ZGZrAZl8","properties":{"formattedCitation":"(Mathys et\\uc0\\u160{}al., 2012)","plainCitation":"(Mathys et al., 2012)","noteIndex":0},"citationItems":[{"id":75,"uris":["http://zotero.org/users/local/ZXxGWwvq/items/5AJQNLB9"],"itemData":{"id":75,"type":"article-journal","container-title":"Frontiers in Plant Science","DOI":"10.3389/fpls.2012.00108","ISSN":"1664-462X","journalAbbreviation":"Front. Plant Sci.","source":"DOI.org (Crossref)","title":"Genome-wide characterization of ISR induced in &lt;i&gt;Arabidopsis thaliana&lt;/i&gt; by &lt;i&gt;Trichoderma hamatum&lt;/i&gt; T382 against &lt;i&gt;Botrytis cinerea&lt;/i&gt; infection","URL":"http://journal.frontiersin.org/article/10.3389/fpls.2012.00108/abstract","volume":"3","author":[{"family":"Mathys","given":"Janick"},{"family":"De Cremer","given":"Kaat"},{"family":"Timmermans","given":"Pieter"},{"family":"Van Kerckhove","given":"Stefan"},{"family":"Lievens","given":"Bart"},{"family":"Vanhaecke","given":"Mieke"},{"family":"Cammue","given":"Bruno P. A."},{"family":"De Coninck","given":"Barbara"}],"accessed":{"date-parts":[["2023",7,13]]},"issued":{"date-parts":[["2012"]]}}}],"schema":"https://github.com/citation-style-language/schema/raw/master/csl-citation.json"} </w:instrText>
            </w:r>
            <w:r w:rsidRPr="00F263F3">
              <w:rPr>
                <w:rFonts w:ascii="Arial" w:hAnsi="Arial" w:cs="Arial"/>
                <w:color w:val="000000"/>
                <w:sz w:val="20"/>
                <w:szCs w:val="20"/>
              </w:rPr>
              <w:fldChar w:fldCharType="separate"/>
            </w:r>
            <w:r w:rsidRPr="00F263F3">
              <w:rPr>
                <w:rFonts w:ascii="Arial" w:hAnsi="Arial" w:cs="Arial"/>
                <w:sz w:val="20"/>
              </w:rPr>
              <w:t>(Mathys et al., 2012)</w:t>
            </w:r>
            <w:r w:rsidRPr="00F263F3">
              <w:rPr>
                <w:rFonts w:ascii="Arial" w:hAnsi="Arial" w:cs="Arial"/>
                <w:color w:val="000000"/>
                <w:sz w:val="20"/>
                <w:szCs w:val="20"/>
              </w:rPr>
              <w:fldChar w:fldCharType="end"/>
            </w:r>
          </w:p>
        </w:tc>
      </w:tr>
    </w:tbl>
    <w:p w14:paraId="694F6800" w14:textId="6BB8F280" w:rsidR="00AE2BAA" w:rsidRDefault="00AE2BAA">
      <w:pPr>
        <w:rPr>
          <w:rFonts w:ascii="Times New Roman" w:hAnsi="Times New Roman" w:cs="Times New Roman"/>
        </w:rPr>
      </w:pPr>
    </w:p>
    <w:p w14:paraId="313C0A9E" w14:textId="25F5E6E9" w:rsidR="0077662D" w:rsidRDefault="0077662D">
      <w:pPr>
        <w:rPr>
          <w:rFonts w:ascii="Times New Roman" w:hAnsi="Times New Roman" w:cs="Times New Roman"/>
        </w:rPr>
      </w:pPr>
    </w:p>
    <w:p w14:paraId="65A83CFA" w14:textId="02384157" w:rsidR="0077662D" w:rsidRDefault="0077662D">
      <w:pPr>
        <w:rPr>
          <w:rFonts w:ascii="Times New Roman" w:hAnsi="Times New Roman" w:cs="Times New Roman"/>
        </w:rPr>
      </w:pPr>
    </w:p>
    <w:p w14:paraId="432F61CD" w14:textId="6666E818" w:rsidR="0077662D" w:rsidRDefault="0077662D">
      <w:pPr>
        <w:rPr>
          <w:rFonts w:ascii="Times New Roman" w:hAnsi="Times New Roman" w:cs="Times New Roman"/>
        </w:rPr>
      </w:pPr>
      <w:r>
        <w:rPr>
          <w:rFonts w:ascii="Times New Roman" w:hAnsi="Times New Roman" w:cs="Times New Roman"/>
          <w:noProof/>
          <w14:ligatures w14:val="none"/>
        </w:rPr>
        <w:drawing>
          <wp:inline distT="0" distB="0" distL="0" distR="0" wp14:anchorId="14E2D72F" wp14:editId="4BDF8566">
            <wp:extent cx="5612130" cy="3156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5612130" cy="3156585"/>
                    </a:xfrm>
                    <a:prstGeom prst="rect">
                      <a:avLst/>
                    </a:prstGeom>
                  </pic:spPr>
                </pic:pic>
              </a:graphicData>
            </a:graphic>
          </wp:inline>
        </w:drawing>
      </w:r>
    </w:p>
    <w:p w14:paraId="5B8765DE" w14:textId="0BC7BBFC" w:rsidR="0077662D" w:rsidRDefault="0077662D" w:rsidP="0077662D">
      <w:pPr>
        <w:rPr>
          <w:rFonts w:ascii="Times New Roman" w:hAnsi="Times New Roman" w:cs="Times New Roman"/>
        </w:rPr>
      </w:pPr>
      <w:r w:rsidRPr="0077662D">
        <w:rPr>
          <w:rFonts w:ascii="Times New Roman" w:hAnsi="Times New Roman" w:cs="Times New Roman"/>
          <w:b/>
          <w:bCs/>
        </w:rPr>
        <w:t>Supplementary Figure 1</w:t>
      </w:r>
      <w:r w:rsidRPr="0077662D">
        <w:rPr>
          <w:rFonts w:ascii="Times New Roman" w:hAnsi="Times New Roman" w:cs="Times New Roman"/>
        </w:rPr>
        <w:t>: Validation of primers PR1 (A), PDF1.2 (B), UBQ10 (C), and EF1α (D). Left panel of each section: images of electrophoresis gels (2% agarose) of RT-qPCR amplicons. Right panel: RT-qPCR melting curve, with corresponding no template control76 (NTC) and threshold. In all cases a single amplicon is observed. </w:t>
      </w:r>
    </w:p>
    <w:p w14:paraId="08837A1B" w14:textId="36F02331" w:rsidR="0077662D" w:rsidRDefault="0077662D" w:rsidP="0077662D">
      <w:pPr>
        <w:rPr>
          <w:rFonts w:ascii="Times New Roman" w:hAnsi="Times New Roman" w:cs="Times New Roman"/>
        </w:rPr>
      </w:pPr>
    </w:p>
    <w:p w14:paraId="3582F049" w14:textId="7B48E00E" w:rsidR="0077662D" w:rsidRDefault="0077662D" w:rsidP="0077662D">
      <w:pPr>
        <w:rPr>
          <w:rFonts w:ascii="Times New Roman" w:hAnsi="Times New Roman" w:cs="Times New Roman"/>
        </w:rPr>
      </w:pPr>
    </w:p>
    <w:p w14:paraId="35C87A7D" w14:textId="77777777" w:rsidR="0077662D" w:rsidRPr="0077662D" w:rsidRDefault="0077662D" w:rsidP="0077662D">
      <w:pPr>
        <w:rPr>
          <w:rFonts w:ascii="Times New Roman" w:hAnsi="Times New Roman" w:cs="Times New Roman"/>
        </w:rPr>
      </w:pPr>
    </w:p>
    <w:p w14:paraId="76CD2B36" w14:textId="77777777" w:rsidR="0077662D" w:rsidRDefault="0077662D" w:rsidP="0077662D">
      <w:pPr>
        <w:rPr>
          <w:rFonts w:ascii="Times New Roman" w:hAnsi="Times New Roman" w:cs="Times New Roman"/>
          <w:b/>
          <w:bCs/>
        </w:rPr>
      </w:pPr>
    </w:p>
    <w:p w14:paraId="6560A747" w14:textId="7DCB309D" w:rsidR="0077662D" w:rsidRDefault="0077662D" w:rsidP="0077662D">
      <w:pPr>
        <w:rPr>
          <w:rFonts w:ascii="Times New Roman" w:hAnsi="Times New Roman" w:cs="Times New Roman"/>
          <w:b/>
          <w:bCs/>
        </w:rPr>
      </w:pPr>
      <w:r>
        <w:rPr>
          <w:rFonts w:ascii="Times New Roman" w:hAnsi="Times New Roman" w:cs="Times New Roman"/>
          <w:b/>
          <w:bCs/>
          <w:noProof/>
          <w14:ligatures w14:val="none"/>
        </w:rPr>
        <w:lastRenderedPageBreak/>
        <w:drawing>
          <wp:inline distT="0" distB="0" distL="0" distR="0" wp14:anchorId="7714EE9E" wp14:editId="5521EFF7">
            <wp:extent cx="5612130" cy="20193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5">
                      <a:extLst>
                        <a:ext uri="{28A0092B-C50C-407E-A947-70E740481C1C}">
                          <a14:useLocalDpi xmlns:a14="http://schemas.microsoft.com/office/drawing/2010/main" val="0"/>
                        </a:ext>
                      </a:extLst>
                    </a:blip>
                    <a:srcRect t="7001" b="29029"/>
                    <a:stretch/>
                  </pic:blipFill>
                  <pic:spPr bwMode="auto">
                    <a:xfrm>
                      <a:off x="0" y="0"/>
                      <a:ext cx="5612130" cy="2019300"/>
                    </a:xfrm>
                    <a:prstGeom prst="rect">
                      <a:avLst/>
                    </a:prstGeom>
                    <a:ln>
                      <a:noFill/>
                    </a:ln>
                    <a:extLst>
                      <a:ext uri="{53640926-AAD7-44D8-BBD7-CCE9431645EC}">
                        <a14:shadowObscured xmlns:a14="http://schemas.microsoft.com/office/drawing/2010/main"/>
                      </a:ext>
                    </a:extLst>
                  </pic:spPr>
                </pic:pic>
              </a:graphicData>
            </a:graphic>
          </wp:inline>
        </w:drawing>
      </w:r>
    </w:p>
    <w:p w14:paraId="745BDF4B" w14:textId="37FFA4C3" w:rsidR="0077662D" w:rsidRPr="0077662D" w:rsidRDefault="0077662D" w:rsidP="0077662D">
      <w:pPr>
        <w:rPr>
          <w:rFonts w:ascii="Times New Roman" w:hAnsi="Times New Roman" w:cs="Times New Roman"/>
          <w:lang w:val="en-US"/>
        </w:rPr>
      </w:pPr>
      <w:r w:rsidRPr="0077662D">
        <w:rPr>
          <w:rFonts w:ascii="Times New Roman" w:hAnsi="Times New Roman" w:cs="Times New Roman"/>
          <w:b/>
          <w:bCs/>
          <w:lang w:val="en-US"/>
        </w:rPr>
        <w:t>Supplementary Figure 2</w:t>
      </w:r>
      <w:r w:rsidRPr="0077662D">
        <w:rPr>
          <w:rFonts w:ascii="Times New Roman" w:hAnsi="Times New Roman" w:cs="Times New Roman"/>
          <w:lang w:val="en-US"/>
        </w:rPr>
        <w:t xml:space="preserve">: Mycelial growth of </w:t>
      </w:r>
      <w:r w:rsidRPr="0077662D">
        <w:rPr>
          <w:rFonts w:ascii="Times New Roman" w:hAnsi="Times New Roman" w:cs="Times New Roman"/>
          <w:i/>
          <w:iCs/>
          <w:lang w:val="en-US"/>
        </w:rPr>
        <w:t>Colletotrichum</w:t>
      </w:r>
      <w:r w:rsidRPr="0077662D">
        <w:rPr>
          <w:rFonts w:ascii="Times New Roman" w:hAnsi="Times New Roman" w:cs="Times New Roman"/>
          <w:lang w:val="en-US"/>
        </w:rPr>
        <w:t xml:space="preserve"> strains M07-C2 and M10-F2 in interaction with antagonistic microorganisms: (A) </w:t>
      </w:r>
      <w:r w:rsidRPr="0077662D">
        <w:rPr>
          <w:rFonts w:ascii="Times New Roman" w:hAnsi="Times New Roman" w:cs="Times New Roman"/>
          <w:i/>
          <w:iCs/>
          <w:lang w:val="en-US"/>
        </w:rPr>
        <w:t>Serratia marcescens</w:t>
      </w:r>
      <w:r w:rsidRPr="0077662D">
        <w:rPr>
          <w:rFonts w:ascii="Times New Roman" w:hAnsi="Times New Roman" w:cs="Times New Roman"/>
          <w:lang w:val="en-US"/>
        </w:rPr>
        <w:t xml:space="preserve"> CFFSUR-B2 and </w:t>
      </w:r>
      <w:r w:rsidRPr="0077662D">
        <w:rPr>
          <w:rFonts w:ascii="Times New Roman" w:hAnsi="Times New Roman" w:cs="Times New Roman"/>
          <w:i/>
          <w:iCs/>
          <w:lang w:val="en-US"/>
        </w:rPr>
        <w:t>Streptomyces galilaeus</w:t>
      </w:r>
      <w:r w:rsidRPr="0077662D">
        <w:rPr>
          <w:rFonts w:ascii="Times New Roman" w:hAnsi="Times New Roman" w:cs="Times New Roman"/>
          <w:lang w:val="en-US"/>
        </w:rPr>
        <w:t xml:space="preserve"> CFFSUR-B12; (B) </w:t>
      </w:r>
      <w:r w:rsidRPr="0077662D">
        <w:rPr>
          <w:rFonts w:ascii="Times New Roman" w:hAnsi="Times New Roman" w:cs="Times New Roman"/>
          <w:i/>
          <w:iCs/>
          <w:lang w:val="en-US"/>
        </w:rPr>
        <w:t>Trichoderma viride</w:t>
      </w:r>
      <w:r w:rsidRPr="0077662D">
        <w:rPr>
          <w:rFonts w:ascii="Times New Roman" w:hAnsi="Times New Roman" w:cs="Times New Roman"/>
          <w:lang w:val="en-US"/>
        </w:rPr>
        <w:t xml:space="preserve"> CFFSUR-A21. Presented values are the means of seven replicates ± sd. </w:t>
      </w:r>
    </w:p>
    <w:p w14:paraId="52D9F2A1" w14:textId="77777777" w:rsidR="0077662D" w:rsidRPr="0077662D" w:rsidRDefault="0077662D">
      <w:pPr>
        <w:rPr>
          <w:rFonts w:ascii="Times New Roman" w:hAnsi="Times New Roman" w:cs="Times New Roman"/>
          <w:lang w:val="en-US"/>
        </w:rPr>
      </w:pPr>
    </w:p>
    <w:sectPr w:rsidR="0077662D" w:rsidRPr="007766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79"/>
    <w:rsid w:val="00327BEC"/>
    <w:rsid w:val="00513629"/>
    <w:rsid w:val="0077662D"/>
    <w:rsid w:val="00AE2BAA"/>
    <w:rsid w:val="00BF2C79"/>
    <w:rsid w:val="00F828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DFF6"/>
  <w15:chartTrackingRefBased/>
  <w15:docId w15:val="{D4AA3B11-CBE6-41FB-92D7-76A31697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BAA"/>
    <w:rPr>
      <w:kern w:val="2"/>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journal-mastheadtitle">
    <w:name w:val="app-journal-masthead__title"/>
    <w:basedOn w:val="Fuentedeprrafopredeter"/>
    <w:rsid w:val="00AE2BAA"/>
  </w:style>
  <w:style w:type="character" w:styleId="Hipervnculo">
    <w:name w:val="Hyperlink"/>
    <w:basedOn w:val="Fuentedeprrafopredeter"/>
    <w:uiPriority w:val="99"/>
    <w:unhideWhenUsed/>
    <w:rsid w:val="00AE2BAA"/>
    <w:rPr>
      <w:color w:val="0563C1" w:themeColor="hyperlink"/>
      <w:u w:val="single"/>
    </w:rPr>
  </w:style>
  <w:style w:type="table" w:styleId="Tablanormal3">
    <w:name w:val="Plain Table 3"/>
    <w:basedOn w:val="Tablanormal"/>
    <w:uiPriority w:val="43"/>
    <w:rsid w:val="00AE2B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77662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77662D"/>
  </w:style>
  <w:style w:type="character" w:customStyle="1" w:styleId="superscript">
    <w:name w:val="superscript"/>
    <w:basedOn w:val="Fuentedeprrafopredeter"/>
    <w:rsid w:val="0077662D"/>
  </w:style>
  <w:style w:type="character" w:customStyle="1" w:styleId="eop">
    <w:name w:val="eop"/>
    <w:basedOn w:val="Fuentedeprrafopredeter"/>
    <w:rsid w:val="0077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041401">
      <w:bodyDiv w:val="1"/>
      <w:marLeft w:val="0"/>
      <w:marRight w:val="0"/>
      <w:marTop w:val="0"/>
      <w:marBottom w:val="0"/>
      <w:divBdr>
        <w:top w:val="none" w:sz="0" w:space="0" w:color="auto"/>
        <w:left w:val="none" w:sz="0" w:space="0" w:color="auto"/>
        <w:bottom w:val="none" w:sz="0" w:space="0" w:color="auto"/>
        <w:right w:val="none" w:sz="0" w:space="0" w:color="auto"/>
      </w:divBdr>
      <w:divsChild>
        <w:div w:id="1845590384">
          <w:marLeft w:val="0"/>
          <w:marRight w:val="0"/>
          <w:marTop w:val="0"/>
          <w:marBottom w:val="0"/>
          <w:divBdr>
            <w:top w:val="none" w:sz="0" w:space="0" w:color="auto"/>
            <w:left w:val="none" w:sz="0" w:space="0" w:color="auto"/>
            <w:bottom w:val="none" w:sz="0" w:space="0" w:color="auto"/>
            <w:right w:val="none" w:sz="0" w:space="0" w:color="auto"/>
          </w:divBdr>
        </w:div>
        <w:div w:id="2031178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Relationship Id="rId10" Type="http://schemas.openxmlformats.org/officeDocument/2006/relationships/customXml" Target="../customXml/item3.xml"/><Relationship Id="rId4" Type="http://schemas.openxmlformats.org/officeDocument/2006/relationships/image" Target="media/image1.tif"/><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09245B6BB9584381D1F8D2D441190E" ma:contentTypeVersion="114" ma:contentTypeDescription="Crear nuevo documento." ma:contentTypeScope="" ma:versionID="ba942a99f0b9e41cfb0c12e1a6fbadb7">
  <xsd:schema xmlns:xsd="http://www.w3.org/2001/XMLSchema" xmlns:xs="http://www.w3.org/2001/XMLSchema" xmlns:p="http://schemas.microsoft.com/office/2006/metadata/properties" xmlns:ns2="3ca44951-36a6-4494-bd27-2ce470ba1292" xmlns:ns3="bd3120b2-b999-4266-bca7-fef4b18516fb" targetNamespace="http://schemas.microsoft.com/office/2006/metadata/properties" ma:root="true" ma:fieldsID="fa8a86d0555ca04c2da1b56c7a24166c" ns2:_="" ns3:_="">
    <xsd:import namespace="3ca44951-36a6-4494-bd27-2ce470ba1292"/>
    <xsd:import namespace="bd3120b2-b999-4266-bca7-fef4b18516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44951-36a6-4494-bd27-2ce470ba1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120b2-b999-4266-bca7-fef4b18516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da767e-3305-46c1-8045-5b17c0ac4dcf}" ma:internalName="TaxCatchAll" ma:showField="CatchAllData" ma:web="bd3120b2-b999-4266-bca7-fef4b185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3120b2-b999-4266-bca7-fef4b18516fb" xsi:nil="true"/>
    <lcf76f155ced4ddcb4097134ff3c332f xmlns="3ca44951-36a6-4494-bd27-2ce470ba1292" xsi:nil="true"/>
  </documentManagement>
</p:properties>
</file>

<file path=customXml/itemProps1.xml><?xml version="1.0" encoding="utf-8"?>
<ds:datastoreItem xmlns:ds="http://schemas.openxmlformats.org/officeDocument/2006/customXml" ds:itemID="{F0FA0F2E-B3B2-49D1-98B3-D64755DE0D9E}"/>
</file>

<file path=customXml/itemProps2.xml><?xml version="1.0" encoding="utf-8"?>
<ds:datastoreItem xmlns:ds="http://schemas.openxmlformats.org/officeDocument/2006/customXml" ds:itemID="{AC9B72C2-25DC-4A58-B65D-53AB42601EE0}"/>
</file>

<file path=customXml/itemProps3.xml><?xml version="1.0" encoding="utf-8"?>
<ds:datastoreItem xmlns:ds="http://schemas.openxmlformats.org/officeDocument/2006/customXml" ds:itemID="{21D5809A-7C0B-44A3-B0DD-FB4C3F9FB67F}"/>
</file>

<file path=docProps/app.xml><?xml version="1.0" encoding="utf-8"?>
<Properties xmlns="http://schemas.openxmlformats.org/officeDocument/2006/extended-properties" xmlns:vt="http://schemas.openxmlformats.org/officeDocument/2006/docPropsVTypes">
  <Template>Normal.dotm</Template>
  <TotalTime>17</TotalTime>
  <Pages>3</Pages>
  <Words>1110</Words>
  <Characters>6110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Luna Hernández</dc:creator>
  <cp:keywords/>
  <dc:description/>
  <cp:lastModifiedBy>Luis Enrique Luna Hernández</cp:lastModifiedBy>
  <cp:revision>2</cp:revision>
  <dcterms:created xsi:type="dcterms:W3CDTF">2025-07-14T22:26:00Z</dcterms:created>
  <dcterms:modified xsi:type="dcterms:W3CDTF">2025-07-14T22:50:00Z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0x0101002609245B6BB9584381D1F8D2D441190E</vt:lpwstr>
  </property>
</Properties>
</file>