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DD85C0" w14:textId="77777777" w:rsidR="008A3F7E" w:rsidRPr="008F02E4" w:rsidRDefault="008A3F7E" w:rsidP="008A3F7E">
      <w:pPr>
        <w:pStyle w:val="SMcaption"/>
        <w:jc w:val="both"/>
        <w:rPr>
          <w:rStyle w:val="Hyperlink"/>
          <w:b/>
          <w:color w:val="000000" w:themeColor="text1"/>
          <w:sz w:val="20"/>
        </w:rPr>
      </w:pPr>
      <w:r w:rsidRPr="008F02E4">
        <w:rPr>
          <w:rStyle w:val="Hyperlink"/>
          <w:b/>
          <w:color w:val="000000" w:themeColor="text1"/>
          <w:sz w:val="20"/>
        </w:rPr>
        <w:t>Supplemental information (16)</w:t>
      </w:r>
    </w:p>
    <w:p w14:paraId="3D60E054" w14:textId="77777777" w:rsidR="008A3F7E" w:rsidRPr="008F02E4" w:rsidRDefault="008A3F7E" w:rsidP="008A3F7E">
      <w:pPr>
        <w:pStyle w:val="SMcaption"/>
        <w:jc w:val="both"/>
        <w:rPr>
          <w:rStyle w:val="Hyperlink"/>
          <w:b/>
          <w:color w:val="000000" w:themeColor="text1"/>
          <w:sz w:val="20"/>
        </w:rPr>
      </w:pPr>
    </w:p>
    <w:p w14:paraId="488ADE97" w14:textId="77777777" w:rsidR="008A3F7E" w:rsidRPr="008F02E4" w:rsidRDefault="008A3F7E" w:rsidP="008A3F7E">
      <w:pPr>
        <w:pStyle w:val="SMcaption"/>
        <w:jc w:val="both"/>
        <w:rPr>
          <w:rStyle w:val="Hyperlink"/>
          <w:b/>
          <w:color w:val="000000" w:themeColor="text1"/>
          <w:sz w:val="20"/>
        </w:rPr>
      </w:pPr>
      <w:r w:rsidRPr="008F02E4">
        <w:rPr>
          <w:rStyle w:val="Hyperlink"/>
          <w:b/>
          <w:color w:val="000000" w:themeColor="text1"/>
          <w:sz w:val="20"/>
        </w:rPr>
        <w:t>Figure S1. Cytospin analysis of BAL cells from adults and elderly individuals</w:t>
      </w:r>
    </w:p>
    <w:p w14:paraId="128A2C29" w14:textId="77777777" w:rsidR="008A3F7E" w:rsidRPr="008F02E4" w:rsidRDefault="008A3F7E" w:rsidP="008A3F7E">
      <w:pPr>
        <w:pStyle w:val="SMcaption"/>
        <w:jc w:val="both"/>
        <w:rPr>
          <w:rStyle w:val="Hyperlink"/>
          <w:bCs/>
          <w:color w:val="000000" w:themeColor="text1"/>
          <w:sz w:val="20"/>
        </w:rPr>
      </w:pPr>
      <w:r w:rsidRPr="008F02E4">
        <w:rPr>
          <w:rStyle w:val="Hyperlink"/>
          <w:bCs/>
          <w:color w:val="000000" w:themeColor="text1"/>
          <w:sz w:val="20"/>
        </w:rPr>
        <w:t>(</w:t>
      </w:r>
      <w:r>
        <w:rPr>
          <w:rStyle w:val="Hyperlink"/>
          <w:bCs/>
          <w:color w:val="000000" w:themeColor="text1"/>
          <w:sz w:val="20"/>
        </w:rPr>
        <w:t>a</w:t>
      </w:r>
      <w:r w:rsidRPr="008F02E4">
        <w:rPr>
          <w:rStyle w:val="Hyperlink"/>
          <w:bCs/>
          <w:color w:val="000000" w:themeColor="text1"/>
          <w:sz w:val="20"/>
        </w:rPr>
        <w:t>) Cells were isolated from BAL samples of healthy volunteers: adults (ages 20-50) and elderly individuals (age 60 and older). Morphology of these cells was assessed using Wright-Giemsa staining to analyze the presence of various cell populations, including AMs, lymphocytes, neutrophils, and eosinophils, comparing elderly samples to those from adults. The red arrow highlights the identified cell populations. (</w:t>
      </w:r>
      <w:r>
        <w:rPr>
          <w:rStyle w:val="Hyperlink"/>
          <w:bCs/>
          <w:color w:val="000000" w:themeColor="text1"/>
          <w:sz w:val="20"/>
        </w:rPr>
        <w:t>b</w:t>
      </w:r>
      <w:r w:rsidRPr="008F02E4">
        <w:rPr>
          <w:rStyle w:val="Hyperlink"/>
          <w:bCs/>
          <w:color w:val="000000" w:themeColor="text1"/>
          <w:sz w:val="20"/>
        </w:rPr>
        <w:t>) The different cell populations were counted and plotted. The bar graph demonstrates that more than 80% of the population consists of AMs (blue bar), approximately 10% are T cells (orange bar), and less than 5% are neutrophils (violet bar) and eosinophils (green bar) in the elderly donors. Data are presented from 4 adult individuals and 2 elderly individuals. (</w:t>
      </w:r>
      <w:r>
        <w:rPr>
          <w:rStyle w:val="Hyperlink"/>
          <w:bCs/>
          <w:color w:val="000000" w:themeColor="text1"/>
          <w:sz w:val="20"/>
        </w:rPr>
        <w:t>c</w:t>
      </w:r>
      <w:r w:rsidRPr="008F02E4">
        <w:rPr>
          <w:rStyle w:val="Hyperlink"/>
          <w:bCs/>
          <w:color w:val="000000" w:themeColor="text1"/>
          <w:sz w:val="20"/>
        </w:rPr>
        <w:t>) Wright-Giemsa staining of AMs from both young and old baboons is presented. The red arrow indicates different cell types. The morphology of the AMs from young baboons was compared to that of AMs from old baboons after staining cytosp</w:t>
      </w:r>
      <w:r>
        <w:rPr>
          <w:rStyle w:val="Hyperlink"/>
          <w:bCs/>
          <w:color w:val="000000" w:themeColor="text1"/>
          <w:sz w:val="20"/>
        </w:rPr>
        <w:t>i</w:t>
      </w:r>
      <w:r w:rsidRPr="008F02E4">
        <w:rPr>
          <w:rStyle w:val="Hyperlink"/>
          <w:bCs/>
          <w:color w:val="000000" w:themeColor="text1"/>
          <w:sz w:val="20"/>
        </w:rPr>
        <w:t>n cells and observed using light microscopy. In the BAL of old baboons, a slight increase in T cells and other cell types was noted. The data were obtained from three young baboons and three old baboons.</w:t>
      </w:r>
    </w:p>
    <w:p w14:paraId="59CCEA8C" w14:textId="77777777" w:rsidR="008A3F7E" w:rsidRPr="008F02E4" w:rsidRDefault="008A3F7E" w:rsidP="008A3F7E">
      <w:pPr>
        <w:pStyle w:val="SMcaption"/>
        <w:jc w:val="both"/>
        <w:rPr>
          <w:rStyle w:val="Hyperlink"/>
          <w:bCs/>
          <w:color w:val="000000" w:themeColor="text1"/>
          <w:sz w:val="20"/>
        </w:rPr>
      </w:pPr>
    </w:p>
    <w:p w14:paraId="254EEBE8" w14:textId="77777777" w:rsidR="008A3F7E" w:rsidRPr="008F02E4" w:rsidRDefault="008A3F7E" w:rsidP="008A3F7E">
      <w:pPr>
        <w:pStyle w:val="SMcaption"/>
        <w:jc w:val="both"/>
        <w:rPr>
          <w:bCs/>
          <w:color w:val="000000" w:themeColor="text1"/>
          <w:sz w:val="20"/>
        </w:rPr>
      </w:pPr>
      <w:r w:rsidRPr="008F02E4">
        <w:rPr>
          <w:b/>
          <w:color w:val="000000" w:themeColor="text1"/>
          <w:sz w:val="20"/>
        </w:rPr>
        <w:t xml:space="preserve">Figure S2. Flow cytometry gating strategy of mAMs (Figures 1, 3, 6, </w:t>
      </w:r>
      <w:r w:rsidRPr="008F02E4">
        <w:rPr>
          <w:bCs/>
          <w:color w:val="000000" w:themeColor="text1"/>
          <w:sz w:val="20"/>
        </w:rPr>
        <w:t>&amp;</w:t>
      </w:r>
      <w:r w:rsidRPr="008F02E4">
        <w:rPr>
          <w:b/>
          <w:color w:val="000000" w:themeColor="text1"/>
          <w:sz w:val="20"/>
        </w:rPr>
        <w:t xml:space="preserve"> 7). </w:t>
      </w:r>
      <w:r w:rsidRPr="008F02E4">
        <w:rPr>
          <w:color w:val="000000" w:themeColor="text1"/>
          <w:sz w:val="20"/>
        </w:rPr>
        <w:t>The first gate was to identify</w:t>
      </w:r>
      <w:r w:rsidRPr="008F02E4">
        <w:rPr>
          <w:bCs/>
          <w:color w:val="000000" w:themeColor="text1"/>
          <w:sz w:val="20"/>
        </w:rPr>
        <w:t xml:space="preserve"> the macrophage populations. The next gate selects CD45+ cells which were then sorted by Siglec-F versus CD11c, or alternatively, by Siglec-F versus CD45. After this, the following markers were used for selection: CD11b, CD11c, Fas (CD95), CCR2, CX3CR1, CD45.1, CD45.2, Ms4A3</w:t>
      </w:r>
      <w:r w:rsidRPr="008F02E4">
        <w:rPr>
          <w:bCs/>
          <w:color w:val="000000" w:themeColor="text1"/>
          <w:sz w:val="20"/>
          <w:vertAlign w:val="superscript"/>
        </w:rPr>
        <w:t>Cre</w:t>
      </w:r>
      <w:r w:rsidRPr="008F02E4">
        <w:rPr>
          <w:bCs/>
          <w:color w:val="000000" w:themeColor="text1"/>
          <w:sz w:val="20"/>
        </w:rPr>
        <w:t>-Rosa</w:t>
      </w:r>
      <w:r w:rsidRPr="008F02E4">
        <w:rPr>
          <w:bCs/>
          <w:color w:val="000000" w:themeColor="text1"/>
          <w:sz w:val="20"/>
          <w:vertAlign w:val="superscript"/>
        </w:rPr>
        <w:t>TdT</w:t>
      </w:r>
      <w:r w:rsidRPr="008F02E4">
        <w:rPr>
          <w:bCs/>
          <w:color w:val="000000" w:themeColor="text1"/>
          <w:sz w:val="20"/>
        </w:rPr>
        <w:t xml:space="preserve">, CD206, IAb, Caspase-3/7, Caspase-8, Ly6C, Ly6G, CD3, CD64, and CD115.  We assessed the percentage of positive cells and MFI. </w:t>
      </w:r>
    </w:p>
    <w:p w14:paraId="5FBCDE19" w14:textId="77777777" w:rsidR="008A3F7E" w:rsidRPr="008F02E4" w:rsidRDefault="008A3F7E" w:rsidP="008A3F7E">
      <w:pPr>
        <w:pStyle w:val="SMcaption"/>
        <w:jc w:val="both"/>
        <w:rPr>
          <w:bCs/>
          <w:color w:val="000000" w:themeColor="text1"/>
          <w:sz w:val="20"/>
        </w:rPr>
      </w:pPr>
    </w:p>
    <w:p w14:paraId="6BA15579" w14:textId="77777777" w:rsidR="008A3F7E" w:rsidRPr="008F02E4" w:rsidRDefault="008A3F7E" w:rsidP="008A3F7E">
      <w:pPr>
        <w:pStyle w:val="SMcaption"/>
        <w:jc w:val="both"/>
        <w:rPr>
          <w:b/>
          <w:color w:val="000000" w:themeColor="text1"/>
          <w:sz w:val="20"/>
        </w:rPr>
      </w:pPr>
      <w:r w:rsidRPr="008F02E4">
        <w:rPr>
          <w:b/>
          <w:bCs/>
          <w:color w:val="000000" w:themeColor="text1"/>
          <w:sz w:val="20"/>
        </w:rPr>
        <w:t xml:space="preserve">Figure S3. Flow cytometry gating strategy of hAMs (Figures 1). </w:t>
      </w:r>
      <w:r w:rsidRPr="008F02E4">
        <w:rPr>
          <w:bCs/>
          <w:color w:val="000000" w:themeColor="text1"/>
          <w:sz w:val="20"/>
        </w:rPr>
        <w:t>The first step in the gating strategy was to identify the macrophage populations within BAL cells. The second gate was used to select single-cell populations and separate cell clumps. The next gate focused on selecting CD64</w:t>
      </w:r>
      <w:r w:rsidRPr="0063155A">
        <w:rPr>
          <w:bCs/>
          <w:color w:val="000000" w:themeColor="text1"/>
          <w:sz w:val="20"/>
          <w:vertAlign w:val="superscript"/>
        </w:rPr>
        <w:t>+</w:t>
      </w:r>
      <w:r w:rsidRPr="008F02E4">
        <w:rPr>
          <w:bCs/>
          <w:color w:val="000000" w:themeColor="text1"/>
          <w:sz w:val="20"/>
        </w:rPr>
        <w:t xml:space="preserve"> and CD206</w:t>
      </w:r>
      <w:r w:rsidRPr="0063155A">
        <w:rPr>
          <w:bCs/>
          <w:color w:val="000000" w:themeColor="text1"/>
          <w:sz w:val="20"/>
          <w:vertAlign w:val="superscript"/>
        </w:rPr>
        <w:t>+</w:t>
      </w:r>
      <w:r w:rsidRPr="008F02E4">
        <w:rPr>
          <w:bCs/>
          <w:color w:val="000000" w:themeColor="text1"/>
          <w:sz w:val="20"/>
        </w:rPr>
        <w:t xml:space="preserve"> cells, which were then further analyzed based on the following cell surface receptors: CD64, CD11b, CD11c, CD206, CCR2, CX3CR1, Fas (CD95), HLA-DR, CD14, and CD16. We assessed the percentage of positive cells and their MFI.</w:t>
      </w:r>
    </w:p>
    <w:p w14:paraId="2758EE7B" w14:textId="77777777" w:rsidR="008A3F7E" w:rsidRPr="008F02E4" w:rsidRDefault="008A3F7E" w:rsidP="008A3F7E">
      <w:pPr>
        <w:pStyle w:val="SMcaption"/>
        <w:jc w:val="both"/>
        <w:rPr>
          <w:rStyle w:val="Hyperlink"/>
          <w:bCs/>
          <w:color w:val="000000" w:themeColor="text1"/>
          <w:sz w:val="20"/>
        </w:rPr>
      </w:pPr>
    </w:p>
    <w:p w14:paraId="19C1B157" w14:textId="77777777" w:rsidR="008A3F7E" w:rsidRPr="008F02E4" w:rsidRDefault="008A3F7E" w:rsidP="008A3F7E">
      <w:pPr>
        <w:pStyle w:val="SMcaption"/>
        <w:jc w:val="both"/>
        <w:rPr>
          <w:bCs/>
          <w:color w:val="000000" w:themeColor="text1"/>
          <w:sz w:val="20"/>
        </w:rPr>
      </w:pPr>
      <w:r w:rsidRPr="008F02E4">
        <w:rPr>
          <w:b/>
          <w:color w:val="000000" w:themeColor="text1"/>
          <w:sz w:val="20"/>
        </w:rPr>
        <w:t>Figure S4.</w:t>
      </w:r>
      <w:r w:rsidRPr="008F02E4">
        <w:rPr>
          <w:color w:val="000000" w:themeColor="text1"/>
        </w:rPr>
        <w:t xml:space="preserve"> </w:t>
      </w:r>
      <w:r w:rsidRPr="008F02E4">
        <w:rPr>
          <w:b/>
          <w:color w:val="000000" w:themeColor="text1"/>
          <w:sz w:val="20"/>
        </w:rPr>
        <w:t xml:space="preserve">Gating strategy for characterizing bAMs from young and old baboons. </w:t>
      </w:r>
      <w:r w:rsidRPr="008F02E4">
        <w:rPr>
          <w:color w:val="000000" w:themeColor="text1"/>
          <w:sz w:val="20"/>
        </w:rPr>
        <w:t>The first gate was to identify the</w:t>
      </w:r>
      <w:r w:rsidRPr="008F02E4">
        <w:rPr>
          <w:bCs/>
          <w:color w:val="000000" w:themeColor="text1"/>
          <w:sz w:val="20"/>
        </w:rPr>
        <w:t xml:space="preserve"> macrophage populations from BAL. Next, dead cells were excluded to select only live cell populations. Then CD45</w:t>
      </w:r>
      <w:r w:rsidRPr="0063155A">
        <w:rPr>
          <w:bCs/>
          <w:color w:val="000000" w:themeColor="text1"/>
          <w:sz w:val="20"/>
          <w:vertAlign w:val="superscript"/>
        </w:rPr>
        <w:t>+</w:t>
      </w:r>
      <w:r w:rsidRPr="008F02E4">
        <w:rPr>
          <w:bCs/>
          <w:color w:val="000000" w:themeColor="text1"/>
          <w:sz w:val="20"/>
        </w:rPr>
        <w:t xml:space="preserve"> cells were identified and gated based on CD64 versus CD11c expression. The gating was determined using isotype control as a reference. Subsequently, the CD64</w:t>
      </w:r>
      <w:r w:rsidRPr="0063155A">
        <w:rPr>
          <w:bCs/>
          <w:color w:val="000000" w:themeColor="text1"/>
          <w:sz w:val="20"/>
          <w:vertAlign w:val="superscript"/>
        </w:rPr>
        <w:t>+</w:t>
      </w:r>
      <w:r w:rsidRPr="008F02E4">
        <w:rPr>
          <w:bCs/>
          <w:color w:val="000000" w:themeColor="text1"/>
          <w:sz w:val="20"/>
        </w:rPr>
        <w:t>CD11c</w:t>
      </w:r>
      <w:r w:rsidRPr="0063155A">
        <w:rPr>
          <w:bCs/>
          <w:color w:val="000000" w:themeColor="text1"/>
          <w:sz w:val="20"/>
          <w:vertAlign w:val="superscript"/>
        </w:rPr>
        <w:t>+</w:t>
      </w:r>
      <w:r w:rsidRPr="008F02E4">
        <w:rPr>
          <w:bCs/>
          <w:color w:val="000000" w:themeColor="text1"/>
          <w:sz w:val="20"/>
        </w:rPr>
        <w:t xml:space="preserve"> populations were further identified with additional markers, including CD11c, CD11b, CD86, HLA-DR, CD206, CD163, CD64, CX3CR1, CCR2, and CD36. The data are representative of 4 young and 4 old baboons.</w:t>
      </w:r>
    </w:p>
    <w:p w14:paraId="36BD031D" w14:textId="77777777" w:rsidR="008A3F7E" w:rsidRPr="008F02E4" w:rsidRDefault="008A3F7E" w:rsidP="008A3F7E">
      <w:pPr>
        <w:pStyle w:val="SMcaption"/>
        <w:jc w:val="both"/>
        <w:rPr>
          <w:bCs/>
          <w:color w:val="000000" w:themeColor="text1"/>
          <w:sz w:val="20"/>
        </w:rPr>
      </w:pPr>
    </w:p>
    <w:p w14:paraId="0C2D4555" w14:textId="77777777" w:rsidR="008A3F7E" w:rsidRPr="008F02E4" w:rsidRDefault="008A3F7E" w:rsidP="008A3F7E">
      <w:pPr>
        <w:pStyle w:val="SMcaption"/>
        <w:jc w:val="both"/>
        <w:rPr>
          <w:rStyle w:val="Hyperlink"/>
          <w:bCs/>
          <w:color w:val="000000" w:themeColor="text1"/>
          <w:sz w:val="20"/>
        </w:rPr>
      </w:pPr>
      <w:r w:rsidRPr="008F02E4">
        <w:rPr>
          <w:b/>
          <w:color w:val="000000" w:themeColor="text1"/>
          <w:sz w:val="20"/>
        </w:rPr>
        <w:t>Figure S5.</w:t>
      </w:r>
      <w:r w:rsidRPr="008F02E4">
        <w:rPr>
          <w:color w:val="000000" w:themeColor="text1"/>
        </w:rPr>
        <w:t xml:space="preserve"> </w:t>
      </w:r>
      <w:r w:rsidRPr="008F02E4">
        <w:rPr>
          <w:b/>
          <w:bCs/>
          <w:color w:val="000000" w:themeColor="text1"/>
        </w:rPr>
        <w:t>C</w:t>
      </w:r>
      <w:r w:rsidRPr="008F02E4">
        <w:rPr>
          <w:b/>
          <w:color w:val="000000" w:themeColor="text1"/>
          <w:sz w:val="20"/>
        </w:rPr>
        <w:t>haracterization of CD11c</w:t>
      </w:r>
      <w:r w:rsidRPr="00D2568A">
        <w:rPr>
          <w:b/>
          <w:color w:val="000000" w:themeColor="text1"/>
          <w:sz w:val="20"/>
          <w:vertAlign w:val="superscript"/>
        </w:rPr>
        <w:t>+</w:t>
      </w:r>
      <w:r w:rsidRPr="008F02E4">
        <w:rPr>
          <w:b/>
          <w:color w:val="000000" w:themeColor="text1"/>
          <w:sz w:val="20"/>
        </w:rPr>
        <w:t>CD11b</w:t>
      </w:r>
      <w:r w:rsidRPr="00D2568A">
        <w:rPr>
          <w:b/>
          <w:color w:val="000000" w:themeColor="text1"/>
          <w:sz w:val="20"/>
          <w:vertAlign w:val="superscript"/>
        </w:rPr>
        <w:t>+</w:t>
      </w:r>
      <w:r w:rsidRPr="008F02E4">
        <w:rPr>
          <w:b/>
          <w:color w:val="000000" w:themeColor="text1"/>
          <w:sz w:val="20"/>
        </w:rPr>
        <w:t xml:space="preserve"> bAMs from young and old baboons. </w:t>
      </w:r>
      <w:r w:rsidRPr="008F02E4">
        <w:rPr>
          <w:bCs/>
          <w:color w:val="000000" w:themeColor="text1"/>
          <w:sz w:val="20"/>
        </w:rPr>
        <w:t xml:space="preserve">Isolated bAMs were gated on </w:t>
      </w:r>
      <w:r w:rsidRPr="008F02E4">
        <w:rPr>
          <w:color w:val="000000" w:themeColor="text1"/>
          <w:sz w:val="20"/>
        </w:rPr>
        <w:t>the</w:t>
      </w:r>
      <w:r w:rsidRPr="008F02E4">
        <w:rPr>
          <w:bCs/>
          <w:color w:val="000000" w:themeColor="text1"/>
          <w:sz w:val="20"/>
        </w:rPr>
        <w:t xml:space="preserve"> macrophage populations from BAL (1</w:t>
      </w:r>
      <w:r w:rsidRPr="008F02E4">
        <w:rPr>
          <w:bCs/>
          <w:color w:val="000000" w:themeColor="text1"/>
          <w:sz w:val="20"/>
          <w:vertAlign w:val="superscript"/>
        </w:rPr>
        <w:t>st</w:t>
      </w:r>
      <w:r w:rsidRPr="008F02E4">
        <w:rPr>
          <w:bCs/>
          <w:color w:val="000000" w:themeColor="text1"/>
          <w:sz w:val="20"/>
        </w:rPr>
        <w:t xml:space="preserve"> gate). Then single cells were separated by gating (2</w:t>
      </w:r>
      <w:r w:rsidRPr="008F02E4">
        <w:rPr>
          <w:bCs/>
          <w:color w:val="000000" w:themeColor="text1"/>
          <w:sz w:val="20"/>
          <w:vertAlign w:val="superscript"/>
        </w:rPr>
        <w:t>nd</w:t>
      </w:r>
      <w:r w:rsidRPr="008F02E4">
        <w:rPr>
          <w:bCs/>
          <w:color w:val="000000" w:themeColor="text1"/>
          <w:sz w:val="20"/>
        </w:rPr>
        <w:t xml:space="preserve"> gate). Next, dead cells were excluded to select only live cell populations (3</w:t>
      </w:r>
      <w:r w:rsidRPr="008F02E4">
        <w:rPr>
          <w:bCs/>
          <w:color w:val="000000" w:themeColor="text1"/>
          <w:sz w:val="20"/>
          <w:vertAlign w:val="superscript"/>
        </w:rPr>
        <w:t>rd</w:t>
      </w:r>
      <w:r w:rsidRPr="008F02E4">
        <w:rPr>
          <w:bCs/>
          <w:color w:val="000000" w:themeColor="text1"/>
          <w:sz w:val="20"/>
        </w:rPr>
        <w:t xml:space="preserve"> gate). Then AM populations were separated by gating on CD45</w:t>
      </w:r>
      <w:r w:rsidRPr="0063155A">
        <w:rPr>
          <w:bCs/>
          <w:color w:val="000000" w:themeColor="text1"/>
          <w:sz w:val="20"/>
          <w:vertAlign w:val="superscript"/>
        </w:rPr>
        <w:t>+</w:t>
      </w:r>
      <w:r w:rsidRPr="008F02E4">
        <w:rPr>
          <w:bCs/>
          <w:color w:val="000000" w:themeColor="text1"/>
          <w:sz w:val="20"/>
        </w:rPr>
        <w:t>CD64</w:t>
      </w:r>
      <w:r w:rsidRPr="0063155A">
        <w:rPr>
          <w:bCs/>
          <w:color w:val="000000" w:themeColor="text1"/>
          <w:sz w:val="20"/>
          <w:vertAlign w:val="superscript"/>
        </w:rPr>
        <w:t>+</w:t>
      </w:r>
      <w:r w:rsidRPr="008F02E4">
        <w:rPr>
          <w:bCs/>
          <w:color w:val="000000" w:themeColor="text1"/>
          <w:sz w:val="20"/>
        </w:rPr>
        <w:t xml:space="preserve"> double positive populations (4</w:t>
      </w:r>
      <w:r w:rsidRPr="008F02E4">
        <w:rPr>
          <w:bCs/>
          <w:color w:val="000000" w:themeColor="text1"/>
          <w:sz w:val="20"/>
          <w:vertAlign w:val="superscript"/>
        </w:rPr>
        <w:t>th</w:t>
      </w:r>
      <w:r w:rsidRPr="008F02E4">
        <w:rPr>
          <w:bCs/>
          <w:color w:val="000000" w:themeColor="text1"/>
          <w:sz w:val="20"/>
        </w:rPr>
        <w:t xml:space="preserve"> gate), followed by CD206 vs CD163 gating. The gating was determined using isotype control as a reference. Subsequently, the CD11c</w:t>
      </w:r>
      <w:r w:rsidRPr="00D2568A">
        <w:rPr>
          <w:bCs/>
          <w:color w:val="000000" w:themeColor="text1"/>
          <w:sz w:val="20"/>
          <w:vertAlign w:val="superscript"/>
        </w:rPr>
        <w:t>+</w:t>
      </w:r>
      <w:r w:rsidRPr="008F02E4">
        <w:rPr>
          <w:bCs/>
          <w:color w:val="000000" w:themeColor="text1"/>
          <w:sz w:val="20"/>
        </w:rPr>
        <w:t>CD11b</w:t>
      </w:r>
      <w:r w:rsidRPr="00D2568A">
        <w:rPr>
          <w:bCs/>
          <w:color w:val="000000" w:themeColor="text1"/>
          <w:sz w:val="20"/>
          <w:vertAlign w:val="superscript"/>
        </w:rPr>
        <w:t>+</w:t>
      </w:r>
      <w:r w:rsidRPr="008F02E4">
        <w:rPr>
          <w:bCs/>
          <w:color w:val="000000" w:themeColor="text1"/>
          <w:sz w:val="20"/>
        </w:rPr>
        <w:t xml:space="preserve"> double positive populations were further gated with additional markers, including CD64, CD11c, CD11b, HLA-DR, CD163, CCR2, and CX3CR1. Each dot indicates individual donors. </w:t>
      </w:r>
      <w:r w:rsidRPr="008F02E4">
        <w:rPr>
          <w:rStyle w:val="Hyperlink"/>
          <w:bCs/>
          <w:color w:val="000000" w:themeColor="text1"/>
          <w:sz w:val="20"/>
        </w:rPr>
        <w:t xml:space="preserve">Data are presented as the mean ± SEM from </w:t>
      </w:r>
      <w:r w:rsidRPr="008F02E4">
        <w:rPr>
          <w:bCs/>
          <w:color w:val="000000" w:themeColor="text1"/>
          <w:sz w:val="20"/>
        </w:rPr>
        <w:t>4 young and 5 old baboons</w:t>
      </w:r>
      <w:r w:rsidRPr="008F02E4">
        <w:rPr>
          <w:rStyle w:val="Hyperlink"/>
          <w:bCs/>
          <w:color w:val="000000" w:themeColor="text1"/>
          <w:sz w:val="20"/>
        </w:rPr>
        <w:t>. Statistical analysis was performed using an unpaired Student’s t-test, with p-values indicating significance at *p &lt; 0.05, **p &lt; 0.01, ***p &lt; 0.001.</w:t>
      </w:r>
    </w:p>
    <w:p w14:paraId="3FC98088" w14:textId="77777777" w:rsidR="008A3F7E" w:rsidRPr="008F02E4" w:rsidRDefault="008A3F7E" w:rsidP="008A3F7E">
      <w:pPr>
        <w:pStyle w:val="SMcaption"/>
        <w:jc w:val="both"/>
        <w:rPr>
          <w:rStyle w:val="Hyperlink"/>
          <w:bCs/>
          <w:color w:val="000000" w:themeColor="text1"/>
          <w:sz w:val="20"/>
        </w:rPr>
      </w:pPr>
    </w:p>
    <w:p w14:paraId="3054B328" w14:textId="77777777" w:rsidR="008A3F7E" w:rsidRPr="008F02E4" w:rsidRDefault="008A3F7E" w:rsidP="008A3F7E">
      <w:pPr>
        <w:pStyle w:val="SMcaption"/>
        <w:jc w:val="both"/>
        <w:rPr>
          <w:rStyle w:val="Hyperlink"/>
          <w:bCs/>
          <w:color w:val="000000" w:themeColor="text1"/>
          <w:sz w:val="20"/>
        </w:rPr>
      </w:pPr>
      <w:r w:rsidRPr="008F02E4">
        <w:rPr>
          <w:rStyle w:val="Hyperlink"/>
          <w:b/>
          <w:color w:val="000000" w:themeColor="text1"/>
          <w:sz w:val="20"/>
        </w:rPr>
        <w:t>Figure S6. Phenotypic and functional characterization of old Rhesus</w:t>
      </w:r>
      <w:r w:rsidRPr="008F02E4">
        <w:rPr>
          <w:color w:val="000000" w:themeColor="text1"/>
        </w:rPr>
        <w:t xml:space="preserve"> </w:t>
      </w:r>
      <w:r w:rsidRPr="008F02E4">
        <w:rPr>
          <w:rStyle w:val="Hyperlink"/>
          <w:b/>
          <w:color w:val="000000" w:themeColor="text1"/>
          <w:sz w:val="20"/>
        </w:rPr>
        <w:t xml:space="preserve">macaque AMs (rAMs) compared to young rAMs. </w:t>
      </w:r>
      <w:r w:rsidRPr="008F02E4">
        <w:rPr>
          <w:rStyle w:val="Hyperlink"/>
          <w:bCs/>
          <w:color w:val="000000" w:themeColor="text1"/>
          <w:sz w:val="20"/>
        </w:rPr>
        <w:t>(</w:t>
      </w:r>
      <w:r>
        <w:rPr>
          <w:rStyle w:val="Hyperlink"/>
          <w:bCs/>
          <w:color w:val="000000" w:themeColor="text1"/>
          <w:sz w:val="20"/>
        </w:rPr>
        <w:t>a</w:t>
      </w:r>
      <w:r w:rsidRPr="008F02E4">
        <w:rPr>
          <w:rStyle w:val="Hyperlink"/>
          <w:bCs/>
          <w:color w:val="000000" w:themeColor="text1"/>
          <w:sz w:val="20"/>
        </w:rPr>
        <w:t>–</w:t>
      </w:r>
      <w:r>
        <w:rPr>
          <w:rStyle w:val="Hyperlink"/>
          <w:bCs/>
          <w:color w:val="000000" w:themeColor="text1"/>
          <w:sz w:val="20"/>
        </w:rPr>
        <w:t>d</w:t>
      </w:r>
      <w:r w:rsidRPr="008F02E4">
        <w:rPr>
          <w:rStyle w:val="Hyperlink"/>
          <w:bCs/>
          <w:color w:val="000000" w:themeColor="text1"/>
          <w:sz w:val="20"/>
        </w:rPr>
        <w:t>) RAMs were isolated from BAL samples. Confocal microscopy data show the expression of CD163 and CD206 cell surface receptors in panels (</w:t>
      </w:r>
      <w:r>
        <w:rPr>
          <w:rStyle w:val="Hyperlink"/>
          <w:bCs/>
          <w:color w:val="000000" w:themeColor="text1"/>
          <w:sz w:val="20"/>
        </w:rPr>
        <w:t>a</w:t>
      </w:r>
      <w:r w:rsidRPr="008F02E4">
        <w:rPr>
          <w:rStyle w:val="Hyperlink"/>
          <w:bCs/>
          <w:color w:val="000000" w:themeColor="text1"/>
          <w:sz w:val="20"/>
        </w:rPr>
        <w:t>) and (</w:t>
      </w:r>
      <w:r>
        <w:rPr>
          <w:rStyle w:val="Hyperlink"/>
          <w:bCs/>
          <w:color w:val="000000" w:themeColor="text1"/>
          <w:sz w:val="20"/>
        </w:rPr>
        <w:t>b</w:t>
      </w:r>
      <w:r w:rsidRPr="008F02E4">
        <w:rPr>
          <w:rStyle w:val="Hyperlink"/>
          <w:bCs/>
          <w:color w:val="000000" w:themeColor="text1"/>
          <w:sz w:val="20"/>
        </w:rPr>
        <w:t>). Panels (</w:t>
      </w:r>
      <w:r>
        <w:rPr>
          <w:rStyle w:val="Hyperlink"/>
          <w:bCs/>
          <w:color w:val="000000" w:themeColor="text1"/>
          <w:sz w:val="20"/>
        </w:rPr>
        <w:t>c</w:t>
      </w:r>
      <w:r w:rsidRPr="008F02E4">
        <w:rPr>
          <w:rStyle w:val="Hyperlink"/>
          <w:bCs/>
          <w:color w:val="000000" w:themeColor="text1"/>
          <w:sz w:val="20"/>
        </w:rPr>
        <w:t>) and (</w:t>
      </w:r>
      <w:r>
        <w:rPr>
          <w:rStyle w:val="Hyperlink"/>
          <w:bCs/>
          <w:color w:val="000000" w:themeColor="text1"/>
          <w:sz w:val="20"/>
        </w:rPr>
        <w:t>d</w:t>
      </w:r>
      <w:r w:rsidRPr="008F02E4">
        <w:rPr>
          <w:rStyle w:val="Hyperlink"/>
          <w:bCs/>
          <w:color w:val="000000" w:themeColor="text1"/>
          <w:sz w:val="20"/>
        </w:rPr>
        <w:t>) show the expression of CD11c and CD11b in positive populations of old rAMs compared to those from young rAMs. Anti-human/NHP CD163 PE and CD11c PE are shown in red, while green indicates anti-human/NHP CD206 and CD11b Alexa Fluor 488 antibodies. DAPI is used for nuclear staining, appearing blue. The scale bar represents 10 μm, with images at 63× magnification. (</w:t>
      </w:r>
      <w:r>
        <w:rPr>
          <w:rStyle w:val="Hyperlink"/>
          <w:bCs/>
          <w:color w:val="000000" w:themeColor="text1"/>
          <w:sz w:val="20"/>
        </w:rPr>
        <w:t>b</w:t>
      </w:r>
      <w:r w:rsidRPr="008F02E4">
        <w:rPr>
          <w:rStyle w:val="Hyperlink"/>
          <w:bCs/>
          <w:color w:val="000000" w:themeColor="text1"/>
          <w:sz w:val="20"/>
        </w:rPr>
        <w:t>) and (</w:t>
      </w:r>
      <w:r>
        <w:rPr>
          <w:rStyle w:val="Hyperlink"/>
          <w:bCs/>
          <w:color w:val="000000" w:themeColor="text1"/>
          <w:sz w:val="20"/>
        </w:rPr>
        <w:t>d</w:t>
      </w:r>
      <w:r w:rsidRPr="008F02E4">
        <w:rPr>
          <w:rStyle w:val="Hyperlink"/>
          <w:bCs/>
          <w:color w:val="000000" w:themeColor="text1"/>
          <w:sz w:val="20"/>
        </w:rPr>
        <w:t>) The bar graph displays cumulative data from two young and two old donors. The confocal data were quantified as MFI and presented as bar graphs. Data from representative experiments are shown as mean ± SEM and analyzed using an unpaired Student’s t-test. Created in BioRender. Pahari, S. (2025) https://BioRender.com/18ffqv7.</w:t>
      </w:r>
    </w:p>
    <w:p w14:paraId="3C69BF87" w14:textId="77777777" w:rsidR="008A3F7E" w:rsidRPr="008F02E4" w:rsidRDefault="008A3F7E" w:rsidP="008A3F7E">
      <w:pPr>
        <w:pStyle w:val="SMcaption"/>
        <w:jc w:val="both"/>
        <w:rPr>
          <w:rStyle w:val="Hyperlink"/>
          <w:bCs/>
          <w:color w:val="000000" w:themeColor="text1"/>
          <w:sz w:val="20"/>
        </w:rPr>
      </w:pPr>
    </w:p>
    <w:p w14:paraId="3FE56826" w14:textId="77777777" w:rsidR="008A3F7E" w:rsidRPr="008F02E4" w:rsidRDefault="008A3F7E" w:rsidP="008A3F7E">
      <w:pPr>
        <w:pStyle w:val="SMcaption"/>
        <w:jc w:val="both"/>
        <w:rPr>
          <w:color w:val="000000" w:themeColor="text1"/>
          <w:sz w:val="20"/>
        </w:rPr>
      </w:pPr>
      <w:r w:rsidRPr="008F02E4">
        <w:rPr>
          <w:rStyle w:val="Hyperlink"/>
          <w:b/>
          <w:color w:val="000000" w:themeColor="text1"/>
          <w:sz w:val="20"/>
        </w:rPr>
        <w:t>Figure S7.</w:t>
      </w:r>
      <w:r w:rsidRPr="008F02E4">
        <w:rPr>
          <w:rStyle w:val="Hyperlink"/>
          <w:bCs/>
          <w:color w:val="000000" w:themeColor="text1"/>
          <w:sz w:val="20"/>
        </w:rPr>
        <w:t xml:space="preserve"> </w:t>
      </w:r>
      <w:r w:rsidRPr="008F02E4">
        <w:rPr>
          <w:b/>
          <w:bCs/>
          <w:color w:val="000000" w:themeColor="text1"/>
          <w:sz w:val="20"/>
        </w:rPr>
        <w:t xml:space="preserve">Transcriptional profile in flow cytometry-sorted young and old mAM subpopulations. </w:t>
      </w:r>
      <w:r w:rsidRPr="008F02E4">
        <w:rPr>
          <w:color w:val="000000" w:themeColor="text1"/>
          <w:sz w:val="20"/>
        </w:rPr>
        <w:t xml:space="preserve">The figure presents a transcriptomic analysis using bulk-RNA sequencing (RNA-seq) on four flow cytometry-sorted populations </w:t>
      </w:r>
      <w:r w:rsidRPr="008F02E4">
        <w:rPr>
          <w:color w:val="000000" w:themeColor="text1"/>
          <w:sz w:val="20"/>
        </w:rPr>
        <w:lastRenderedPageBreak/>
        <w:t>(</w:t>
      </w:r>
      <w:r w:rsidRPr="008F02E4">
        <w:rPr>
          <w:b/>
          <w:bCs/>
          <w:color w:val="000000" w:themeColor="text1"/>
          <w:sz w:val="20"/>
        </w:rPr>
        <w:t>Figure 2</w:t>
      </w:r>
      <w:r w:rsidRPr="008F02E4">
        <w:rPr>
          <w:color w:val="000000" w:themeColor="text1"/>
          <w:sz w:val="20"/>
        </w:rPr>
        <w:t>). S1: resident AMs from young mice (CD11c</w:t>
      </w:r>
      <w:r w:rsidRPr="0075299F">
        <w:rPr>
          <w:color w:val="000000" w:themeColor="text1"/>
          <w:sz w:val="20"/>
          <w:vertAlign w:val="superscript"/>
        </w:rPr>
        <w:t>+</w:t>
      </w:r>
      <w:r w:rsidRPr="008F02E4">
        <w:rPr>
          <w:color w:val="000000" w:themeColor="text1"/>
          <w:sz w:val="20"/>
        </w:rPr>
        <w:t xml:space="preserve"> CD11b</w:t>
      </w:r>
      <w:r w:rsidRPr="0075299F">
        <w:rPr>
          <w:color w:val="000000" w:themeColor="text1"/>
          <w:sz w:val="20"/>
          <w:vertAlign w:val="superscript"/>
        </w:rPr>
        <w:t>-</w:t>
      </w:r>
      <w:r w:rsidRPr="008F02E4">
        <w:rPr>
          <w:color w:val="000000" w:themeColor="text1"/>
          <w:sz w:val="20"/>
        </w:rPr>
        <w:t>), S2: resident AMs from old mice (CD11c</w:t>
      </w:r>
      <w:r w:rsidRPr="0075299F">
        <w:rPr>
          <w:color w:val="000000" w:themeColor="text1"/>
          <w:sz w:val="20"/>
          <w:vertAlign w:val="superscript"/>
        </w:rPr>
        <w:t>+</w:t>
      </w:r>
      <w:r w:rsidRPr="008F02E4">
        <w:rPr>
          <w:color w:val="000000" w:themeColor="text1"/>
          <w:sz w:val="20"/>
        </w:rPr>
        <w:t>CD11b</w:t>
      </w:r>
      <w:r w:rsidRPr="0075299F">
        <w:rPr>
          <w:color w:val="000000" w:themeColor="text1"/>
          <w:sz w:val="20"/>
          <w:vertAlign w:val="superscript"/>
        </w:rPr>
        <w:t>-</w:t>
      </w:r>
      <w:r w:rsidRPr="008F02E4">
        <w:rPr>
          <w:color w:val="000000" w:themeColor="text1"/>
          <w:sz w:val="20"/>
        </w:rPr>
        <w:t>), S3: immigrated AM population (CD11c</w:t>
      </w:r>
      <w:r w:rsidRPr="0075299F">
        <w:rPr>
          <w:color w:val="000000" w:themeColor="text1"/>
          <w:sz w:val="20"/>
          <w:vertAlign w:val="superscript"/>
        </w:rPr>
        <w:t>-</w:t>
      </w:r>
      <w:r w:rsidRPr="008F02E4">
        <w:rPr>
          <w:color w:val="000000" w:themeColor="text1"/>
          <w:sz w:val="20"/>
        </w:rPr>
        <w:t>CD11b</w:t>
      </w:r>
      <w:r w:rsidRPr="0075299F">
        <w:rPr>
          <w:color w:val="000000" w:themeColor="text1"/>
          <w:sz w:val="20"/>
          <w:vertAlign w:val="superscript"/>
        </w:rPr>
        <w:t>+</w:t>
      </w:r>
      <w:r w:rsidRPr="008F02E4">
        <w:rPr>
          <w:color w:val="000000" w:themeColor="text1"/>
          <w:sz w:val="20"/>
        </w:rPr>
        <w:t>), S4: immigrated AM population (CD11c</w:t>
      </w:r>
      <w:r w:rsidRPr="0063155A">
        <w:rPr>
          <w:color w:val="000000" w:themeColor="text1"/>
          <w:sz w:val="20"/>
          <w:vertAlign w:val="superscript"/>
        </w:rPr>
        <w:t>+</w:t>
      </w:r>
      <w:r w:rsidRPr="008F02E4">
        <w:rPr>
          <w:color w:val="000000" w:themeColor="text1"/>
          <w:sz w:val="20"/>
        </w:rPr>
        <w:t>CD11b</w:t>
      </w:r>
      <w:r w:rsidRPr="0063155A">
        <w:rPr>
          <w:color w:val="000000" w:themeColor="text1"/>
          <w:sz w:val="20"/>
          <w:vertAlign w:val="superscript"/>
        </w:rPr>
        <w:t>+</w:t>
      </w:r>
      <w:r w:rsidRPr="008F02E4">
        <w:rPr>
          <w:color w:val="000000" w:themeColor="text1"/>
          <w:sz w:val="20"/>
        </w:rPr>
        <w:t>). (</w:t>
      </w:r>
      <w:r>
        <w:rPr>
          <w:color w:val="000000" w:themeColor="text1"/>
          <w:sz w:val="20"/>
        </w:rPr>
        <w:t>a</w:t>
      </w:r>
      <w:r w:rsidRPr="008F02E4">
        <w:rPr>
          <w:color w:val="000000" w:themeColor="text1"/>
          <w:sz w:val="20"/>
        </w:rPr>
        <w:t>) Flow cytometry cell sorting for bulk-RNA-seq in mAM subpopulations pre- and post-sorting are shown for S2 and S4 populations. (</w:t>
      </w:r>
      <w:r>
        <w:rPr>
          <w:color w:val="000000" w:themeColor="text1"/>
          <w:sz w:val="20"/>
        </w:rPr>
        <w:t>b</w:t>
      </w:r>
      <w:r w:rsidRPr="008F02E4">
        <w:rPr>
          <w:color w:val="000000" w:themeColor="text1"/>
          <w:sz w:val="20"/>
        </w:rPr>
        <w:t>) The volcano plot compares resident mAMs (CD11c</w:t>
      </w:r>
      <w:r w:rsidRPr="0063155A">
        <w:rPr>
          <w:color w:val="000000" w:themeColor="text1"/>
          <w:sz w:val="20"/>
          <w:vertAlign w:val="superscript"/>
        </w:rPr>
        <w:t>+</w:t>
      </w:r>
      <w:r w:rsidRPr="008F02E4">
        <w:rPr>
          <w:color w:val="000000" w:themeColor="text1"/>
          <w:sz w:val="20"/>
        </w:rPr>
        <w:t xml:space="preserve"> CD11b</w:t>
      </w:r>
      <w:r w:rsidRPr="0063155A">
        <w:rPr>
          <w:color w:val="000000" w:themeColor="text1"/>
          <w:sz w:val="20"/>
          <w:vertAlign w:val="superscript"/>
        </w:rPr>
        <w:t>-</w:t>
      </w:r>
      <w:r w:rsidRPr="008F02E4">
        <w:rPr>
          <w:color w:val="000000" w:themeColor="text1"/>
          <w:sz w:val="20"/>
        </w:rPr>
        <w:t xml:space="preserve">) in old versus young mice. The false discovery rate (FDR) in relation to the magnitude of gene expression changes across a total of 14,509 genes. The analysis indicates that 311 out of 4,796 significant genes are significantly upregulated (red), with logFC &gt;1 and FDR &lt;0.05, and 36 genes are downregulated (blue) in the CD11c+CD11b- AM subpopulations, with logFC &lt; -1 and FDR &lt; 0.05. </w:t>
      </w:r>
    </w:p>
    <w:p w14:paraId="5ED945EE" w14:textId="77777777" w:rsidR="008A3F7E" w:rsidRPr="008F02E4" w:rsidRDefault="008A3F7E" w:rsidP="008A3F7E">
      <w:pPr>
        <w:pStyle w:val="SMcaption"/>
        <w:jc w:val="both"/>
        <w:rPr>
          <w:color w:val="000000" w:themeColor="text1"/>
          <w:sz w:val="20"/>
        </w:rPr>
      </w:pPr>
    </w:p>
    <w:p w14:paraId="505CAA47" w14:textId="77777777" w:rsidR="008A3F7E" w:rsidRPr="008F02E4" w:rsidRDefault="008A3F7E" w:rsidP="008A3F7E">
      <w:pPr>
        <w:pStyle w:val="SMcaption"/>
        <w:jc w:val="both"/>
        <w:rPr>
          <w:rStyle w:val="Hyperlink"/>
          <w:bCs/>
          <w:color w:val="000000" w:themeColor="text1"/>
          <w:sz w:val="20"/>
        </w:rPr>
      </w:pPr>
      <w:r w:rsidRPr="008F02E4">
        <w:rPr>
          <w:rStyle w:val="Hyperlink"/>
          <w:b/>
          <w:color w:val="000000" w:themeColor="text1"/>
          <w:sz w:val="20"/>
        </w:rPr>
        <w:t>Figure S8.</w:t>
      </w:r>
      <w:r w:rsidRPr="008F02E4">
        <w:rPr>
          <w:rStyle w:val="Hyperlink"/>
          <w:bCs/>
          <w:color w:val="000000" w:themeColor="text1"/>
          <w:sz w:val="20"/>
        </w:rPr>
        <w:t xml:space="preserve"> </w:t>
      </w:r>
      <w:r w:rsidRPr="008F02E4">
        <w:rPr>
          <w:b/>
          <w:bCs/>
          <w:color w:val="000000" w:themeColor="text1"/>
          <w:sz w:val="20"/>
        </w:rPr>
        <w:t xml:space="preserve">Transcriptional profile in flow cytometry-sorted young and old mAM subpopulations. Part of Figure 2. </w:t>
      </w:r>
      <w:r w:rsidRPr="008F02E4">
        <w:rPr>
          <w:color w:val="000000" w:themeColor="text1"/>
          <w:sz w:val="20"/>
        </w:rPr>
        <w:t>The heatmap shows relative expression levels for (</w:t>
      </w:r>
      <w:r>
        <w:rPr>
          <w:color w:val="000000" w:themeColor="text1"/>
          <w:sz w:val="20"/>
        </w:rPr>
        <w:t>a</w:t>
      </w:r>
      <w:r w:rsidRPr="008F02E4">
        <w:rPr>
          <w:color w:val="000000" w:themeColor="text1"/>
          <w:sz w:val="20"/>
        </w:rPr>
        <w:t>) immune response-related genes, (</w:t>
      </w:r>
      <w:r>
        <w:rPr>
          <w:color w:val="000000" w:themeColor="text1"/>
          <w:sz w:val="20"/>
        </w:rPr>
        <w:t>b</w:t>
      </w:r>
      <w:r w:rsidRPr="008F02E4">
        <w:rPr>
          <w:color w:val="000000" w:themeColor="text1"/>
          <w:sz w:val="20"/>
        </w:rPr>
        <w:t>) positive regulation of ERK1/2 signaling-related genes, (</w:t>
      </w:r>
      <w:r>
        <w:rPr>
          <w:color w:val="000000" w:themeColor="text1"/>
          <w:sz w:val="20"/>
        </w:rPr>
        <w:t>c</w:t>
      </w:r>
      <w:r w:rsidRPr="008F02E4">
        <w:rPr>
          <w:color w:val="000000" w:themeColor="text1"/>
          <w:sz w:val="20"/>
        </w:rPr>
        <w:t>) cell migration and chemotaxis-related genes in mAMs from: the resident subpopulation from old mice (CD11c</w:t>
      </w:r>
      <w:r w:rsidRPr="0075299F">
        <w:rPr>
          <w:color w:val="000000" w:themeColor="text1"/>
          <w:sz w:val="20"/>
          <w:vertAlign w:val="superscript"/>
        </w:rPr>
        <w:t>+</w:t>
      </w:r>
      <w:r w:rsidRPr="008F02E4">
        <w:rPr>
          <w:color w:val="000000" w:themeColor="text1"/>
          <w:sz w:val="20"/>
        </w:rPr>
        <w:t>CD11b</w:t>
      </w:r>
      <w:r w:rsidRPr="0075299F">
        <w:rPr>
          <w:color w:val="000000" w:themeColor="text1"/>
          <w:sz w:val="20"/>
          <w:vertAlign w:val="superscript"/>
        </w:rPr>
        <w:t>-</w:t>
      </w:r>
      <w:r w:rsidRPr="008F02E4">
        <w:rPr>
          <w:color w:val="000000" w:themeColor="text1"/>
          <w:sz w:val="20"/>
        </w:rPr>
        <w:t>), immigrated mAMs (CD11c</w:t>
      </w:r>
      <w:r w:rsidRPr="0075299F">
        <w:rPr>
          <w:color w:val="000000" w:themeColor="text1"/>
          <w:sz w:val="20"/>
          <w:vertAlign w:val="superscript"/>
        </w:rPr>
        <w:t>+</w:t>
      </w:r>
      <w:r w:rsidRPr="008F02E4">
        <w:rPr>
          <w:color w:val="000000" w:themeColor="text1"/>
          <w:sz w:val="20"/>
        </w:rPr>
        <w:t>CD11b</w:t>
      </w:r>
      <w:r w:rsidRPr="0075299F">
        <w:rPr>
          <w:color w:val="000000" w:themeColor="text1"/>
          <w:sz w:val="20"/>
          <w:vertAlign w:val="superscript"/>
        </w:rPr>
        <w:t>+</w:t>
      </w:r>
      <w:r w:rsidRPr="008F02E4">
        <w:rPr>
          <w:color w:val="000000" w:themeColor="text1"/>
          <w:sz w:val="20"/>
        </w:rPr>
        <w:t>) and resident CD11C</w:t>
      </w:r>
      <w:r w:rsidRPr="0075299F">
        <w:rPr>
          <w:color w:val="000000" w:themeColor="text1"/>
          <w:sz w:val="20"/>
          <w:vertAlign w:val="superscript"/>
        </w:rPr>
        <w:t>+</w:t>
      </w:r>
      <w:r w:rsidRPr="008F02E4">
        <w:rPr>
          <w:color w:val="000000" w:themeColor="text1"/>
          <w:sz w:val="20"/>
        </w:rPr>
        <w:t>CD11b</w:t>
      </w:r>
      <w:r w:rsidRPr="0075299F">
        <w:rPr>
          <w:color w:val="000000" w:themeColor="text1"/>
          <w:sz w:val="20"/>
          <w:vertAlign w:val="superscript"/>
        </w:rPr>
        <w:t>-</w:t>
      </w:r>
      <w:r w:rsidRPr="008F02E4">
        <w:rPr>
          <w:color w:val="000000" w:themeColor="text1"/>
          <w:sz w:val="20"/>
        </w:rPr>
        <w:t xml:space="preserve"> subpopulation from young mice. The red arrow highlights certain highly upregulated genes in the CD11c</w:t>
      </w:r>
      <w:r w:rsidRPr="0075299F">
        <w:rPr>
          <w:color w:val="000000" w:themeColor="text1"/>
          <w:sz w:val="20"/>
          <w:vertAlign w:val="superscript"/>
        </w:rPr>
        <w:t>+</w:t>
      </w:r>
      <w:r w:rsidRPr="008F02E4">
        <w:rPr>
          <w:color w:val="000000" w:themeColor="text1"/>
          <w:sz w:val="20"/>
        </w:rPr>
        <w:t>CD11b</w:t>
      </w:r>
      <w:r w:rsidRPr="0075299F">
        <w:rPr>
          <w:color w:val="000000" w:themeColor="text1"/>
          <w:sz w:val="20"/>
          <w:vertAlign w:val="superscript"/>
        </w:rPr>
        <w:t>+</w:t>
      </w:r>
      <w:r w:rsidRPr="008F02E4">
        <w:rPr>
          <w:color w:val="000000" w:themeColor="text1"/>
          <w:sz w:val="20"/>
        </w:rPr>
        <w:t xml:space="preserve"> mAM subpopulation from old mice, indicating a unique genetic profile (in red) compared to CD11c</w:t>
      </w:r>
      <w:r w:rsidRPr="0063155A">
        <w:rPr>
          <w:color w:val="000000" w:themeColor="text1"/>
          <w:sz w:val="20"/>
          <w:vertAlign w:val="superscript"/>
        </w:rPr>
        <w:t>+</w:t>
      </w:r>
      <w:r w:rsidRPr="008F02E4">
        <w:rPr>
          <w:color w:val="000000" w:themeColor="text1"/>
          <w:sz w:val="20"/>
        </w:rPr>
        <w:t xml:space="preserve"> CD11b</w:t>
      </w:r>
      <w:r w:rsidRPr="0063155A">
        <w:rPr>
          <w:color w:val="000000" w:themeColor="text1"/>
          <w:sz w:val="20"/>
          <w:vertAlign w:val="superscript"/>
        </w:rPr>
        <w:t>-</w:t>
      </w:r>
      <w:r>
        <w:rPr>
          <w:color w:val="000000" w:themeColor="text1"/>
          <w:sz w:val="20"/>
        </w:rPr>
        <w:t xml:space="preserve"> </w:t>
      </w:r>
      <w:r w:rsidRPr="008F02E4">
        <w:rPr>
          <w:color w:val="000000" w:themeColor="text1"/>
          <w:sz w:val="20"/>
        </w:rPr>
        <w:t>AMs from either young or old mice. Blue represents low expression, while red represents higher expression.</w:t>
      </w:r>
    </w:p>
    <w:p w14:paraId="0DFD5870" w14:textId="77777777" w:rsidR="008A3F7E" w:rsidRPr="008F02E4" w:rsidRDefault="008A3F7E" w:rsidP="008A3F7E">
      <w:pPr>
        <w:pStyle w:val="SMcaption"/>
        <w:jc w:val="both"/>
        <w:rPr>
          <w:rStyle w:val="Hyperlink"/>
          <w:bCs/>
          <w:color w:val="000000" w:themeColor="text1"/>
          <w:sz w:val="20"/>
        </w:rPr>
      </w:pPr>
    </w:p>
    <w:p w14:paraId="4B3670B7" w14:textId="77777777" w:rsidR="008A3F7E" w:rsidRPr="008F02E4" w:rsidRDefault="008A3F7E" w:rsidP="008A3F7E">
      <w:pPr>
        <w:pStyle w:val="SMcaption"/>
        <w:jc w:val="both"/>
        <w:rPr>
          <w:rStyle w:val="Hyperlink"/>
          <w:bCs/>
          <w:color w:val="000000" w:themeColor="text1"/>
          <w:sz w:val="20"/>
        </w:rPr>
      </w:pPr>
      <w:r w:rsidRPr="008F02E4">
        <w:rPr>
          <w:rStyle w:val="Hyperlink"/>
          <w:b/>
          <w:color w:val="000000" w:themeColor="text1"/>
          <w:sz w:val="20"/>
        </w:rPr>
        <w:t>Figure S9. Analysis of hAM gene expression.</w:t>
      </w:r>
      <w:r w:rsidRPr="008F02E4">
        <w:rPr>
          <w:rStyle w:val="Hyperlink"/>
          <w:bCs/>
          <w:color w:val="000000" w:themeColor="text1"/>
          <w:sz w:val="20"/>
        </w:rPr>
        <w:t xml:space="preserve"> </w:t>
      </w:r>
      <w:r w:rsidRPr="008F02E4">
        <w:rPr>
          <w:b/>
          <w:bCs/>
          <w:color w:val="000000" w:themeColor="text1"/>
          <w:sz w:val="20"/>
        </w:rPr>
        <w:t xml:space="preserve">Part of Figure 2. </w:t>
      </w:r>
      <w:r w:rsidRPr="008F02E4">
        <w:rPr>
          <w:rStyle w:val="Hyperlink"/>
          <w:bCs/>
          <w:color w:val="000000" w:themeColor="text1"/>
          <w:sz w:val="20"/>
        </w:rPr>
        <w:t xml:space="preserve">RNA was isolated from hAMs immediately after BAL without any culturing. The expression of various genes was analyzed: Cell Surface Receptors: CD11B, CD11C, CD206, and TLR2 (Panels </w:t>
      </w:r>
      <w:r>
        <w:rPr>
          <w:rStyle w:val="Hyperlink"/>
          <w:bCs/>
          <w:color w:val="000000" w:themeColor="text1"/>
          <w:sz w:val="20"/>
        </w:rPr>
        <w:t>a</w:t>
      </w:r>
      <w:r w:rsidRPr="008F02E4">
        <w:rPr>
          <w:rStyle w:val="Hyperlink"/>
          <w:bCs/>
          <w:color w:val="000000" w:themeColor="text1"/>
          <w:sz w:val="20"/>
        </w:rPr>
        <w:t>-</w:t>
      </w:r>
      <w:r>
        <w:rPr>
          <w:rStyle w:val="Hyperlink"/>
          <w:bCs/>
          <w:color w:val="000000" w:themeColor="text1"/>
          <w:sz w:val="20"/>
        </w:rPr>
        <w:t>d</w:t>
      </w:r>
      <w:r w:rsidRPr="008F02E4">
        <w:rPr>
          <w:rStyle w:val="Hyperlink"/>
          <w:bCs/>
          <w:color w:val="000000" w:themeColor="text1"/>
          <w:sz w:val="20"/>
        </w:rPr>
        <w:t xml:space="preserve">); Inflammatory Genes: NOS2, HIF1A, PIEZO1, and FAS (Panels </w:t>
      </w:r>
      <w:r>
        <w:rPr>
          <w:rStyle w:val="Hyperlink"/>
          <w:bCs/>
          <w:color w:val="000000" w:themeColor="text1"/>
          <w:sz w:val="20"/>
        </w:rPr>
        <w:t>e</w:t>
      </w:r>
      <w:r w:rsidRPr="008F02E4">
        <w:rPr>
          <w:rStyle w:val="Hyperlink"/>
          <w:bCs/>
          <w:color w:val="000000" w:themeColor="text1"/>
          <w:sz w:val="20"/>
        </w:rPr>
        <w:t>-</w:t>
      </w:r>
      <w:r>
        <w:rPr>
          <w:rStyle w:val="Hyperlink"/>
          <w:bCs/>
          <w:color w:val="000000" w:themeColor="text1"/>
          <w:sz w:val="20"/>
        </w:rPr>
        <w:t>h</w:t>
      </w:r>
      <w:r w:rsidRPr="008F02E4">
        <w:rPr>
          <w:rStyle w:val="Hyperlink"/>
          <w:bCs/>
          <w:color w:val="000000" w:themeColor="text1"/>
          <w:sz w:val="20"/>
        </w:rPr>
        <w:t xml:space="preserve">); Immune Regulatory Genes: IFNB and IL10 (Panels </w:t>
      </w:r>
      <w:r>
        <w:rPr>
          <w:rStyle w:val="Hyperlink"/>
          <w:bCs/>
          <w:color w:val="000000" w:themeColor="text1"/>
          <w:sz w:val="20"/>
        </w:rPr>
        <w:t>i</w:t>
      </w:r>
      <w:r w:rsidRPr="008F02E4">
        <w:rPr>
          <w:rStyle w:val="Hyperlink"/>
          <w:bCs/>
          <w:color w:val="000000" w:themeColor="text1"/>
          <w:sz w:val="20"/>
        </w:rPr>
        <w:t>-</w:t>
      </w:r>
      <w:r>
        <w:rPr>
          <w:rStyle w:val="Hyperlink"/>
          <w:bCs/>
          <w:color w:val="000000" w:themeColor="text1"/>
          <w:sz w:val="20"/>
        </w:rPr>
        <w:t>j</w:t>
      </w:r>
      <w:r w:rsidRPr="008F02E4">
        <w:rPr>
          <w:rStyle w:val="Hyperlink"/>
          <w:bCs/>
          <w:color w:val="000000" w:themeColor="text1"/>
          <w:sz w:val="20"/>
        </w:rPr>
        <w:t xml:space="preserve">) and Chemokine Receptors: CX3CR1 and CCR2 (Panels </w:t>
      </w:r>
      <w:r>
        <w:rPr>
          <w:rStyle w:val="Hyperlink"/>
          <w:bCs/>
          <w:color w:val="000000" w:themeColor="text1"/>
          <w:sz w:val="20"/>
        </w:rPr>
        <w:t>k</w:t>
      </w:r>
      <w:r w:rsidRPr="008F02E4">
        <w:rPr>
          <w:rStyle w:val="Hyperlink"/>
          <w:bCs/>
          <w:color w:val="000000" w:themeColor="text1"/>
          <w:sz w:val="20"/>
        </w:rPr>
        <w:t>-</w:t>
      </w:r>
      <w:r>
        <w:rPr>
          <w:rStyle w:val="Hyperlink"/>
          <w:bCs/>
          <w:color w:val="000000" w:themeColor="text1"/>
          <w:sz w:val="20"/>
        </w:rPr>
        <w:t>l</w:t>
      </w:r>
      <w:r w:rsidRPr="008F02E4">
        <w:rPr>
          <w:rStyle w:val="Hyperlink"/>
          <w:bCs/>
          <w:color w:val="000000" w:themeColor="text1"/>
          <w:sz w:val="20"/>
        </w:rPr>
        <w:t>). Gene expression was determined using qRT-PCR. Cycle threshold (Ct) values were normalized to ACTB (β-actin), and mRNA levels were assessed relative to hAMs from adult individuals. Data are presented as the mean ± SEM from 5 adult and 3 elderly donors. Statistical analysis was performed using an unpaired Student’s t-test, with p-values indicating significance at **p &lt; 0.01, ***p &lt; 0.001, and ****p &lt; 0.0001.</w:t>
      </w:r>
    </w:p>
    <w:p w14:paraId="028F06E2" w14:textId="77777777" w:rsidR="008A3F7E" w:rsidRPr="008F02E4" w:rsidRDefault="008A3F7E" w:rsidP="008A3F7E">
      <w:pPr>
        <w:pStyle w:val="SMcaption"/>
        <w:jc w:val="both"/>
        <w:rPr>
          <w:rStyle w:val="Hyperlink"/>
          <w:bCs/>
          <w:color w:val="000000" w:themeColor="text1"/>
          <w:sz w:val="20"/>
        </w:rPr>
      </w:pPr>
    </w:p>
    <w:p w14:paraId="4407BCE1" w14:textId="77777777" w:rsidR="008A3F7E" w:rsidRPr="008F02E4" w:rsidRDefault="008A3F7E" w:rsidP="008A3F7E">
      <w:pPr>
        <w:pStyle w:val="SMcaption"/>
        <w:jc w:val="both"/>
        <w:rPr>
          <w:bCs/>
          <w:color w:val="000000" w:themeColor="text1"/>
          <w:sz w:val="20"/>
        </w:rPr>
      </w:pPr>
      <w:r w:rsidRPr="008F02E4">
        <w:rPr>
          <w:rStyle w:val="Hyperlink"/>
          <w:b/>
          <w:color w:val="000000" w:themeColor="text1"/>
          <w:sz w:val="20"/>
        </w:rPr>
        <w:t xml:space="preserve">Figure S10. Metabolic and oxidative changes in mAMs from old mice. </w:t>
      </w:r>
      <w:r w:rsidRPr="008F02E4">
        <w:rPr>
          <w:b/>
          <w:bCs/>
          <w:color w:val="000000" w:themeColor="text1"/>
          <w:sz w:val="20"/>
        </w:rPr>
        <w:t xml:space="preserve">Part of Figure 3. </w:t>
      </w:r>
      <w:r w:rsidRPr="008F02E4">
        <w:rPr>
          <w:rStyle w:val="Hyperlink"/>
          <w:bCs/>
          <w:color w:val="000000" w:themeColor="text1"/>
          <w:sz w:val="20"/>
        </w:rPr>
        <w:t>Extracellular flux analysis was performed in freshly isolated AMs from young and old mice by Seahorse analyzer. The oxygen consumption rate (OCR) and extracellular acidification rate (ECAR) were analyzed under basal conditions and in response to Mito Stress Test reagent. (</w:t>
      </w:r>
      <w:r>
        <w:rPr>
          <w:rStyle w:val="Hyperlink"/>
          <w:bCs/>
          <w:color w:val="000000" w:themeColor="text1"/>
          <w:sz w:val="20"/>
        </w:rPr>
        <w:t>a</w:t>
      </w:r>
      <w:r w:rsidRPr="008F02E4">
        <w:rPr>
          <w:rStyle w:val="Hyperlink"/>
          <w:bCs/>
          <w:color w:val="000000" w:themeColor="text1"/>
          <w:sz w:val="20"/>
        </w:rPr>
        <w:t xml:space="preserve">) Kinetics analysis of mitochondrial respiration detected by OCR and ATP production. The dashed lines indicate when O: oligomycin; FCCP: </w:t>
      </w:r>
      <w:r w:rsidRPr="008F02E4">
        <w:rPr>
          <w:bCs/>
          <w:color w:val="000000" w:themeColor="text1"/>
          <w:sz w:val="20"/>
        </w:rPr>
        <w:t>Carbonyl cyanide-4 (trifluoromethoxy) phenylhydrazone</w:t>
      </w:r>
      <w:r w:rsidRPr="008F02E4">
        <w:rPr>
          <w:rStyle w:val="Hyperlink"/>
          <w:bCs/>
          <w:color w:val="000000" w:themeColor="text1"/>
          <w:sz w:val="20"/>
        </w:rPr>
        <w:t>; Rot/AA: rotenone and antimycin A were added. (</w:t>
      </w:r>
      <w:r>
        <w:rPr>
          <w:rStyle w:val="Hyperlink"/>
          <w:bCs/>
          <w:color w:val="000000" w:themeColor="text1"/>
          <w:sz w:val="20"/>
        </w:rPr>
        <w:t>b</w:t>
      </w:r>
      <w:r w:rsidRPr="008F02E4">
        <w:rPr>
          <w:rStyle w:val="Hyperlink"/>
          <w:bCs/>
          <w:color w:val="000000" w:themeColor="text1"/>
          <w:sz w:val="20"/>
        </w:rPr>
        <w:t>-</w:t>
      </w:r>
      <w:r>
        <w:rPr>
          <w:rStyle w:val="Hyperlink"/>
          <w:bCs/>
          <w:color w:val="000000" w:themeColor="text1"/>
          <w:sz w:val="20"/>
        </w:rPr>
        <w:t>f</w:t>
      </w:r>
      <w:r w:rsidRPr="008F02E4">
        <w:rPr>
          <w:rStyle w:val="Hyperlink"/>
          <w:bCs/>
          <w:color w:val="000000" w:themeColor="text1"/>
          <w:sz w:val="20"/>
        </w:rPr>
        <w:t>) Cumulative data from 4-6 mice showing Mito Stress Test bar graphs with higher basal respiration, maximal respiration, ATP production, and higher Spare respiratory capacity (SRC) and moderate proton leak in AMs from old mice compared to young mice AMs. (</w:t>
      </w:r>
      <w:r>
        <w:rPr>
          <w:rStyle w:val="Hyperlink"/>
          <w:bCs/>
          <w:color w:val="000000" w:themeColor="text1"/>
          <w:sz w:val="20"/>
        </w:rPr>
        <w:t>g</w:t>
      </w:r>
      <w:r w:rsidRPr="008F02E4">
        <w:rPr>
          <w:rStyle w:val="Hyperlink"/>
          <w:bCs/>
          <w:color w:val="000000" w:themeColor="text1"/>
          <w:sz w:val="20"/>
        </w:rPr>
        <w:t>) Glycolytic rate (ECAR) kinetics graph demonstrates an increase in the glycolytic rate in AMs from old mice as compared to young mice AMs. Rot &amp; AA were used to accelerate, and 2-Deoxy-D-glucose (2-DG) was used to inhibit glycolysis. (</w:t>
      </w:r>
      <w:r>
        <w:rPr>
          <w:rStyle w:val="Hyperlink"/>
          <w:bCs/>
          <w:color w:val="000000" w:themeColor="text1"/>
          <w:sz w:val="20"/>
        </w:rPr>
        <w:t>h</w:t>
      </w:r>
      <w:r w:rsidRPr="008F02E4">
        <w:rPr>
          <w:rStyle w:val="Hyperlink"/>
          <w:bCs/>
          <w:color w:val="000000" w:themeColor="text1"/>
          <w:sz w:val="20"/>
        </w:rPr>
        <w:t>–</w:t>
      </w:r>
      <w:r>
        <w:rPr>
          <w:rStyle w:val="Hyperlink"/>
          <w:bCs/>
          <w:color w:val="000000" w:themeColor="text1"/>
          <w:sz w:val="20"/>
        </w:rPr>
        <w:t>j</w:t>
      </w:r>
      <w:r w:rsidRPr="008F02E4">
        <w:rPr>
          <w:rStyle w:val="Hyperlink"/>
          <w:bCs/>
          <w:color w:val="000000" w:themeColor="text1"/>
          <w:sz w:val="20"/>
        </w:rPr>
        <w:t>) Bar graph shows the quantification of basal glycolysis, basal proton efflux, and compensatory glycolysis in young and old mice AMs. Cumulative data are shown for n = 4-5 young and 6-7 old mice, mean ± SEM, and analyzed by unpaired Student’s t-test *P ≤ 0.05, **P ≤ 0.01, ***P ≤ 0.001. (</w:t>
      </w:r>
      <w:r>
        <w:rPr>
          <w:rStyle w:val="Hyperlink"/>
          <w:bCs/>
          <w:color w:val="000000" w:themeColor="text1"/>
          <w:sz w:val="20"/>
        </w:rPr>
        <w:t>k</w:t>
      </w:r>
      <w:r w:rsidRPr="008F02E4">
        <w:rPr>
          <w:rStyle w:val="Hyperlink"/>
          <w:bCs/>
          <w:color w:val="000000" w:themeColor="text1"/>
          <w:sz w:val="20"/>
        </w:rPr>
        <w:t>-</w:t>
      </w:r>
      <w:r>
        <w:rPr>
          <w:rStyle w:val="Hyperlink"/>
          <w:bCs/>
          <w:color w:val="000000" w:themeColor="text1"/>
          <w:sz w:val="20"/>
        </w:rPr>
        <w:t>n</w:t>
      </w:r>
      <w:r w:rsidRPr="008F02E4">
        <w:rPr>
          <w:rStyle w:val="Hyperlink"/>
          <w:bCs/>
          <w:color w:val="000000" w:themeColor="text1"/>
          <w:sz w:val="20"/>
        </w:rPr>
        <w:t xml:space="preserve">) </w:t>
      </w:r>
      <w:r w:rsidRPr="008F02E4">
        <w:rPr>
          <w:bCs/>
          <w:color w:val="000000" w:themeColor="text1"/>
          <w:sz w:val="20"/>
        </w:rPr>
        <w:t xml:space="preserve">mRNA expression of the indicated glycolytic genes was quantified by qRT-PCR after normalizing with </w:t>
      </w:r>
      <w:r w:rsidRPr="008F02E4">
        <w:rPr>
          <w:bCs/>
          <w:color w:val="000000" w:themeColor="text1"/>
          <w:sz w:val="20"/>
          <w:lang w:val="el-GR"/>
        </w:rPr>
        <w:t>β</w:t>
      </w:r>
      <w:r w:rsidRPr="008F02E4">
        <w:rPr>
          <w:bCs/>
          <w:color w:val="000000" w:themeColor="text1"/>
          <w:sz w:val="20"/>
        </w:rPr>
        <w:t xml:space="preserve">-actin and analyzed by comparing old mice with young mice. n=3 young and 3 old mice BAL isolations. Data are expressed as mean ± SEM, * </w:t>
      </w:r>
      <w:r w:rsidRPr="008F02E4">
        <w:rPr>
          <w:bCs/>
          <w:i/>
          <w:iCs/>
          <w:color w:val="000000" w:themeColor="text1"/>
          <w:sz w:val="20"/>
        </w:rPr>
        <w:t>p</w:t>
      </w:r>
      <w:r w:rsidRPr="008F02E4">
        <w:rPr>
          <w:bCs/>
          <w:color w:val="000000" w:themeColor="text1"/>
          <w:sz w:val="20"/>
        </w:rPr>
        <w:t xml:space="preserve"> &lt; 0.05, ** </w:t>
      </w:r>
      <w:r w:rsidRPr="008F02E4">
        <w:rPr>
          <w:bCs/>
          <w:i/>
          <w:iCs/>
          <w:color w:val="000000" w:themeColor="text1"/>
          <w:sz w:val="20"/>
        </w:rPr>
        <w:t>p</w:t>
      </w:r>
      <w:r w:rsidRPr="008F02E4">
        <w:rPr>
          <w:bCs/>
          <w:color w:val="000000" w:themeColor="text1"/>
          <w:sz w:val="20"/>
        </w:rPr>
        <w:t xml:space="preserve"> &lt; 0.01, *** </w:t>
      </w:r>
      <w:r w:rsidRPr="008F02E4">
        <w:rPr>
          <w:bCs/>
          <w:i/>
          <w:iCs/>
          <w:color w:val="000000" w:themeColor="text1"/>
          <w:sz w:val="20"/>
        </w:rPr>
        <w:t>p</w:t>
      </w:r>
      <w:r w:rsidRPr="008F02E4">
        <w:rPr>
          <w:bCs/>
          <w:color w:val="000000" w:themeColor="text1"/>
          <w:sz w:val="20"/>
        </w:rPr>
        <w:t xml:space="preserve"> &lt; 0.001.</w:t>
      </w:r>
    </w:p>
    <w:p w14:paraId="77E5E718" w14:textId="77777777" w:rsidR="008A3F7E" w:rsidRPr="008F02E4" w:rsidRDefault="008A3F7E" w:rsidP="008A3F7E">
      <w:pPr>
        <w:pStyle w:val="SMcaption"/>
        <w:jc w:val="both"/>
        <w:rPr>
          <w:rStyle w:val="Hyperlink"/>
          <w:b/>
          <w:color w:val="000000" w:themeColor="text1"/>
          <w:sz w:val="20"/>
        </w:rPr>
      </w:pPr>
    </w:p>
    <w:p w14:paraId="49DF6F04" w14:textId="77777777" w:rsidR="008A3F7E" w:rsidRPr="008F02E4" w:rsidRDefault="008A3F7E" w:rsidP="008A3F7E">
      <w:pPr>
        <w:pStyle w:val="SMcaption"/>
        <w:jc w:val="both"/>
        <w:rPr>
          <w:color w:val="000000" w:themeColor="text1"/>
          <w:sz w:val="20"/>
        </w:rPr>
      </w:pPr>
      <w:r w:rsidRPr="008F02E4">
        <w:rPr>
          <w:rStyle w:val="Hyperlink"/>
          <w:b/>
          <w:color w:val="000000" w:themeColor="text1"/>
          <w:sz w:val="20"/>
        </w:rPr>
        <w:t xml:space="preserve">Figure S11. RNA </w:t>
      </w:r>
      <w:r w:rsidRPr="008F02E4">
        <w:rPr>
          <w:b/>
          <w:color w:val="000000" w:themeColor="text1"/>
          <w:sz w:val="20"/>
        </w:rPr>
        <w:t xml:space="preserve">expression levels of aerobic metabolism-related genes, including </w:t>
      </w:r>
      <w:r w:rsidRPr="008F02E4">
        <w:rPr>
          <w:b/>
          <w:i/>
          <w:iCs/>
          <w:color w:val="000000" w:themeColor="text1"/>
          <w:sz w:val="20"/>
        </w:rPr>
        <w:t>Hif1α, Cox2, CD74, Mif, Glut1, Hk2, Pfkb3, Gls1, Slc25a,</w:t>
      </w:r>
      <w:r w:rsidRPr="008F02E4">
        <w:rPr>
          <w:b/>
          <w:color w:val="000000" w:themeColor="text1"/>
          <w:sz w:val="20"/>
        </w:rPr>
        <w:t xml:space="preserve"> and </w:t>
      </w:r>
      <w:r w:rsidRPr="008F02E4">
        <w:rPr>
          <w:b/>
          <w:i/>
          <w:iCs/>
          <w:color w:val="000000" w:themeColor="text1"/>
          <w:sz w:val="20"/>
        </w:rPr>
        <w:t>Acly</w:t>
      </w:r>
      <w:r w:rsidRPr="008F02E4">
        <w:rPr>
          <w:b/>
          <w:color w:val="000000" w:themeColor="text1"/>
          <w:sz w:val="20"/>
        </w:rPr>
        <w:t xml:space="preserve"> in mAMs isolated from young and old mice.</w:t>
      </w:r>
      <w:r w:rsidRPr="008F02E4">
        <w:rPr>
          <w:bCs/>
          <w:color w:val="000000" w:themeColor="text1"/>
          <w:sz w:val="20"/>
        </w:rPr>
        <w:t xml:space="preserve"> </w:t>
      </w:r>
      <w:r w:rsidRPr="008F02E4">
        <w:rPr>
          <w:rStyle w:val="Hyperlink"/>
          <w:bCs/>
          <w:color w:val="000000" w:themeColor="text1"/>
          <w:sz w:val="20"/>
        </w:rPr>
        <w:t xml:space="preserve">BAL cells were isolated from young (3 months) and old (18 months) mice and then cultured with </w:t>
      </w:r>
      <w:r w:rsidRPr="008F02E4">
        <w:rPr>
          <w:bCs/>
          <w:color w:val="000000" w:themeColor="text1"/>
          <w:sz w:val="20"/>
        </w:rPr>
        <w:t>Pam</w:t>
      </w:r>
      <w:r w:rsidRPr="008F02E4">
        <w:rPr>
          <w:bCs/>
          <w:color w:val="000000" w:themeColor="text1"/>
          <w:sz w:val="20"/>
          <w:vertAlign w:val="subscript"/>
        </w:rPr>
        <w:t>3</w:t>
      </w:r>
      <w:r w:rsidRPr="008F02E4">
        <w:rPr>
          <w:bCs/>
          <w:color w:val="000000" w:themeColor="text1"/>
          <w:sz w:val="20"/>
        </w:rPr>
        <w:t>CSK</w:t>
      </w:r>
      <w:r w:rsidRPr="008F02E4">
        <w:rPr>
          <w:bCs/>
          <w:color w:val="000000" w:themeColor="text1"/>
          <w:sz w:val="20"/>
          <w:vertAlign w:val="subscript"/>
        </w:rPr>
        <w:t>4</w:t>
      </w:r>
      <w:r w:rsidRPr="008F02E4">
        <w:rPr>
          <w:rStyle w:val="Hyperlink"/>
          <w:bCs/>
          <w:color w:val="000000" w:themeColor="text1"/>
          <w:sz w:val="20"/>
        </w:rPr>
        <w:t xml:space="preserve"> (100 ng/mL) for 24h. RNA was extracted, and expression of various genes was analyzed: (</w:t>
      </w:r>
      <w:r>
        <w:rPr>
          <w:rStyle w:val="Hyperlink"/>
          <w:bCs/>
          <w:color w:val="000000" w:themeColor="text1"/>
          <w:sz w:val="20"/>
        </w:rPr>
        <w:t>a</w:t>
      </w:r>
      <w:r w:rsidRPr="008F02E4">
        <w:rPr>
          <w:rStyle w:val="Hyperlink"/>
          <w:bCs/>
          <w:color w:val="000000" w:themeColor="text1"/>
          <w:sz w:val="20"/>
        </w:rPr>
        <w:t xml:space="preserve">) </w:t>
      </w:r>
      <w:r w:rsidRPr="008F02E4">
        <w:rPr>
          <w:bCs/>
          <w:i/>
          <w:iCs/>
          <w:color w:val="000000" w:themeColor="text1"/>
          <w:sz w:val="20"/>
        </w:rPr>
        <w:t xml:space="preserve">Hif1α, </w:t>
      </w:r>
      <w:r w:rsidRPr="008F02E4">
        <w:rPr>
          <w:bCs/>
          <w:color w:val="000000" w:themeColor="text1"/>
          <w:sz w:val="20"/>
        </w:rPr>
        <w:t>(</w:t>
      </w:r>
      <w:r>
        <w:rPr>
          <w:bCs/>
          <w:color w:val="000000" w:themeColor="text1"/>
          <w:sz w:val="20"/>
        </w:rPr>
        <w:t>b</w:t>
      </w:r>
      <w:r w:rsidRPr="008F02E4">
        <w:rPr>
          <w:bCs/>
          <w:color w:val="000000" w:themeColor="text1"/>
          <w:sz w:val="20"/>
        </w:rPr>
        <w:t>)</w:t>
      </w:r>
      <w:r w:rsidRPr="008F02E4">
        <w:rPr>
          <w:bCs/>
          <w:i/>
          <w:iCs/>
          <w:color w:val="000000" w:themeColor="text1"/>
          <w:sz w:val="20"/>
        </w:rPr>
        <w:t xml:space="preserve"> Cox2, </w:t>
      </w:r>
      <w:r w:rsidRPr="008F02E4">
        <w:rPr>
          <w:bCs/>
          <w:color w:val="000000" w:themeColor="text1"/>
          <w:sz w:val="20"/>
        </w:rPr>
        <w:t>(</w:t>
      </w:r>
      <w:r>
        <w:rPr>
          <w:bCs/>
          <w:color w:val="000000" w:themeColor="text1"/>
          <w:sz w:val="20"/>
        </w:rPr>
        <w:t>c</w:t>
      </w:r>
      <w:r w:rsidRPr="008F02E4">
        <w:rPr>
          <w:bCs/>
          <w:color w:val="000000" w:themeColor="text1"/>
          <w:sz w:val="20"/>
        </w:rPr>
        <w:t xml:space="preserve">) </w:t>
      </w:r>
      <w:r w:rsidRPr="008F02E4">
        <w:rPr>
          <w:bCs/>
          <w:i/>
          <w:iCs/>
          <w:color w:val="000000" w:themeColor="text1"/>
          <w:sz w:val="20"/>
        </w:rPr>
        <w:t xml:space="preserve">CD74, </w:t>
      </w:r>
      <w:r w:rsidRPr="008F02E4">
        <w:rPr>
          <w:bCs/>
          <w:color w:val="000000" w:themeColor="text1"/>
          <w:sz w:val="20"/>
        </w:rPr>
        <w:t>(</w:t>
      </w:r>
      <w:r>
        <w:rPr>
          <w:bCs/>
          <w:color w:val="000000" w:themeColor="text1"/>
          <w:sz w:val="20"/>
        </w:rPr>
        <w:t>d</w:t>
      </w:r>
      <w:r w:rsidRPr="008F02E4">
        <w:rPr>
          <w:bCs/>
          <w:color w:val="000000" w:themeColor="text1"/>
          <w:sz w:val="20"/>
        </w:rPr>
        <w:t xml:space="preserve">) </w:t>
      </w:r>
      <w:r w:rsidRPr="008F02E4">
        <w:rPr>
          <w:bCs/>
          <w:i/>
          <w:iCs/>
          <w:color w:val="000000" w:themeColor="text1"/>
          <w:sz w:val="20"/>
        </w:rPr>
        <w:t xml:space="preserve">Mif, </w:t>
      </w:r>
      <w:r w:rsidRPr="008F02E4">
        <w:rPr>
          <w:bCs/>
          <w:color w:val="000000" w:themeColor="text1"/>
          <w:sz w:val="20"/>
        </w:rPr>
        <w:t>(</w:t>
      </w:r>
      <w:r>
        <w:rPr>
          <w:bCs/>
          <w:color w:val="000000" w:themeColor="text1"/>
          <w:sz w:val="20"/>
        </w:rPr>
        <w:t>e</w:t>
      </w:r>
      <w:r w:rsidRPr="008F02E4">
        <w:rPr>
          <w:bCs/>
          <w:color w:val="000000" w:themeColor="text1"/>
          <w:sz w:val="20"/>
        </w:rPr>
        <w:t xml:space="preserve">) </w:t>
      </w:r>
      <w:r w:rsidRPr="008F02E4">
        <w:rPr>
          <w:bCs/>
          <w:i/>
          <w:iCs/>
          <w:color w:val="000000" w:themeColor="text1"/>
          <w:sz w:val="20"/>
        </w:rPr>
        <w:t xml:space="preserve">Glut1, </w:t>
      </w:r>
      <w:r w:rsidRPr="008F02E4">
        <w:rPr>
          <w:bCs/>
          <w:color w:val="000000" w:themeColor="text1"/>
          <w:sz w:val="20"/>
        </w:rPr>
        <w:t>(</w:t>
      </w:r>
      <w:r>
        <w:rPr>
          <w:bCs/>
          <w:color w:val="000000" w:themeColor="text1"/>
          <w:sz w:val="20"/>
        </w:rPr>
        <w:t>f</w:t>
      </w:r>
      <w:r w:rsidRPr="008F02E4">
        <w:rPr>
          <w:bCs/>
          <w:color w:val="000000" w:themeColor="text1"/>
          <w:sz w:val="20"/>
        </w:rPr>
        <w:t xml:space="preserve">) </w:t>
      </w:r>
      <w:r w:rsidRPr="008F02E4">
        <w:rPr>
          <w:bCs/>
          <w:i/>
          <w:iCs/>
          <w:color w:val="000000" w:themeColor="text1"/>
          <w:sz w:val="20"/>
        </w:rPr>
        <w:t xml:space="preserve">Hk2, </w:t>
      </w:r>
      <w:r w:rsidRPr="008F02E4">
        <w:rPr>
          <w:bCs/>
          <w:color w:val="000000" w:themeColor="text1"/>
          <w:sz w:val="20"/>
        </w:rPr>
        <w:t>(</w:t>
      </w:r>
      <w:r>
        <w:rPr>
          <w:bCs/>
          <w:color w:val="000000" w:themeColor="text1"/>
          <w:sz w:val="20"/>
        </w:rPr>
        <w:t>g</w:t>
      </w:r>
      <w:r w:rsidRPr="008F02E4">
        <w:rPr>
          <w:bCs/>
          <w:color w:val="000000" w:themeColor="text1"/>
          <w:sz w:val="20"/>
        </w:rPr>
        <w:t xml:space="preserve">) </w:t>
      </w:r>
      <w:r w:rsidRPr="008F02E4">
        <w:rPr>
          <w:bCs/>
          <w:i/>
          <w:iCs/>
          <w:color w:val="000000" w:themeColor="text1"/>
          <w:sz w:val="20"/>
        </w:rPr>
        <w:t xml:space="preserve">Pfkb3, </w:t>
      </w:r>
      <w:r w:rsidRPr="008F02E4">
        <w:rPr>
          <w:bCs/>
          <w:color w:val="000000" w:themeColor="text1"/>
          <w:sz w:val="20"/>
        </w:rPr>
        <w:t>(</w:t>
      </w:r>
      <w:r>
        <w:rPr>
          <w:bCs/>
          <w:color w:val="000000" w:themeColor="text1"/>
          <w:sz w:val="20"/>
        </w:rPr>
        <w:t>h</w:t>
      </w:r>
      <w:r w:rsidRPr="008F02E4">
        <w:rPr>
          <w:bCs/>
          <w:color w:val="000000" w:themeColor="text1"/>
          <w:sz w:val="20"/>
        </w:rPr>
        <w:t xml:space="preserve">) </w:t>
      </w:r>
      <w:r w:rsidRPr="008F02E4">
        <w:rPr>
          <w:bCs/>
          <w:i/>
          <w:iCs/>
          <w:color w:val="000000" w:themeColor="text1"/>
          <w:sz w:val="20"/>
        </w:rPr>
        <w:t xml:space="preserve">Gls1, </w:t>
      </w:r>
      <w:r w:rsidRPr="008F02E4">
        <w:rPr>
          <w:bCs/>
          <w:color w:val="000000" w:themeColor="text1"/>
          <w:sz w:val="20"/>
        </w:rPr>
        <w:t>(</w:t>
      </w:r>
      <w:r>
        <w:rPr>
          <w:bCs/>
          <w:color w:val="000000" w:themeColor="text1"/>
          <w:sz w:val="20"/>
        </w:rPr>
        <w:t>i</w:t>
      </w:r>
      <w:r w:rsidRPr="008F02E4">
        <w:rPr>
          <w:bCs/>
          <w:color w:val="000000" w:themeColor="text1"/>
          <w:sz w:val="20"/>
        </w:rPr>
        <w:t xml:space="preserve">) </w:t>
      </w:r>
      <w:r w:rsidRPr="008F02E4">
        <w:rPr>
          <w:bCs/>
          <w:i/>
          <w:iCs/>
          <w:color w:val="000000" w:themeColor="text1"/>
          <w:sz w:val="20"/>
        </w:rPr>
        <w:t>Slc25a,</w:t>
      </w:r>
      <w:r w:rsidRPr="008F02E4">
        <w:rPr>
          <w:bCs/>
          <w:color w:val="000000" w:themeColor="text1"/>
          <w:sz w:val="20"/>
        </w:rPr>
        <w:t xml:space="preserve"> and (</w:t>
      </w:r>
      <w:r>
        <w:rPr>
          <w:bCs/>
          <w:color w:val="000000" w:themeColor="text1"/>
          <w:sz w:val="20"/>
        </w:rPr>
        <w:t>j</w:t>
      </w:r>
      <w:r w:rsidRPr="008F02E4">
        <w:rPr>
          <w:bCs/>
          <w:color w:val="000000" w:themeColor="text1"/>
          <w:sz w:val="20"/>
        </w:rPr>
        <w:t xml:space="preserve">) </w:t>
      </w:r>
      <w:r w:rsidRPr="008F02E4">
        <w:rPr>
          <w:bCs/>
          <w:i/>
          <w:iCs/>
          <w:color w:val="000000" w:themeColor="text1"/>
          <w:sz w:val="20"/>
        </w:rPr>
        <w:t>Acly</w:t>
      </w:r>
      <w:r w:rsidRPr="008F02E4">
        <w:rPr>
          <w:b/>
          <w:i/>
          <w:iCs/>
          <w:color w:val="000000" w:themeColor="text1"/>
          <w:sz w:val="20"/>
        </w:rPr>
        <w:t xml:space="preserve"> </w:t>
      </w:r>
      <w:r w:rsidRPr="008F02E4">
        <w:rPr>
          <w:bCs/>
          <w:color w:val="000000" w:themeColor="text1"/>
          <w:sz w:val="20"/>
        </w:rPr>
        <w:t>by qRT-PCR and normalized to β-actin. Data were pooled from 2-4 BAL isolations with 5-10 mice per isolation. AMs from each isolation were stimulated in triplicate with Pam</w:t>
      </w:r>
      <w:r w:rsidRPr="008F02E4">
        <w:rPr>
          <w:bCs/>
          <w:color w:val="000000" w:themeColor="text1"/>
          <w:sz w:val="20"/>
          <w:vertAlign w:val="subscript"/>
        </w:rPr>
        <w:t>3</w:t>
      </w:r>
      <w:r w:rsidRPr="008F02E4">
        <w:rPr>
          <w:bCs/>
          <w:color w:val="000000" w:themeColor="text1"/>
          <w:sz w:val="20"/>
        </w:rPr>
        <w:t>CSK</w:t>
      </w:r>
      <w:r w:rsidRPr="008F02E4">
        <w:rPr>
          <w:bCs/>
          <w:color w:val="000000" w:themeColor="text1"/>
          <w:sz w:val="20"/>
          <w:vertAlign w:val="subscript"/>
        </w:rPr>
        <w:t xml:space="preserve">4. </w:t>
      </w:r>
      <w:r w:rsidRPr="008F02E4">
        <w:rPr>
          <w:color w:val="000000" w:themeColor="text1"/>
          <w:sz w:val="20"/>
        </w:rPr>
        <w:t xml:space="preserve">Data are expressed as mean ± SEM, analyzed by ordinary one-way ANOVA with Sidak's multiple comparisons test. Statistical significance is indicated as *p ≤ 0.05, ***p ≤ 0.001. </w:t>
      </w:r>
    </w:p>
    <w:p w14:paraId="1BB2CA7E" w14:textId="77777777" w:rsidR="008A3F7E" w:rsidRPr="008F02E4" w:rsidRDefault="008A3F7E" w:rsidP="008A3F7E">
      <w:pPr>
        <w:pStyle w:val="SMcaption"/>
        <w:jc w:val="both"/>
        <w:rPr>
          <w:bCs/>
          <w:color w:val="000000" w:themeColor="text1"/>
          <w:sz w:val="20"/>
        </w:rPr>
      </w:pPr>
    </w:p>
    <w:p w14:paraId="350EF5AD" w14:textId="77777777" w:rsidR="008A3F7E" w:rsidRPr="008F02E4" w:rsidRDefault="008A3F7E" w:rsidP="008A3F7E">
      <w:pPr>
        <w:pStyle w:val="SMcaption"/>
        <w:jc w:val="both"/>
        <w:rPr>
          <w:rStyle w:val="Hyperlink"/>
          <w:bCs/>
          <w:color w:val="000000" w:themeColor="text1"/>
          <w:sz w:val="20"/>
        </w:rPr>
      </w:pPr>
      <w:r w:rsidRPr="008F02E4">
        <w:rPr>
          <w:rStyle w:val="Hyperlink"/>
          <w:b/>
          <w:color w:val="000000" w:themeColor="text1"/>
          <w:sz w:val="20"/>
        </w:rPr>
        <w:t xml:space="preserve">Figure S12. RNA expression levels of genes related to </w:t>
      </w:r>
      <w:r w:rsidRPr="008F02E4">
        <w:rPr>
          <w:b/>
          <w:bCs/>
          <w:color w:val="000000" w:themeColor="text1"/>
          <w:sz w:val="20"/>
        </w:rPr>
        <w:t>metabolic activity of h</w:t>
      </w:r>
      <w:r w:rsidRPr="008F02E4">
        <w:rPr>
          <w:b/>
          <w:color w:val="000000" w:themeColor="text1"/>
          <w:sz w:val="20"/>
        </w:rPr>
        <w:t xml:space="preserve">AMs isolated from adult or elderly humans. </w:t>
      </w:r>
      <w:r w:rsidRPr="008F02E4">
        <w:rPr>
          <w:bCs/>
          <w:color w:val="000000" w:themeColor="text1"/>
          <w:sz w:val="20"/>
        </w:rPr>
        <w:t xml:space="preserve">mRNA expression of human NDUFAF6 (OXPHOS gene), LDHA (glycolytic gene) were assessed by qRT-PCR after normalizing with β-actin. Data are from n=3-7 humans and are mean ± SEM, * </w:t>
      </w:r>
      <w:r w:rsidRPr="008F02E4">
        <w:rPr>
          <w:bCs/>
          <w:i/>
          <w:iCs/>
          <w:color w:val="000000" w:themeColor="text1"/>
          <w:sz w:val="20"/>
        </w:rPr>
        <w:t>p</w:t>
      </w:r>
      <w:r w:rsidRPr="008F02E4">
        <w:rPr>
          <w:bCs/>
          <w:color w:val="000000" w:themeColor="text1"/>
          <w:sz w:val="20"/>
        </w:rPr>
        <w:t xml:space="preserve"> &lt; 0.05, ** </w:t>
      </w:r>
      <w:r w:rsidRPr="008F02E4">
        <w:rPr>
          <w:bCs/>
          <w:i/>
          <w:iCs/>
          <w:color w:val="000000" w:themeColor="text1"/>
          <w:sz w:val="20"/>
        </w:rPr>
        <w:t>p</w:t>
      </w:r>
      <w:r w:rsidRPr="008F02E4">
        <w:rPr>
          <w:bCs/>
          <w:color w:val="000000" w:themeColor="text1"/>
          <w:sz w:val="20"/>
        </w:rPr>
        <w:t xml:space="preserve"> &lt;0.01.</w:t>
      </w:r>
    </w:p>
    <w:p w14:paraId="19F3C6A4" w14:textId="77777777" w:rsidR="008A3F7E" w:rsidRPr="008F02E4" w:rsidRDefault="008A3F7E" w:rsidP="008A3F7E">
      <w:pPr>
        <w:pStyle w:val="SMcaption"/>
        <w:jc w:val="both"/>
        <w:rPr>
          <w:rStyle w:val="Hyperlink"/>
          <w:bCs/>
          <w:color w:val="000000" w:themeColor="text1"/>
          <w:sz w:val="20"/>
        </w:rPr>
      </w:pPr>
    </w:p>
    <w:p w14:paraId="38183E6C" w14:textId="77777777" w:rsidR="008A3F7E" w:rsidRPr="008F02E4" w:rsidRDefault="008A3F7E" w:rsidP="008A3F7E">
      <w:pPr>
        <w:pStyle w:val="SMcaption"/>
        <w:jc w:val="both"/>
        <w:rPr>
          <w:rStyle w:val="Hyperlink"/>
          <w:bCs/>
          <w:color w:val="000000" w:themeColor="text1"/>
          <w:sz w:val="20"/>
        </w:rPr>
      </w:pPr>
      <w:r w:rsidRPr="008F02E4">
        <w:rPr>
          <w:rStyle w:val="Hyperlink"/>
          <w:b/>
          <w:color w:val="000000" w:themeColor="text1"/>
          <w:sz w:val="20"/>
        </w:rPr>
        <w:lastRenderedPageBreak/>
        <w:t>Figure S13. Mitochondrial ROS production in young and old mAMs.</w:t>
      </w:r>
      <w:r w:rsidRPr="008F02E4">
        <w:rPr>
          <w:rStyle w:val="Hyperlink"/>
          <w:bCs/>
          <w:color w:val="000000" w:themeColor="text1"/>
          <w:sz w:val="20"/>
        </w:rPr>
        <w:t xml:space="preserve"> (</w:t>
      </w:r>
      <w:r>
        <w:rPr>
          <w:rStyle w:val="Hyperlink"/>
          <w:bCs/>
          <w:color w:val="000000" w:themeColor="text1"/>
          <w:sz w:val="20"/>
        </w:rPr>
        <w:t>a</w:t>
      </w:r>
      <w:r w:rsidRPr="008F02E4">
        <w:rPr>
          <w:rStyle w:val="Hyperlink"/>
          <w:bCs/>
          <w:color w:val="000000" w:themeColor="text1"/>
          <w:sz w:val="20"/>
        </w:rPr>
        <w:t>) AMs were isolated from young &amp; old mice. Cells were stained with MitoSOX (5 μM) to demonstrate mitochondrial ROS by confocal microscopy. Magnification: 63×, scale bar: 5 μM. (</w:t>
      </w:r>
      <w:r>
        <w:rPr>
          <w:rStyle w:val="Hyperlink"/>
          <w:bCs/>
          <w:color w:val="000000" w:themeColor="text1"/>
          <w:sz w:val="20"/>
        </w:rPr>
        <w:t>b</w:t>
      </w:r>
      <w:r w:rsidRPr="008F02E4">
        <w:rPr>
          <w:rStyle w:val="Hyperlink"/>
          <w:bCs/>
          <w:color w:val="000000" w:themeColor="text1"/>
          <w:sz w:val="20"/>
        </w:rPr>
        <w:t>) The violin plot shows mitochondrial ROS represented as MFI (Arithmetic mean intensity). Cumulative data are shown for n = 3 mice/group with 6-8 microscopic fields with more than 25 AMs per field and analyzed by unpaired Student’s test, **** p &lt;0.0001.</w:t>
      </w:r>
    </w:p>
    <w:p w14:paraId="151F7B98" w14:textId="77777777" w:rsidR="008A3F7E" w:rsidRPr="008F02E4" w:rsidRDefault="008A3F7E" w:rsidP="008A3F7E">
      <w:pPr>
        <w:pStyle w:val="SMcaption"/>
        <w:jc w:val="both"/>
        <w:rPr>
          <w:rStyle w:val="Hyperlink"/>
          <w:b/>
          <w:color w:val="000000" w:themeColor="text1"/>
          <w:sz w:val="20"/>
        </w:rPr>
      </w:pPr>
    </w:p>
    <w:p w14:paraId="73D53F32" w14:textId="77777777" w:rsidR="008A3F7E" w:rsidRPr="008F02E4" w:rsidRDefault="008A3F7E" w:rsidP="008A3F7E">
      <w:pPr>
        <w:pStyle w:val="SMcaption"/>
        <w:jc w:val="both"/>
        <w:rPr>
          <w:bCs/>
          <w:color w:val="000000" w:themeColor="text1"/>
          <w:sz w:val="20"/>
        </w:rPr>
      </w:pPr>
      <w:r w:rsidRPr="008F02E4">
        <w:rPr>
          <w:rStyle w:val="Hyperlink"/>
          <w:b/>
          <w:color w:val="000000" w:themeColor="text1"/>
          <w:sz w:val="20"/>
        </w:rPr>
        <w:t xml:space="preserve">Figure S14. </w:t>
      </w:r>
      <w:r w:rsidRPr="008F02E4">
        <w:rPr>
          <w:b/>
          <w:bCs/>
          <w:color w:val="000000" w:themeColor="text1"/>
          <w:sz w:val="20"/>
        </w:rPr>
        <w:t>Morphological analysis of mAMs.</w:t>
      </w:r>
      <w:r w:rsidRPr="008F02E4">
        <w:rPr>
          <w:bCs/>
          <w:color w:val="000000" w:themeColor="text1"/>
          <w:sz w:val="20"/>
        </w:rPr>
        <w:t xml:space="preserve"> Young and old mice received two doses of clodronate liposomes (clodrolip.) administered</w:t>
      </w:r>
      <w:r>
        <w:rPr>
          <w:bCs/>
          <w:color w:val="000000" w:themeColor="text1"/>
          <w:sz w:val="20"/>
        </w:rPr>
        <w:t xml:space="preserve"> </w:t>
      </w:r>
      <w:r w:rsidRPr="008F02E4">
        <w:rPr>
          <w:bCs/>
          <w:color w:val="000000" w:themeColor="text1"/>
          <w:sz w:val="20"/>
        </w:rPr>
        <w:t>i.t. on Day 0 and Day 3, effectively depleting resident mAMs from the alveolar compartments in young and old mice. On Day 5, CD11c</w:t>
      </w:r>
      <w:r w:rsidRPr="00D2568A">
        <w:rPr>
          <w:bCs/>
          <w:color w:val="000000" w:themeColor="text1"/>
          <w:sz w:val="20"/>
          <w:vertAlign w:val="superscript"/>
        </w:rPr>
        <w:t>+</w:t>
      </w:r>
      <w:r w:rsidRPr="008F02E4">
        <w:rPr>
          <w:bCs/>
          <w:color w:val="000000" w:themeColor="text1"/>
          <w:sz w:val="20"/>
        </w:rPr>
        <w:t xml:space="preserve"> BAL isolated resident AMs (donor cells) from young mice were adoptively transferred i.t. (using 1X10</w:t>
      </w:r>
      <w:r w:rsidRPr="008F02E4">
        <w:rPr>
          <w:bCs/>
          <w:color w:val="000000" w:themeColor="text1"/>
          <w:sz w:val="20"/>
          <w:vertAlign w:val="superscript"/>
        </w:rPr>
        <w:t>6</w:t>
      </w:r>
      <w:r w:rsidRPr="008F02E4">
        <w:rPr>
          <w:bCs/>
          <w:color w:val="000000" w:themeColor="text1"/>
          <w:sz w:val="20"/>
        </w:rPr>
        <w:t xml:space="preserve"> cells) into old recipient mice. On Day 6 and Day 7, AMs were isolated, and Wright-Giemsa staining was performed. The morphology of the AMs from the old mice was assessed after staining the cytospun cells and observing them using light microscopy.</w:t>
      </w:r>
    </w:p>
    <w:p w14:paraId="56E65E38" w14:textId="77777777" w:rsidR="008A3F7E" w:rsidRPr="008F02E4" w:rsidRDefault="008A3F7E" w:rsidP="008A3F7E">
      <w:pPr>
        <w:pStyle w:val="SMcaption"/>
        <w:jc w:val="both"/>
        <w:rPr>
          <w:rStyle w:val="Hyperlink"/>
          <w:bCs/>
          <w:color w:val="000000" w:themeColor="text1"/>
          <w:sz w:val="20"/>
        </w:rPr>
      </w:pPr>
    </w:p>
    <w:p w14:paraId="5EB96A53" w14:textId="77777777" w:rsidR="008A3F7E" w:rsidRPr="008F02E4" w:rsidRDefault="008A3F7E" w:rsidP="008A3F7E">
      <w:pPr>
        <w:pStyle w:val="SMcaption"/>
        <w:jc w:val="both"/>
        <w:rPr>
          <w:rStyle w:val="Hyperlink"/>
          <w:bCs/>
          <w:color w:val="000000" w:themeColor="text1"/>
          <w:sz w:val="20"/>
        </w:rPr>
      </w:pPr>
      <w:r w:rsidRPr="008F02E4">
        <w:rPr>
          <w:b/>
          <w:bCs/>
          <w:color w:val="000000" w:themeColor="text1"/>
          <w:sz w:val="20"/>
        </w:rPr>
        <w:t>Figure S15. Histopathological Analysis of Ms4a3</w:t>
      </w:r>
      <w:r w:rsidRPr="008F02E4">
        <w:rPr>
          <w:b/>
          <w:bCs/>
          <w:color w:val="000000" w:themeColor="text1"/>
          <w:sz w:val="20"/>
          <w:vertAlign w:val="superscript"/>
        </w:rPr>
        <w:t>Cre</w:t>
      </w:r>
      <w:r w:rsidRPr="008F02E4">
        <w:rPr>
          <w:b/>
          <w:bCs/>
          <w:color w:val="000000" w:themeColor="text1"/>
          <w:sz w:val="20"/>
        </w:rPr>
        <w:t>-Rosa</w:t>
      </w:r>
      <w:r w:rsidRPr="008F02E4">
        <w:rPr>
          <w:b/>
          <w:bCs/>
          <w:color w:val="000000" w:themeColor="text1"/>
          <w:sz w:val="20"/>
          <w:vertAlign w:val="superscript"/>
        </w:rPr>
        <w:t>TdT</w:t>
      </w:r>
      <w:r w:rsidRPr="008F02E4">
        <w:rPr>
          <w:b/>
          <w:bCs/>
          <w:color w:val="000000" w:themeColor="text1"/>
          <w:sz w:val="20"/>
        </w:rPr>
        <w:t xml:space="preserve"> MoAMs in the lungs of old mice. </w:t>
      </w:r>
      <w:r w:rsidRPr="008F02E4">
        <w:rPr>
          <w:bCs/>
          <w:color w:val="000000" w:themeColor="text1"/>
          <w:sz w:val="20"/>
        </w:rPr>
        <w:t>Ms4a3</w:t>
      </w:r>
      <w:r w:rsidRPr="008F02E4">
        <w:rPr>
          <w:bCs/>
          <w:color w:val="000000" w:themeColor="text1"/>
          <w:sz w:val="20"/>
          <w:vertAlign w:val="superscript"/>
        </w:rPr>
        <w:t>Cre</w:t>
      </w:r>
      <w:r w:rsidRPr="008F02E4">
        <w:rPr>
          <w:bCs/>
          <w:color w:val="000000" w:themeColor="text1"/>
          <w:sz w:val="20"/>
        </w:rPr>
        <w:t>-Rosa</w:t>
      </w:r>
      <w:r w:rsidRPr="008F02E4">
        <w:rPr>
          <w:bCs/>
          <w:color w:val="000000" w:themeColor="text1"/>
          <w:sz w:val="20"/>
          <w:vertAlign w:val="superscript"/>
        </w:rPr>
        <w:t>TdT</w:t>
      </w:r>
      <w:r w:rsidRPr="008F02E4">
        <w:rPr>
          <w:bCs/>
          <w:color w:val="000000" w:themeColor="text1"/>
          <w:sz w:val="20"/>
        </w:rPr>
        <w:t xml:space="preserve"> bone marrow monocytes (donor cells) were adoptively transferred to young and old mice to track them and their progeny in the lungs of C57BL/6 mouse recipients. On the fifth day after the transfer, the entire lung lobes were collected from the recipient mice. The lung lobes were preserved in 10% formalin and underwent histopathological analysis following hematoxylin and eosin (H&amp;E) staining. The data demonstrate that the migrated MoAMs were present (indicated by blue hematoxylin staining) to a greater extent in the lungs of old mice and in old mice that received the Ms4a3</w:t>
      </w:r>
      <w:r w:rsidRPr="008F02E4">
        <w:rPr>
          <w:bCs/>
          <w:color w:val="000000" w:themeColor="text1"/>
          <w:sz w:val="20"/>
          <w:vertAlign w:val="superscript"/>
        </w:rPr>
        <w:t>Cre</w:t>
      </w:r>
      <w:r w:rsidRPr="008F02E4">
        <w:rPr>
          <w:bCs/>
          <w:color w:val="000000" w:themeColor="text1"/>
          <w:sz w:val="20"/>
        </w:rPr>
        <w:t>-Rosa</w:t>
      </w:r>
      <w:r w:rsidRPr="008F02E4">
        <w:rPr>
          <w:bCs/>
          <w:color w:val="000000" w:themeColor="text1"/>
          <w:sz w:val="20"/>
          <w:vertAlign w:val="superscript"/>
        </w:rPr>
        <w:t>TdT</w:t>
      </w:r>
      <w:r w:rsidRPr="008F02E4">
        <w:rPr>
          <w:bCs/>
          <w:color w:val="000000" w:themeColor="text1"/>
          <w:sz w:val="20"/>
        </w:rPr>
        <w:t xml:space="preserve"> monocyte transfer. In contrast, the lungs of young mice or young mice receiving Ms4a3</w:t>
      </w:r>
      <w:r w:rsidRPr="008F02E4">
        <w:rPr>
          <w:bCs/>
          <w:color w:val="000000" w:themeColor="text1"/>
          <w:sz w:val="20"/>
          <w:vertAlign w:val="superscript"/>
        </w:rPr>
        <w:t>Cre</w:t>
      </w:r>
      <w:r w:rsidRPr="008F02E4">
        <w:rPr>
          <w:bCs/>
          <w:color w:val="000000" w:themeColor="text1"/>
          <w:sz w:val="20"/>
        </w:rPr>
        <w:t>-Rosa</w:t>
      </w:r>
      <w:r w:rsidRPr="008F02E4">
        <w:rPr>
          <w:bCs/>
          <w:color w:val="000000" w:themeColor="text1"/>
          <w:sz w:val="20"/>
          <w:vertAlign w:val="superscript"/>
        </w:rPr>
        <w:t>TdT</w:t>
      </w:r>
      <w:r w:rsidRPr="008F02E4">
        <w:rPr>
          <w:bCs/>
          <w:color w:val="000000" w:themeColor="text1"/>
          <w:sz w:val="20"/>
        </w:rPr>
        <w:t xml:space="preserve"> showed limited cell infiltration in the alveolar compartments and lung parenchyma. Yellow arrows indicate the recruited Ms4a3</w:t>
      </w:r>
      <w:r w:rsidRPr="008F02E4">
        <w:rPr>
          <w:bCs/>
          <w:color w:val="000000" w:themeColor="text1"/>
          <w:sz w:val="20"/>
          <w:vertAlign w:val="superscript"/>
        </w:rPr>
        <w:t>Cre</w:t>
      </w:r>
      <w:r w:rsidRPr="008F02E4">
        <w:rPr>
          <w:bCs/>
          <w:color w:val="000000" w:themeColor="text1"/>
          <w:sz w:val="20"/>
        </w:rPr>
        <w:t>-Rosa</w:t>
      </w:r>
      <w:r w:rsidRPr="008F02E4">
        <w:rPr>
          <w:bCs/>
          <w:color w:val="000000" w:themeColor="text1"/>
          <w:sz w:val="20"/>
          <w:vertAlign w:val="superscript"/>
        </w:rPr>
        <w:t>TdT</w:t>
      </w:r>
      <w:r w:rsidRPr="008F02E4">
        <w:rPr>
          <w:bCs/>
          <w:color w:val="000000" w:themeColor="text1"/>
          <w:sz w:val="20"/>
        </w:rPr>
        <w:t>-positive MoAMs (red fluorescence). The data are representative of three animals per group.</w:t>
      </w:r>
      <w:r w:rsidRPr="00907C95">
        <w:t xml:space="preserve"> </w:t>
      </w:r>
      <w:r w:rsidRPr="00907C95">
        <w:rPr>
          <w:bCs/>
          <w:color w:val="000000" w:themeColor="text1"/>
          <w:sz w:val="20"/>
        </w:rPr>
        <w:t xml:space="preserve">The scale bar represents </w:t>
      </w:r>
      <w:r>
        <w:rPr>
          <w:bCs/>
          <w:color w:val="000000" w:themeColor="text1"/>
          <w:sz w:val="20"/>
        </w:rPr>
        <w:t>2 m</w:t>
      </w:r>
      <w:r w:rsidRPr="00907C95">
        <w:rPr>
          <w:bCs/>
          <w:color w:val="000000" w:themeColor="text1"/>
          <w:sz w:val="20"/>
        </w:rPr>
        <w:t xml:space="preserve">m, with images at </w:t>
      </w:r>
      <w:r>
        <w:rPr>
          <w:bCs/>
          <w:color w:val="000000" w:themeColor="text1"/>
          <w:sz w:val="20"/>
        </w:rPr>
        <w:t>100</w:t>
      </w:r>
      <w:r w:rsidRPr="00907C95">
        <w:rPr>
          <w:bCs/>
          <w:color w:val="000000" w:themeColor="text1"/>
          <w:sz w:val="20"/>
        </w:rPr>
        <w:t>× magnification.</w:t>
      </w:r>
    </w:p>
    <w:p w14:paraId="0A30E625" w14:textId="77777777" w:rsidR="008A3F7E" w:rsidRPr="008F02E4" w:rsidRDefault="008A3F7E" w:rsidP="008A3F7E">
      <w:pPr>
        <w:pStyle w:val="SMcaption"/>
        <w:jc w:val="both"/>
        <w:rPr>
          <w:rStyle w:val="Hyperlink"/>
          <w:bCs/>
          <w:color w:val="000000" w:themeColor="text1"/>
          <w:sz w:val="20"/>
        </w:rPr>
      </w:pPr>
    </w:p>
    <w:p w14:paraId="10F9D3D0" w14:textId="77777777" w:rsidR="008A3F7E" w:rsidRPr="008F02E4" w:rsidRDefault="008A3F7E" w:rsidP="008A3F7E">
      <w:pPr>
        <w:spacing w:after="0" w:line="240" w:lineRule="auto"/>
        <w:jc w:val="both"/>
        <w:rPr>
          <w:rFonts w:ascii="Times New Roman" w:hAnsi="Times New Roman" w:cs="Times New Roman"/>
          <w:color w:val="000000" w:themeColor="text1"/>
          <w:sz w:val="20"/>
        </w:rPr>
      </w:pPr>
      <w:r w:rsidRPr="008F02E4">
        <w:rPr>
          <w:rStyle w:val="Hyperlink"/>
          <w:rFonts w:ascii="Times New Roman" w:hAnsi="Times New Roman" w:cs="Times New Roman"/>
          <w:b/>
          <w:color w:val="000000" w:themeColor="text1"/>
          <w:sz w:val="20"/>
        </w:rPr>
        <w:t xml:space="preserve">Figure S16. </w:t>
      </w:r>
      <w:r w:rsidRPr="008F02E4">
        <w:rPr>
          <w:rFonts w:ascii="Times New Roman" w:hAnsi="Times New Roman" w:cs="Times New Roman"/>
          <w:b/>
          <w:bCs/>
          <w:color w:val="000000" w:themeColor="text1"/>
          <w:sz w:val="20"/>
        </w:rPr>
        <w:t xml:space="preserve">Adoptive transfer of CD45.1 monocytes and treatment with FasL NA/LE antibody extends the lifespan of AMs. Data are part of Figure 7.  </w:t>
      </w:r>
      <w:r w:rsidRPr="008F02E4">
        <w:rPr>
          <w:rFonts w:ascii="Times New Roman" w:hAnsi="Times New Roman" w:cs="Times New Roman"/>
          <w:color w:val="000000" w:themeColor="text1"/>
          <w:sz w:val="20"/>
        </w:rPr>
        <w:t>(</w:t>
      </w:r>
      <w:r>
        <w:rPr>
          <w:rFonts w:ascii="Times New Roman" w:hAnsi="Times New Roman" w:cs="Times New Roman"/>
          <w:color w:val="000000" w:themeColor="text1"/>
          <w:sz w:val="20"/>
        </w:rPr>
        <w:t>a</w:t>
      </w:r>
      <w:r w:rsidRPr="008F02E4">
        <w:rPr>
          <w:rFonts w:ascii="Times New Roman" w:hAnsi="Times New Roman" w:cs="Times New Roman"/>
          <w:color w:val="000000" w:themeColor="text1"/>
          <w:sz w:val="20"/>
        </w:rPr>
        <w:t>)</w:t>
      </w:r>
      <w:r w:rsidRPr="008F02E4">
        <w:rPr>
          <w:rFonts w:ascii="Times New Roman" w:hAnsi="Times New Roman" w:cs="Times New Roman"/>
          <w:b/>
          <w:bCs/>
          <w:color w:val="000000" w:themeColor="text1"/>
          <w:sz w:val="20"/>
        </w:rPr>
        <w:t xml:space="preserve"> S</w:t>
      </w:r>
      <w:r w:rsidRPr="008F02E4">
        <w:rPr>
          <w:rFonts w:ascii="Times New Roman" w:hAnsi="Times New Roman" w:cs="Times New Roman"/>
          <w:color w:val="000000" w:themeColor="text1"/>
          <w:sz w:val="20"/>
        </w:rPr>
        <w:t>chematic representation of the experimental approach is shown. Young and old mice were treated by i.t. installation of FasL NA/LE Ab (100 µL, 0.5 mg/mL), or an isotype control Ab. Concurrently, CD45.1 bone marrow monocytes (isolated by magnetic sorting for Ly6c+, negative selection kit) were transferred i.v. On day 3 and 4 mAMs were isolated from each group by BAL to analyze for apoptosis by flow cytometry. (</w:t>
      </w:r>
      <w:r>
        <w:rPr>
          <w:rFonts w:ascii="Times New Roman" w:hAnsi="Times New Roman" w:cs="Times New Roman"/>
          <w:color w:val="000000" w:themeColor="text1"/>
          <w:sz w:val="20"/>
        </w:rPr>
        <w:t>b</w:t>
      </w:r>
      <w:r w:rsidRPr="008F02E4">
        <w:rPr>
          <w:rFonts w:ascii="Times New Roman" w:hAnsi="Times New Roman" w:cs="Times New Roman"/>
          <w:color w:val="000000" w:themeColor="text1"/>
          <w:sz w:val="20"/>
        </w:rPr>
        <w:t>) Flow cytometry dot plot analysis shows Annexin V (ANX5) and Ethidium Homodimer-2 (EthD-2) viability assay on day 3. FasL NA/LE Ab treatment reduces Fas-mediated apoptosis in old mAMs. (</w:t>
      </w:r>
      <w:r>
        <w:rPr>
          <w:rFonts w:ascii="Times New Roman" w:hAnsi="Times New Roman" w:cs="Times New Roman"/>
          <w:color w:val="000000" w:themeColor="text1"/>
          <w:sz w:val="20"/>
        </w:rPr>
        <w:t>c</w:t>
      </w:r>
      <w:r w:rsidRPr="008F02E4">
        <w:rPr>
          <w:rFonts w:ascii="Times New Roman" w:hAnsi="Times New Roman" w:cs="Times New Roman"/>
          <w:color w:val="000000" w:themeColor="text1"/>
          <w:sz w:val="20"/>
        </w:rPr>
        <w:t>) Bar graph shows the percentage of cumulative annexin-positive cells from 4 mice/group. (</w:t>
      </w:r>
      <w:r>
        <w:rPr>
          <w:rFonts w:ascii="Times New Roman" w:hAnsi="Times New Roman" w:cs="Times New Roman"/>
          <w:color w:val="000000" w:themeColor="text1"/>
          <w:sz w:val="20"/>
        </w:rPr>
        <w:t>d</w:t>
      </w:r>
      <w:r w:rsidRPr="008F02E4">
        <w:rPr>
          <w:rFonts w:ascii="Times New Roman" w:hAnsi="Times New Roman" w:cs="Times New Roman"/>
          <w:color w:val="000000" w:themeColor="text1"/>
          <w:sz w:val="20"/>
        </w:rPr>
        <w:t>) Flow cytometry-generated bar graphs illustrate the induction of Caspase-3/7 mediated apoptosis in old mice total mAMs, which was decreased following treatment with FasL NA/LE Ab. Data are expressed as mean ± SEM, analyzed by ordinary one-way ANOVA with Sidak's multiple comparisons test. Statistical significance is indicated as **p ≤ 0.01, ****p ≤ 0.0001.</w:t>
      </w:r>
    </w:p>
    <w:p w14:paraId="1E6342B3"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F7E"/>
    <w:rsid w:val="00195413"/>
    <w:rsid w:val="003D0186"/>
    <w:rsid w:val="007278E4"/>
    <w:rsid w:val="008A3F7E"/>
    <w:rsid w:val="00A3738C"/>
    <w:rsid w:val="00BC6C35"/>
    <w:rsid w:val="00C05BD7"/>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7D8CF"/>
  <w15:chartTrackingRefBased/>
  <w15:docId w15:val="{F7A8790A-06C7-4A30-98B8-76CDCB735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F7E"/>
    <w:pPr>
      <w:spacing w:line="259" w:lineRule="auto"/>
    </w:pPr>
    <w:rPr>
      <w:kern w:val="0"/>
      <w:sz w:val="22"/>
      <w:szCs w:val="22"/>
      <w14:ligatures w14:val="none"/>
    </w:rPr>
  </w:style>
  <w:style w:type="paragraph" w:styleId="Heading1">
    <w:name w:val="heading 1"/>
    <w:basedOn w:val="Normal"/>
    <w:next w:val="Normal"/>
    <w:link w:val="Heading1Char"/>
    <w:uiPriority w:val="9"/>
    <w:qFormat/>
    <w:rsid w:val="008A3F7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A3F7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A3F7E"/>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A3F7E"/>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A3F7E"/>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A3F7E"/>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A3F7E"/>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A3F7E"/>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A3F7E"/>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F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F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F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F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F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F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F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F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F7E"/>
    <w:rPr>
      <w:rFonts w:eastAsiaTheme="majorEastAsia" w:cstheme="majorBidi"/>
      <w:color w:val="272727" w:themeColor="text1" w:themeTint="D8"/>
    </w:rPr>
  </w:style>
  <w:style w:type="paragraph" w:styleId="Title">
    <w:name w:val="Title"/>
    <w:basedOn w:val="Normal"/>
    <w:next w:val="Normal"/>
    <w:link w:val="TitleChar"/>
    <w:uiPriority w:val="10"/>
    <w:qFormat/>
    <w:rsid w:val="008A3F7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A3F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F7E"/>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A3F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F7E"/>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A3F7E"/>
    <w:rPr>
      <w:i/>
      <w:iCs/>
      <w:color w:val="404040" w:themeColor="text1" w:themeTint="BF"/>
    </w:rPr>
  </w:style>
  <w:style w:type="paragraph" w:styleId="ListParagraph">
    <w:name w:val="List Paragraph"/>
    <w:basedOn w:val="Normal"/>
    <w:uiPriority w:val="34"/>
    <w:qFormat/>
    <w:rsid w:val="008A3F7E"/>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A3F7E"/>
    <w:rPr>
      <w:i/>
      <w:iCs/>
      <w:color w:val="0F4761" w:themeColor="accent1" w:themeShade="BF"/>
    </w:rPr>
  </w:style>
  <w:style w:type="paragraph" w:styleId="IntenseQuote">
    <w:name w:val="Intense Quote"/>
    <w:basedOn w:val="Normal"/>
    <w:next w:val="Normal"/>
    <w:link w:val="IntenseQuoteChar"/>
    <w:uiPriority w:val="30"/>
    <w:qFormat/>
    <w:rsid w:val="008A3F7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A3F7E"/>
    <w:rPr>
      <w:i/>
      <w:iCs/>
      <w:color w:val="0F4761" w:themeColor="accent1" w:themeShade="BF"/>
    </w:rPr>
  </w:style>
  <w:style w:type="character" w:styleId="IntenseReference">
    <w:name w:val="Intense Reference"/>
    <w:basedOn w:val="DefaultParagraphFont"/>
    <w:uiPriority w:val="32"/>
    <w:qFormat/>
    <w:rsid w:val="008A3F7E"/>
    <w:rPr>
      <w:b/>
      <w:bCs/>
      <w:smallCaps/>
      <w:color w:val="0F4761" w:themeColor="accent1" w:themeShade="BF"/>
      <w:spacing w:val="5"/>
    </w:rPr>
  </w:style>
  <w:style w:type="character" w:styleId="Hyperlink">
    <w:name w:val="Hyperlink"/>
    <w:basedOn w:val="DefaultParagraphFont"/>
    <w:uiPriority w:val="99"/>
    <w:unhideWhenUsed/>
    <w:rsid w:val="008A3F7E"/>
    <w:rPr>
      <w:color w:val="467886" w:themeColor="hyperlink"/>
      <w:u w:val="single"/>
    </w:rPr>
  </w:style>
  <w:style w:type="paragraph" w:customStyle="1" w:styleId="SMcaption">
    <w:name w:val="SM caption"/>
    <w:basedOn w:val="Normal"/>
    <w:qFormat/>
    <w:rsid w:val="008A3F7E"/>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2038</Words>
  <Characters>11622</Characters>
  <Application>Microsoft Office Word</Application>
  <DocSecurity>0</DocSecurity>
  <Lines>96</Lines>
  <Paragraphs>27</Paragraphs>
  <ScaleCrop>false</ScaleCrop>
  <Company>Springer Nature</Company>
  <LinksUpToDate>false</LinksUpToDate>
  <CharactersWithSpaces>13633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2025-07-25T04:35:00Z</dcterms:created>
  <dcterms:modified xsi:type="dcterms:W3CDTF">2025-07-25T04:36:00Z</dcterms:modified>
</cp:coreProperties>
</file>