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bookmarkStart w:id="0" w:name="OLE_LINK20"/>
      <w:r>
        <w:rPr>
          <w:rFonts w:hint="eastAsia"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Association between pre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operative serum uric acid</w:t>
      </w:r>
      <w:r>
        <w:rPr>
          <w:rFonts w:hint="eastAsia"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and postoperative outcomes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in children </w:t>
      </w:r>
      <w:r>
        <w:rPr>
          <w:rFonts w:hint="eastAsia"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with congenital cardiac surgery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: a retrospective propensity </w:t>
      </w:r>
      <w:r>
        <w:rPr>
          <w:rFonts w:hint="eastAsia"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score-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matched cohort study</w:t>
      </w:r>
    </w:p>
    <w:bookmarkEnd w:id="0"/>
    <w:p>
      <w:pPr>
        <w:spacing w:line="360" w:lineRule="auto"/>
        <w:rPr>
          <w:rFonts w:hint="default" w:ascii="Times New Roman" w:hAnsi="Times New Roman" w:cs="Times New Roman" w:eastAsiaTheme="minorEastAsia"/>
          <w:bCs/>
          <w:color w:val="000000" w:themeColor="text1"/>
          <w:sz w:val="20"/>
          <w:szCs w:val="20"/>
          <w:vertAlign w:val="superscript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Yong Zhang</w:t>
      </w:r>
      <w:r>
        <w:rPr>
          <w:rFonts w:hint="eastAsia" w:ascii="Times New Roman" w:hAnsi="Times New Roman" w:cs="Times New Roman"/>
          <w:bCs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, Lan</w:t>
      </w:r>
      <w:r>
        <w:rPr>
          <w:rFonts w:hint="eastAsia" w:ascii="Times New Roman" w:hAnsi="Times New Roman" w:cs="Times New Roman"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eastAsia" w:ascii="Times New Roman" w:hAnsi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in Li</w:t>
      </w:r>
      <w:r>
        <w:rPr>
          <w:rFonts w:hint="eastAsia" w:ascii="Times New Roman" w:hAnsi="Times New Roman" w:cs="Times New Roman"/>
          <w:bCs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>Liujia Mao</w:t>
      </w:r>
      <w:r>
        <w:rPr>
          <w:rFonts w:hint="eastAsia" w:ascii="Times New Roman" w:hAnsi="Times New Roman" w:eastAsia="宋体" w:cs="Times New Roman"/>
          <w:color w:val="000000"/>
          <w:sz w:val="20"/>
          <w:szCs w:val="20"/>
          <w:vertAlign w:val="superscript"/>
          <w:lang w:bidi="ar"/>
        </w:rPr>
        <w:t>3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>, Chongyang Duan</w:t>
      </w:r>
      <w:r>
        <w:rPr>
          <w:rFonts w:hint="eastAsia" w:ascii="Times New Roman" w:hAnsi="Times New Roman" w:eastAsia="宋体" w:cs="Times New Roman"/>
          <w:color w:val="000000"/>
          <w:sz w:val="20"/>
          <w:szCs w:val="20"/>
          <w:vertAlign w:val="superscript"/>
          <w:lang w:bidi="ar"/>
        </w:rPr>
        <w:t>4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 xml:space="preserve">, </w:t>
      </w:r>
      <w:r>
        <w:rPr>
          <w:rFonts w:hint="eastAsia" w:ascii="Times New Roman" w:hAnsi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Ying</w:t>
      </w:r>
      <w:r>
        <w:rPr>
          <w:rFonts w:hint="eastAsia" w:ascii="Times New Roman" w:hAnsi="Times New Roman" w:cs="Times New Roman"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j</w:t>
      </w:r>
      <w:r>
        <w:rPr>
          <w:rFonts w:hint="eastAsia" w:ascii="Times New Roman" w:hAnsi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un She</w:t>
      </w:r>
      <w:r>
        <w:rPr>
          <w:rFonts w:hint="eastAsia" w:ascii="Times New Roman" w:hAnsi="Times New Roman" w:cs="Times New Roman"/>
          <w:bCs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cs="Times New Roman"/>
          <w:bCs/>
          <w:color w:val="000000" w:themeColor="text1"/>
          <w:sz w:val="20"/>
          <w:szCs w:val="20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,*</w:t>
      </w:r>
    </w:p>
    <w:p>
      <w:pPr>
        <w:pStyle w:val="2"/>
        <w:spacing w:after="0" w:line="360" w:lineRule="auto"/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</w:pPr>
    </w:p>
    <w:p>
      <w:pPr>
        <w:pStyle w:val="2"/>
        <w:numPr>
          <w:ilvl w:val="0"/>
          <w:numId w:val="1"/>
        </w:numPr>
        <w:spacing w:after="0" w:line="360" w:lineRule="auto"/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</w:pPr>
      <w:r>
        <w:rPr>
          <w:rFonts w:hint="eastAsia" w:ascii="Times New Roman" w:hAnsi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Yong Zhang, MD. 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Department of 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>Anesthesiology and Perioperative Medicine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>Guangzhou Women and Children’s Medical Center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, Guangzhou Medical University,</w:t>
      </w:r>
      <w:r>
        <w:rPr>
          <w:rFonts w:hint="eastAsia" w:ascii="Times New Roman" w:hAnsi="Times New Roman" w:cs="Times New Roman"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>Guangzhou,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China.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 xml:space="preserve"> </w:t>
      </w:r>
    </w:p>
    <w:p>
      <w:pPr>
        <w:pStyle w:val="2"/>
        <w:numPr>
          <w:ilvl w:val="0"/>
          <w:numId w:val="1"/>
        </w:numPr>
        <w:spacing w:after="0" w:line="360" w:lineRule="auto"/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</w:pPr>
      <w:r>
        <w:rPr>
          <w:rFonts w:hint="eastAsia" w:ascii="Times New Roman" w:hAnsi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Lan</w:t>
      </w:r>
      <w:r>
        <w:rPr>
          <w:rFonts w:hint="eastAsia" w:ascii="Times New Roman" w:hAnsi="Times New Roman" w:cs="Times New Roman"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eastAsia" w:ascii="Times New Roman" w:hAnsi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in Li, MM. Department of 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>Anesthesiology and Perioperative Medicine</w:t>
      </w:r>
      <w:r>
        <w:rPr>
          <w:rFonts w:hint="eastAsia" w:ascii="Times New Roman" w:hAnsi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>Guangzhou Women and Children’s Medical Center</w:t>
      </w:r>
      <w:r>
        <w:rPr>
          <w:rFonts w:hint="eastAsia" w:ascii="Times New Roman" w:hAnsi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, Guangzhou Medical University,</w:t>
      </w:r>
      <w:r>
        <w:rPr>
          <w:rFonts w:hint="eastAsia" w:ascii="Times New Roman" w:hAnsi="Times New Roman" w:cs="Times New Roman"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>Guangzhou,</w:t>
      </w:r>
      <w:r>
        <w:rPr>
          <w:rFonts w:hint="eastAsia" w:ascii="Times New Roman" w:hAnsi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China.</w:t>
      </w:r>
    </w:p>
    <w:p>
      <w:pPr>
        <w:pStyle w:val="2"/>
        <w:numPr>
          <w:ilvl w:val="0"/>
          <w:numId w:val="1"/>
        </w:numPr>
        <w:spacing w:after="0" w:line="360" w:lineRule="auto"/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</w:pP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>Liujia Mao</w:t>
      </w:r>
      <w:r>
        <w:rPr>
          <w:rFonts w:hint="eastAsia" w:ascii="Times New Roman" w:hAnsi="Times New Roman" w:eastAsia="宋体" w:cs="Times New Roman"/>
          <w:color w:val="000000"/>
          <w:sz w:val="20"/>
          <w:szCs w:val="20"/>
          <w:lang w:bidi="ar"/>
        </w:rPr>
        <w:t xml:space="preserve">, MM. 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>State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 xml:space="preserve"> Key Laboratory of Organ Failure Research, 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>Department of Biostatistics, School of Public Health, Southern Medical University,</w:t>
      </w:r>
      <w:r>
        <w:rPr>
          <w:rFonts w:hint="eastAsia" w:ascii="Times New Roman" w:hAnsi="Times New Roman" w:eastAsia="宋体" w:cs="Times New Roman"/>
          <w:color w:val="000000"/>
          <w:sz w:val="20"/>
          <w:szCs w:val="20"/>
          <w:lang w:val="en-US" w:eastAsia="zh-CN"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>Guangzhou, China</w:t>
      </w:r>
      <w:r>
        <w:rPr>
          <w:rFonts w:hint="eastAsia" w:ascii="Times New Roman" w:hAnsi="Times New Roman" w:eastAsia="宋体" w:cs="Times New Roman"/>
          <w:color w:val="000000"/>
          <w:sz w:val="20"/>
          <w:szCs w:val="20"/>
          <w:lang w:bidi="ar"/>
        </w:rPr>
        <w:t>.</w:t>
      </w:r>
    </w:p>
    <w:p>
      <w:pPr>
        <w:pStyle w:val="2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>Chongyang Duan</w:t>
      </w:r>
      <w:r>
        <w:rPr>
          <w:rFonts w:hint="eastAsia" w:ascii="Times New Roman" w:hAnsi="Times New Roman" w:eastAsia="宋体" w:cs="Times New Roman"/>
          <w:color w:val="000000"/>
          <w:sz w:val="20"/>
          <w:szCs w:val="20"/>
          <w:lang w:bidi="ar"/>
        </w:rPr>
        <w:t xml:space="preserve">, PhD. 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>State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 xml:space="preserve"> Key Laboratory of Organ Failure Research, 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>Department of Biostatistics, School of Public Health, Southern Medical University, Guangzhou, China</w:t>
      </w:r>
      <w:r>
        <w:rPr>
          <w:rFonts w:hint="eastAsia" w:ascii="Times New Roman" w:hAnsi="Times New Roman" w:eastAsia="宋体" w:cs="Times New Roman"/>
          <w:color w:val="000000"/>
          <w:sz w:val="20"/>
          <w:szCs w:val="20"/>
          <w:lang w:bidi="ar"/>
        </w:rPr>
        <w:t>.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hint="eastAsia" w:ascii="Times New Roman" w:hAnsi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Ying</w:t>
      </w:r>
      <w:r>
        <w:rPr>
          <w:rFonts w:hint="eastAsia" w:ascii="Times New Roman" w:hAnsi="Times New Roman" w:cs="Times New Roman"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j</w:t>
      </w:r>
      <w:r>
        <w:rPr>
          <w:rFonts w:hint="eastAsia" w:ascii="Times New Roman" w:hAnsi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un She, MD. 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Department of 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>Anesthesiology and Perioperative Medicine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>Guangzhou Women and Children’s Medical Center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, Guangzhou Medical University, 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>Guangzhou,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China.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ascii="Times New Roman" w:hAnsi="Times New Roman" w:cs="Times New Roman"/>
          <w:color w:val="000000"/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</w:pP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>Yong Zhang, LX Li, and L Mao contributed equally to this work.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sz w:val="20"/>
          <w:szCs w:val="20"/>
          <w:lang w:val="en-US" w:eastAsia="zh-CN" w:bidi="ar"/>
        </w:rPr>
        <w:t>*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 xml:space="preserve">Correspondence </w:t>
      </w:r>
      <w:r>
        <w:rPr>
          <w:rFonts w:hint="eastAsia" w:ascii="Times New Roman" w:hAnsi="Times New Roman" w:eastAsia="宋体" w:cs="Times New Roman"/>
          <w:color w:val="000000"/>
          <w:sz w:val="20"/>
          <w:szCs w:val="20"/>
          <w:lang w:val="en-US" w:eastAsia="zh-CN" w:bidi="ar"/>
        </w:rPr>
        <w:t xml:space="preserve">author, E-mail 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 xml:space="preserve">to: yjsheh@yeah.net.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</w:p>
    <w:p>
      <w:pPr>
        <w:pStyle w:val="2"/>
      </w:pPr>
    </w:p>
    <w:p>
      <w:pPr>
        <w:pStyle w:val="2"/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bookmarkStart w:id="11" w:name="_GoBack"/>
      <w:bookmarkEnd w:id="11"/>
    </w:p>
    <w:p>
      <w:pPr>
        <w:pStyle w:val="2"/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ascii="Times New Roman" w:hAnsi="Times New Roman" w:cs="Times New Roman"/>
          <w:sz w:val="20"/>
          <w:szCs w:val="20"/>
        </w:rPr>
      </w:pPr>
    </w:p>
    <w:p>
      <w:pPr>
        <w:pStyle w:val="2"/>
        <w:rPr>
          <w:rFonts w:ascii="Times New Roman" w:hAnsi="Times New Roman" w:cs="Times New Roman"/>
          <w:b/>
          <w:bCs/>
          <w:color w:val="0000FF"/>
          <w:sz w:val="20"/>
          <w:szCs w:val="20"/>
        </w:rPr>
      </w:pPr>
    </w:p>
    <w:p>
      <w:pPr>
        <w:rPr>
          <w:rFonts w:ascii="Times New Roman" w:hAnsi="Times New Roman" w:eastAsia="宋体" w:cs="Times New Roman"/>
          <w:b/>
          <w:bCs/>
          <w:sz w:val="18"/>
          <w:szCs w:val="18"/>
        </w:rPr>
      </w:pPr>
      <w:r>
        <w:rPr>
          <w:rFonts w:ascii="Times New Roman" w:hAnsi="Times New Roman" w:eastAsia="宋体" w:cs="Times New Roman"/>
          <w:b/>
          <w:bCs/>
          <w:sz w:val="18"/>
          <w:szCs w:val="18"/>
        </w:rPr>
        <w:br w:type="page"/>
      </w:r>
    </w:p>
    <w:p>
      <w:pPr>
        <w:widowControl/>
        <w:spacing w:line="360" w:lineRule="auto"/>
        <w:jc w:val="left"/>
        <w:rPr>
          <w:rFonts w:ascii="Times New Roman" w:hAnsi="Times New Roman" w:eastAsia="宋体" w:cs="Times New Roman"/>
          <w:b/>
          <w:bCs/>
          <w:sz w:val="18"/>
          <w:szCs w:val="18"/>
          <w:highlight w:val="yellow"/>
        </w:rPr>
      </w:pPr>
      <w:r>
        <w:rPr>
          <w:rFonts w:ascii="Times New Roman" w:hAnsi="Times New Roman" w:eastAsia="宋体" w:cs="Times New Roman"/>
          <w:b/>
          <w:bCs/>
          <w:sz w:val="18"/>
          <w:szCs w:val="18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 w:val="18"/>
          <w:szCs w:val="18"/>
        </w:rPr>
        <w:t>S</w:t>
      </w:r>
      <w:r>
        <w:rPr>
          <w:rFonts w:ascii="Times New Roman" w:hAnsi="Times New Roman" w:eastAsia="宋体" w:cs="Times New Roman"/>
          <w:b/>
          <w:bCs/>
          <w:sz w:val="18"/>
          <w:szCs w:val="18"/>
        </w:rPr>
        <w:t>1</w:t>
      </w:r>
      <w:r>
        <w:rPr>
          <w:rFonts w:hint="eastAsia" w:ascii="Times New Roman" w:hAnsi="Times New Roman" w:eastAsia="宋体" w:cs="Times New Roman"/>
          <w:b/>
          <w:bCs/>
          <w:sz w:val="18"/>
          <w:szCs w:val="18"/>
        </w:rPr>
        <w:t>.</w:t>
      </w:r>
      <w:r>
        <w:rPr>
          <w:rFonts w:ascii="Times New Roman" w:hAnsi="Times New Roman" w:eastAsia="宋体" w:cs="Times New Roman"/>
          <w:b/>
          <w:bCs/>
          <w:sz w:val="18"/>
          <w:szCs w:val="18"/>
        </w:rPr>
        <w:t xml:space="preserve">  </w:t>
      </w:r>
      <w:r>
        <w:rPr>
          <w:rFonts w:ascii="Times New Roman" w:hAnsi="Times New Roman" w:eastAsia="GuardianSans-Medium" w:cs="Times New Roman"/>
          <w:b/>
          <w:bCs/>
          <w:color w:val="231F20"/>
          <w:kern w:val="0"/>
          <w:sz w:val="18"/>
          <w:szCs w:val="18"/>
          <w:lang w:bidi="ar"/>
        </w:rPr>
        <w:t xml:space="preserve">Baseline characteristics of children before and after </w:t>
      </w:r>
      <w:r>
        <w:rPr>
          <w:rFonts w:ascii="Times New Roman" w:hAnsi="Times New Roman" w:eastAsia="宋体" w:cs="Times New Roman"/>
          <w:b/>
          <w:bCs/>
          <w:sz w:val="18"/>
          <w:szCs w:val="18"/>
        </w:rPr>
        <w:t>propensity score matching</w:t>
      </w:r>
    </w:p>
    <w:tbl>
      <w:tblPr>
        <w:tblStyle w:val="3"/>
        <w:tblW w:w="11156" w:type="dxa"/>
        <w:tblInd w:w="-1359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4"/>
        <w:gridCol w:w="1414"/>
        <w:gridCol w:w="1366"/>
        <w:gridCol w:w="1377"/>
        <w:gridCol w:w="675"/>
        <w:gridCol w:w="1414"/>
        <w:gridCol w:w="1420"/>
        <w:gridCol w:w="666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4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  <w:t>Characteristic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1414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  <w:t>Overall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6"/>
                <w:szCs w:val="16"/>
              </w:rPr>
              <w:t>(n=52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16"/>
                <w:szCs w:val="16"/>
              </w:rPr>
              <w:t>55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3418" w:type="dxa"/>
            <w:gridSpan w:val="3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ind w:firstLine="1124" w:firstLineChars="700"/>
              <w:jc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  <w:t>Unmatched data</w:t>
            </w:r>
          </w:p>
        </w:tc>
        <w:tc>
          <w:tcPr>
            <w:tcW w:w="3500" w:type="dxa"/>
            <w:gridSpan w:val="3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  <w:t>Matched data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4" w:type="dxa"/>
            <w:vMerge w:val="continue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414" w:type="dxa"/>
            <w:vMerge w:val="continue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  <w:t>Normal UA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6"/>
                <w:szCs w:val="16"/>
              </w:rPr>
              <w:t>(n=474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377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  <w:t>Abnormal UA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6"/>
                <w:szCs w:val="16"/>
              </w:rPr>
              <w:t>(n=5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16"/>
                <w:szCs w:val="16"/>
              </w:rPr>
              <w:t>13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675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6"/>
                <w:szCs w:val="16"/>
              </w:rPr>
              <w:t>P values</w:t>
            </w:r>
          </w:p>
        </w:tc>
        <w:tc>
          <w:tcPr>
            <w:tcW w:w="1414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  <w:t>Normal UA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6"/>
                <w:szCs w:val="16"/>
              </w:rPr>
              <w:t>(n=1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16"/>
                <w:szCs w:val="16"/>
              </w:rPr>
              <w:t>209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0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  <w:t>Abnormal UA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16"/>
                <w:szCs w:val="16"/>
              </w:rPr>
              <w:t>(n=4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16"/>
                <w:szCs w:val="16"/>
              </w:rPr>
              <w:t>03</w:t>
            </w:r>
            <w:r>
              <w:rPr>
                <w:rFonts w:ascii="Times New Roman" w:hAnsi="Times New Roman" w:eastAsia="宋体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666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 w:val="16"/>
                <w:szCs w:val="16"/>
              </w:rPr>
              <w:t>P values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24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Age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month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), median (Q1-Q3)</w:t>
            </w:r>
          </w:p>
        </w:tc>
        <w:tc>
          <w:tcPr>
            <w:tcW w:w="1414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6 (2, 19)</w:t>
            </w:r>
          </w:p>
        </w:tc>
        <w:tc>
          <w:tcPr>
            <w:tcW w:w="1366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6 (2, 17)</w:t>
            </w:r>
          </w:p>
        </w:tc>
        <w:tc>
          <w:tcPr>
            <w:tcW w:w="1377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13 (2, 62)</w:t>
            </w:r>
          </w:p>
        </w:tc>
        <w:tc>
          <w:tcPr>
            <w:tcW w:w="675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14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10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(2,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44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0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10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(2, 4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6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0.406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Weight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kg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), median (Q1-Q3)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6.2 (4.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, 9.6)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6.1 (4.3, 9.2)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7.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(4.5, 15.3)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7.2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(4.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, 1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3.3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7.1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(4.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, 1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3.1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0.933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Height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cm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), median (Q1-Q3)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65 (56, 80)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65 (56, 78)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(57, 10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70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(5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, 9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(5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, 9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0.905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1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Sex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160" w:firstLineChars="100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Female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16"/>
                <w:szCs w:val="16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236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(44.9)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21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55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(45.4)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07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(40.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25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(4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.4)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73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(4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2.9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0.862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160" w:firstLineChars="100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Male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16"/>
                <w:szCs w:val="16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893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(55.1)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25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87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(54.6)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06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(59.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684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56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.6)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30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(5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7.1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1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American Society of Anesthesiologists class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160" w:firstLineChars="100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1-2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16"/>
                <w:szCs w:val="16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296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(43.7)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215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(45.4)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14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(28.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53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9.2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27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31.5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0.667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160" w:firstLineChars="100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16"/>
                <w:szCs w:val="16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28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55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(54.3)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252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(53.2)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33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(64.9)</w:t>
            </w:r>
          </w:p>
        </w:tc>
        <w:tc>
          <w:tcPr>
            <w:tcW w:w="6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812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(67.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61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(6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4.8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160" w:firstLineChars="100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4-5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16"/>
                <w:szCs w:val="16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104 (2.0)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68 (1.4)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36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7.0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44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(3.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15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3.7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1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Anesthesia types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160" w:firstLineChars="100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General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16"/>
                <w:szCs w:val="16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52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00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(99.0)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469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(98.9)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08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(99.0)</w:t>
            </w:r>
          </w:p>
        </w:tc>
        <w:tc>
          <w:tcPr>
            <w:tcW w:w="6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1.000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198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(99.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399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(99.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0.881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160" w:firstLineChars="100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General + regional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16"/>
                <w:szCs w:val="16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55 (1.0)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50 (1.1)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5 (1.0)</w:t>
            </w:r>
          </w:p>
        </w:tc>
        <w:tc>
          <w:tcPr>
            <w:tcW w:w="67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11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4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1.0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1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Preoperative levels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 Hemoglobin (g/L), median (Q1-Q3)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116 (103, 129)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115 (103, 128)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122 (106, 144)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124 (110, 138)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120 (104, 139)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0.407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 WBC (10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vertAlign w:val="superscript"/>
              </w:rPr>
              <w:t>9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/L), median (Q1-Q3)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9.45 (7.71, 11.89)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9.46 (7.75, 11.86)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9.31 (7.39, 12.46)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9.33 (7.57, 12.26)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9.53 (7.56, 12.21)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0.754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 Platelet (10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vertAlign w:val="superscript"/>
              </w:rPr>
              <w:t>9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/L), median (Q1-Q3)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343 (272, 422)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349 (278 ,426)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283 (214, 370)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305 (242, 384)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301 (228, 396)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0.835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 Albumin (g/L), median (Q1-Q3)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41.8 (38.3, 44.6 )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41.9 (38.5, 44.6)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41.1 (35.9, 44.5)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41.6 (36.8, 44.4)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41.6 (36.8, 44.7)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0.791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160" w:firstLineChars="100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Globulin (g/L), median (Q1-Q3)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21.4 (17.8, 25.2 )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21.2 (17.8, 24.9)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23.4 (18.5, 28.5)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23.0 (18.5, 27.2)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23.1 (18.8, 28.2)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0.584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160" w:firstLineChars="100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hs-CRP (mg/L), median (Q1-Q3)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0.5 (0.2, 2.43)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0.44 (0.20, 2.20)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1.15 (0.32, 4.43)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0.70 (0.20, 3.40)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1.06 (0.30, 4.06)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0.448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160" w:firstLineChars="100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AST (U/L), median(Q1-Q3)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38 (30, 48)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38 (30, 47)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37 (29, 52)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35 (28, 47)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37 (30, 49)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0.377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160" w:firstLineChars="100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ALT (U/L), median(Q1-Q3)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20 (14, 29)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20 (14, 30)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18 (13, 27)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0.142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17 (12, 26)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18 (13, 26)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0.557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160" w:firstLineChars="100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Creatinine (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μmol/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L), median (Q1-Q3)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23 (19, 30)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22 (18, 28)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33 (25, 48)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29 (21, 40)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31 (24, 39)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0.239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Anesthesia time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min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), median (Q1-Q3)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19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(155, 250)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190 (155, 245)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30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(170, 315)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15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(16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, 2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90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18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(168, 29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0.978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Surgical time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min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), median (Q1-Q3)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14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(11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, 19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145 (115, 192)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18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(125, 25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16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(12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, 23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170 (12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, 23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0.773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Use of sevoflurane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16"/>
                <w:szCs w:val="16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50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35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(95.8)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455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(96.0)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48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(93.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150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5.1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382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(94.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0.791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Use of propofol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16"/>
                <w:szCs w:val="16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50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32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(95.8)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45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47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(95.9)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85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(94.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186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152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(95.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385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5.5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0.838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Use of DEX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16"/>
                <w:szCs w:val="16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58 (1.1)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53 (1.1)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5 (1.0)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943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13 (1.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5 (1.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0.784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CPB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16"/>
                <w:szCs w:val="16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794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(91.2)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43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48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(91.7)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46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(86.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066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8.2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360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(8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9.3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0.529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1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Blood product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160" w:firstLineChars="100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Allogeneic R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B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C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, n (%)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47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(6.6)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28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(6.0)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(12.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15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(9.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(8.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0.519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160" w:firstLineChars="100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Plasma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, n (%)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349 (6.6)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258 (5.4)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91 (17.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7 (1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3.8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49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(12.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0.399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160" w:firstLineChars="100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Autoblood, n (%)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380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(72.3)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34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54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(72.8)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46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(67.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819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(67.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279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(6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9.2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0.579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160" w:firstLineChars="100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Platelet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transfusion, n (%)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55 (1.0)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42 (0.9)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13 (2.5)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(1.6)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1.5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0.907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Blood loss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(ml), median (Q1-Q3)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30 (20, 30)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30 (20, 30)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30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(20, 50)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30 (20,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40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30 (20, 35)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0.998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Urine output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(ml), median (Q1-Q3)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60 (20, 1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80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60 (20, 160)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100 (30, 450)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0 (25,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340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9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30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, 300)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0.655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Total infusion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(ml), median (Q1-Q3)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(50, 100)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50 (50, 100)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100 (50,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400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89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(50, 2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2 (50, 250)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0.315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24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ICU admission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16"/>
                <w:szCs w:val="16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414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51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27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(97.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4622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(97.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505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8.4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0.228</w:t>
            </w:r>
          </w:p>
        </w:tc>
        <w:tc>
          <w:tcPr>
            <w:tcW w:w="1414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183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7.8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395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 xml:space="preserve"> (98.</w:t>
            </w: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0.841</w:t>
            </w:r>
          </w:p>
        </w:tc>
      </w:tr>
    </w:tbl>
    <w:p>
      <w:pPr>
        <w:pStyle w:val="2"/>
        <w:rPr>
          <w:rFonts w:ascii="Times New Roman" w:hAnsi="Times New Roman" w:eastAsia="宋体" w:cs="Times New Roman"/>
          <w:sz w:val="18"/>
          <w:szCs w:val="18"/>
        </w:rPr>
      </w:pPr>
    </w:p>
    <w:p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 xml:space="preserve">Values presented are mean (SD) or median (inter-quartile range). </w:t>
      </w:r>
    </w:p>
    <w:p>
      <w:pPr>
        <w:spacing w:line="360" w:lineRule="auto"/>
        <w:rPr>
          <w:rFonts w:ascii="Times New Roman" w:hAnsi="Times New Roman" w:eastAsia="宋体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UA, uric acid; SMD, standard mean difference; WBC, white blood cell; hs-CRP, high sensitivity C-reaction protein; DEX, dexmedetomidine; CPB, cardiopulmonary bypass; RBC，red blood cell.</w:t>
      </w:r>
    </w:p>
    <w:p>
      <w:pPr>
        <w:pStyle w:val="2"/>
        <w:rPr>
          <w:rFonts w:ascii="Times New Roman" w:hAnsi="Times New Roman" w:eastAsia="宋体" w:cs="Times New Roman"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sz w:val="18"/>
          <w:szCs w:val="18"/>
        </w:rPr>
      </w:pPr>
    </w:p>
    <w:p>
      <w:pPr>
        <w:widowControl/>
        <w:spacing w:line="360" w:lineRule="auto"/>
        <w:jc w:val="left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widowControl/>
        <w:jc w:val="left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widowControl/>
        <w:jc w:val="left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widowControl/>
        <w:jc w:val="left"/>
      </w:pPr>
      <w:r>
        <w:rPr>
          <w:rFonts w:ascii="Times New Roman" w:hAnsi="Times New Roman" w:eastAsia="宋体" w:cs="Times New Roman"/>
          <w:b/>
          <w:bCs/>
          <w:sz w:val="18"/>
          <w:szCs w:val="18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 w:val="18"/>
          <w:szCs w:val="18"/>
        </w:rPr>
        <w:t>S2.</w:t>
      </w:r>
      <w:r>
        <w:rPr>
          <w:rFonts w:ascii="Times New Roman" w:hAnsi="Times New Roman" w:eastAsia="宋体" w:cs="Times New Roman"/>
          <w:b/>
          <w:bCs/>
          <w:sz w:val="18"/>
          <w:szCs w:val="18"/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  <w:color w:val="231F20"/>
          <w:kern w:val="0"/>
          <w:sz w:val="18"/>
          <w:szCs w:val="18"/>
          <w:lang w:bidi="ar"/>
        </w:rPr>
        <w:t>Sensitivity analysis and stratified analysis of postoperative 30-day all-cause mortality in the two groups in the unmatched cohort.</w:t>
      </w:r>
    </w:p>
    <w:tbl>
      <w:tblPr>
        <w:tblStyle w:val="4"/>
        <w:tblW w:w="9053" w:type="dxa"/>
        <w:tblInd w:w="-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1287"/>
        <w:gridCol w:w="1662"/>
        <w:gridCol w:w="738"/>
        <w:gridCol w:w="1650"/>
        <w:gridCol w:w="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909" w:type="dxa"/>
            <w:vMerge w:val="restart"/>
            <w:tcBorders>
              <w:top w:val="single" w:color="auto" w:sz="12" w:space="0"/>
              <w:left w:val="dotted" w:color="auto" w:sz="4" w:space="0"/>
              <w:right w:val="dotted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Outcomes in unmatched data</w:t>
            </w:r>
          </w:p>
        </w:tc>
        <w:tc>
          <w:tcPr>
            <w:tcW w:w="1287" w:type="dxa"/>
            <w:vMerge w:val="restart"/>
            <w:tcBorders>
              <w:top w:val="single" w:color="auto" w:sz="12" w:space="0"/>
              <w:left w:val="dotted" w:color="auto" w:sz="4" w:space="0"/>
              <w:right w:val="dotted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Death/Total</w:t>
            </w:r>
          </w:p>
        </w:tc>
        <w:tc>
          <w:tcPr>
            <w:tcW w:w="2400" w:type="dxa"/>
            <w:gridSpan w:val="2"/>
            <w:tcBorders>
              <w:top w:val="single" w:color="auto" w:sz="12" w:space="0"/>
              <w:left w:val="dotted" w:color="auto" w:sz="4" w:space="0"/>
              <w:right w:val="dotted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Univariable analysis</w:t>
            </w:r>
          </w:p>
        </w:tc>
        <w:tc>
          <w:tcPr>
            <w:tcW w:w="2457" w:type="dxa"/>
            <w:gridSpan w:val="2"/>
            <w:tcBorders>
              <w:top w:val="single" w:color="auto" w:sz="12" w:space="0"/>
              <w:left w:val="dotted" w:color="auto" w:sz="4" w:space="0"/>
              <w:right w:val="dotted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Multivariable analysis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09" w:type="dxa"/>
            <w:vMerge w:val="continue"/>
            <w:tcBorders>
              <w:left w:val="dotted" w:color="auto" w:sz="4" w:space="0"/>
              <w:right w:val="dotted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87" w:type="dxa"/>
            <w:vMerge w:val="continue"/>
            <w:tcBorders>
              <w:left w:val="dotted" w:color="auto" w:sz="4" w:space="0"/>
              <w:right w:val="dotted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62" w:type="dxa"/>
            <w:tcBorders>
              <w:left w:val="dotted" w:color="auto" w:sz="4" w:space="0"/>
              <w:bottom w:val="single" w:color="auto" w:sz="12" w:space="0"/>
              <w:right w:val="dotted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HR</w:t>
            </w:r>
            <w:r>
              <w:rPr>
                <w:rFonts w:hint="eastAsia"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(95%CI)</w:t>
            </w:r>
          </w:p>
        </w:tc>
        <w:tc>
          <w:tcPr>
            <w:tcW w:w="738" w:type="dxa"/>
            <w:tcBorders>
              <w:left w:val="dotted" w:color="auto" w:sz="4" w:space="0"/>
              <w:bottom w:val="single" w:color="auto" w:sz="12" w:space="0"/>
              <w:right w:val="dotted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P-value</w:t>
            </w:r>
          </w:p>
        </w:tc>
        <w:tc>
          <w:tcPr>
            <w:tcW w:w="1650" w:type="dxa"/>
            <w:tcBorders>
              <w:left w:val="dotted" w:color="auto" w:sz="4" w:space="0"/>
              <w:bottom w:val="single" w:color="auto" w:sz="12" w:space="0"/>
              <w:right w:val="dotted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HR</w:t>
            </w:r>
            <w:r>
              <w:rPr>
                <w:rFonts w:hint="eastAsia"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(95%CI)</w:t>
            </w:r>
          </w:p>
        </w:tc>
        <w:tc>
          <w:tcPr>
            <w:tcW w:w="807" w:type="dxa"/>
            <w:tcBorders>
              <w:left w:val="dotted" w:color="auto" w:sz="4" w:space="0"/>
              <w:bottom w:val="single" w:color="auto" w:sz="12" w:space="0"/>
              <w:right w:val="dotted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909" w:type="dxa"/>
            <w:tcBorders>
              <w:top w:val="single" w:color="auto" w:sz="12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bookmarkStart w:id="1" w:name="OLE_LINK3"/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Preoperative normal UA</w:t>
            </w:r>
            <w:bookmarkEnd w:id="1"/>
          </w:p>
        </w:tc>
        <w:tc>
          <w:tcPr>
            <w:tcW w:w="1287" w:type="dxa"/>
            <w:tcBorders>
              <w:top w:val="single" w:color="auto" w:sz="12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40/4742 (0.8%)</w:t>
            </w:r>
          </w:p>
        </w:tc>
        <w:tc>
          <w:tcPr>
            <w:tcW w:w="1662" w:type="dxa"/>
            <w:tcBorders>
              <w:top w:val="single" w:color="auto" w:sz="12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738" w:type="dxa"/>
            <w:tcBorders>
              <w:top w:val="single" w:color="auto" w:sz="12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650" w:type="dxa"/>
            <w:tcBorders>
              <w:top w:val="single" w:color="auto" w:sz="12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807" w:type="dxa"/>
            <w:tcBorders>
              <w:top w:val="single" w:color="auto" w:sz="12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3" w:type="dxa"/>
            <w:gridSpan w:val="6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Preoperative abnormal UA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9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 Preoperative UA 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</w:rPr>
              <w:t xml:space="preserve">&lt; </w:t>
            </w:r>
            <w:r>
              <w:rPr>
                <w:rFonts w:ascii="Times New Roman" w:hAnsi="Times New Roman" w:eastAsia="微软雅黑" w:cs="Times New Roman"/>
                <w:color w:val="000000"/>
                <w:sz w:val="16"/>
                <w:szCs w:val="16"/>
              </w:rPr>
              <w:t>90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μmol/L</w:t>
            </w:r>
          </w:p>
        </w:tc>
        <w:tc>
          <w:tcPr>
            <w:tcW w:w="128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3/36 (8.3%)</w:t>
            </w:r>
          </w:p>
        </w:tc>
        <w:tc>
          <w:tcPr>
            <w:tcW w:w="16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9.894 (3.061, 31.983)</w:t>
            </w:r>
          </w:p>
        </w:tc>
        <w:tc>
          <w:tcPr>
            <w:tcW w:w="73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6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2.950 (0.842-10.337)</w:t>
            </w:r>
          </w:p>
        </w:tc>
        <w:tc>
          <w:tcPr>
            <w:tcW w:w="8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0.091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9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>
            <w:pPr>
              <w:ind w:firstLine="160" w:firstLineChars="100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Preoperative UA </w:t>
            </w:r>
            <w:r>
              <w:rPr>
                <w:rFonts w:ascii="Times New Roman" w:hAnsi="Times New Roman" w:eastAsia="微软雅黑" w:cs="Times New Roman"/>
                <w:color w:val="000000"/>
                <w:sz w:val="16"/>
                <w:szCs w:val="16"/>
              </w:rPr>
              <w:t>&gt;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color w:val="000000"/>
                <w:sz w:val="16"/>
                <w:szCs w:val="16"/>
              </w:rPr>
              <w:t>420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μmol/L</w:t>
            </w:r>
          </w:p>
        </w:tc>
        <w:tc>
          <w:tcPr>
            <w:tcW w:w="128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28/477 (5.9%)</w:t>
            </w:r>
          </w:p>
        </w:tc>
        <w:tc>
          <w:tcPr>
            <w:tcW w:w="16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7.172 (4.425, 11.624)</w:t>
            </w:r>
          </w:p>
        </w:tc>
        <w:tc>
          <w:tcPr>
            <w:tcW w:w="73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6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4.933 (2.745-8.862)</w:t>
            </w:r>
          </w:p>
        </w:tc>
        <w:tc>
          <w:tcPr>
            <w:tcW w:w="8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9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Pre-normal UA + Post-normal UA </w:t>
            </w:r>
          </w:p>
        </w:tc>
        <w:tc>
          <w:tcPr>
            <w:tcW w:w="128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18/2674 (0.7%)</w:t>
            </w:r>
          </w:p>
        </w:tc>
        <w:tc>
          <w:tcPr>
            <w:tcW w:w="16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73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6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8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9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>
            <w:pPr>
              <w:ind w:firstLine="160" w:firstLineChars="10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Pre-abnormal UA + Post-abnormal UA </w:t>
            </w:r>
          </w:p>
        </w:tc>
        <w:tc>
          <w:tcPr>
            <w:tcW w:w="128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347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(6.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16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9.727 (5.217, 18.135)</w:t>
            </w:r>
          </w:p>
        </w:tc>
        <w:tc>
          <w:tcPr>
            <w:tcW w:w="73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6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6.376 (3.175-12.806)</w:t>
            </w:r>
          </w:p>
        </w:tc>
        <w:tc>
          <w:tcPr>
            <w:tcW w:w="8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9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ind w:firstLine="160" w:firstLineChars="10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Pre-abnormal UA + Post-normal UA </w:t>
            </w:r>
          </w:p>
        </w:tc>
        <w:tc>
          <w:tcPr>
            <w:tcW w:w="128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9/166 (5.4%)</w:t>
            </w:r>
          </w:p>
        </w:tc>
        <w:tc>
          <w:tcPr>
            <w:tcW w:w="16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8.231 (3.698, 18.320)</w:t>
            </w:r>
          </w:p>
        </w:tc>
        <w:tc>
          <w:tcPr>
            <w:tcW w:w="73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6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3.149 (1.328-7.468)</w:t>
            </w:r>
          </w:p>
        </w:tc>
        <w:tc>
          <w:tcPr>
            <w:tcW w:w="8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909" w:type="dxa"/>
            <w:tcBorders>
              <w:top w:val="dotted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</w:tcBorders>
            <w:vAlign w:val="center"/>
          </w:tcPr>
          <w:p>
            <w:pPr>
              <w:ind w:firstLine="160" w:firstLineChars="10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Pre-normal UA + Post-abnormal UA</w:t>
            </w:r>
          </w:p>
        </w:tc>
        <w:tc>
          <w:tcPr>
            <w:tcW w:w="1287" w:type="dxa"/>
            <w:tcBorders>
              <w:top w:val="dotted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22/2068 (1.1%)</w:t>
            </w:r>
          </w:p>
        </w:tc>
        <w:tc>
          <w:tcPr>
            <w:tcW w:w="1662" w:type="dxa"/>
            <w:tcBorders>
              <w:top w:val="dotted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1.583 (0.849, 2.951)</w:t>
            </w:r>
          </w:p>
        </w:tc>
        <w:tc>
          <w:tcPr>
            <w:tcW w:w="738" w:type="dxa"/>
            <w:tcBorders>
              <w:top w:val="dotted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0.148</w:t>
            </w:r>
          </w:p>
        </w:tc>
        <w:tc>
          <w:tcPr>
            <w:tcW w:w="1650" w:type="dxa"/>
            <w:tcBorders>
              <w:top w:val="dotted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1.207 (0.633-2.304)</w:t>
            </w:r>
          </w:p>
        </w:tc>
        <w:tc>
          <w:tcPr>
            <w:tcW w:w="807" w:type="dxa"/>
            <w:tcBorders>
              <w:top w:val="dotted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</w:tcBorders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0.568</w:t>
            </w:r>
          </w:p>
        </w:tc>
      </w:tr>
    </w:tbl>
    <w:p>
      <w:pPr>
        <w:spacing w:line="360" w:lineRule="auto"/>
        <w:rPr>
          <w:rFonts w:hint="eastAsia" w:ascii="Times New Roman" w:hAnsi="Times New Roman" w:cs="Times New Roman" w:eastAsiaTheme="minorEastAsia"/>
          <w:sz w:val="18"/>
          <w:szCs w:val="18"/>
          <w:highlight w:val="yellow"/>
          <w:lang w:eastAsia="zh-CN"/>
        </w:rPr>
      </w:pPr>
      <w:r>
        <w:rPr>
          <w:rFonts w:hint="eastAsia" w:ascii="Times New Roman" w:hAnsi="Times New Roman" w:cs="Times New Roman"/>
          <w:sz w:val="20"/>
          <w:szCs w:val="20"/>
        </w:rPr>
        <w:t xml:space="preserve">UA, uric acid; HR, 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hazard ratio</w:t>
      </w:r>
      <w:r>
        <w:rPr>
          <w:rFonts w:hint="eastAsia" w:ascii="Times New Roman" w:hAnsi="Times New Roman" w:cs="Times New Roman"/>
          <w:sz w:val="20"/>
          <w:szCs w:val="20"/>
        </w:rPr>
        <w:t>; CI, confidence interval; Pre-, preoperative; Post-, postoperative.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T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he model was adjusted for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age, gender, 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body mass index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, ASA class, surgical and anesthesia types, anesthesia time, surgical bleeding, urine output, 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total crystalloid and colloid input,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the use of propofol, sevoflurane and dexmedetomidine, allogeneic red blood cells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, plasma, autologous blood input volume,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CPB,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reoperative laboratory test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postoperative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ICU stays, postoperative ventilation time, postoperative AKI and liver injury.</w:t>
      </w:r>
    </w:p>
    <w:p>
      <w:pPr>
        <w:pStyle w:val="2"/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>
      <w:pPr>
        <w:pStyle w:val="2"/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pStyle w:val="2"/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pPr>
        <w:rPr>
          <w:rFonts w:ascii="Times New Roman" w:hAnsi="Times New Roman" w:eastAsia="宋体" w:cs="Times New Roman"/>
          <w:b/>
          <w:bCs/>
          <w:sz w:val="18"/>
          <w:szCs w:val="18"/>
        </w:rPr>
      </w:pPr>
    </w:p>
    <w:p>
      <w:r>
        <w:rPr>
          <w:rFonts w:ascii="Times New Roman" w:hAnsi="Times New Roman" w:eastAsia="宋体" w:cs="Times New Roman"/>
          <w:b/>
          <w:bCs/>
          <w:sz w:val="18"/>
          <w:szCs w:val="18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 w:val="18"/>
          <w:szCs w:val="18"/>
        </w:rPr>
        <w:t>S3</w:t>
      </w:r>
      <w:r>
        <w:rPr>
          <w:rFonts w:ascii="Times New Roman" w:hAnsi="Times New Roman" w:eastAsia="宋体" w:cs="Times New Roman"/>
          <w:b/>
          <w:bCs/>
          <w:sz w:val="18"/>
          <w:szCs w:val="18"/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  <w:color w:val="231F20"/>
          <w:kern w:val="0"/>
          <w:sz w:val="18"/>
          <w:szCs w:val="18"/>
          <w:lang w:bidi="ar"/>
        </w:rPr>
        <w:t>Sensitivity analysis and stratified analysis of postoperative 30-day all-cause mortality in the two groups in the matched cohort</w:t>
      </w:r>
    </w:p>
    <w:tbl>
      <w:tblPr>
        <w:tblStyle w:val="4"/>
        <w:tblW w:w="9053" w:type="dxa"/>
        <w:tblInd w:w="-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1230"/>
        <w:gridCol w:w="1719"/>
        <w:gridCol w:w="738"/>
        <w:gridCol w:w="1650"/>
        <w:gridCol w:w="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909" w:type="dxa"/>
            <w:vMerge w:val="restart"/>
            <w:tcBorders>
              <w:top w:val="single" w:color="auto" w:sz="12" w:space="0"/>
              <w:left w:val="dotted" w:color="auto" w:sz="4" w:space="0"/>
              <w:right w:val="dotted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Outcomes in unmatched data</w:t>
            </w:r>
          </w:p>
        </w:tc>
        <w:tc>
          <w:tcPr>
            <w:tcW w:w="1230" w:type="dxa"/>
            <w:vMerge w:val="restart"/>
            <w:tcBorders>
              <w:top w:val="single" w:color="auto" w:sz="12" w:space="0"/>
              <w:left w:val="dotted" w:color="auto" w:sz="4" w:space="0"/>
              <w:right w:val="dotted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Death/Total</w:t>
            </w:r>
          </w:p>
        </w:tc>
        <w:tc>
          <w:tcPr>
            <w:tcW w:w="2457" w:type="dxa"/>
            <w:gridSpan w:val="2"/>
            <w:tcBorders>
              <w:top w:val="single" w:color="auto" w:sz="12" w:space="0"/>
              <w:left w:val="dotted" w:color="auto" w:sz="4" w:space="0"/>
              <w:right w:val="dotted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Univariable analysis</w:t>
            </w:r>
          </w:p>
        </w:tc>
        <w:tc>
          <w:tcPr>
            <w:tcW w:w="2457" w:type="dxa"/>
            <w:gridSpan w:val="2"/>
            <w:tcBorders>
              <w:top w:val="single" w:color="auto" w:sz="12" w:space="0"/>
              <w:left w:val="dotted" w:color="auto" w:sz="4" w:space="0"/>
              <w:right w:val="dotted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Multivariable analysis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09" w:type="dxa"/>
            <w:vMerge w:val="continue"/>
            <w:tcBorders>
              <w:left w:val="dotted" w:color="auto" w:sz="4" w:space="0"/>
              <w:bottom w:val="single" w:color="auto" w:sz="12" w:space="0"/>
              <w:right w:val="dotted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30" w:type="dxa"/>
            <w:vMerge w:val="continue"/>
            <w:tcBorders>
              <w:left w:val="dotted" w:color="auto" w:sz="4" w:space="0"/>
              <w:bottom w:val="single" w:color="auto" w:sz="12" w:space="0"/>
              <w:right w:val="dotted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19" w:type="dxa"/>
            <w:tcBorders>
              <w:left w:val="dotted" w:color="auto" w:sz="4" w:space="0"/>
              <w:bottom w:val="single" w:color="auto" w:sz="12" w:space="0"/>
              <w:right w:val="dotted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HR(95%CI)</w:t>
            </w:r>
          </w:p>
        </w:tc>
        <w:tc>
          <w:tcPr>
            <w:tcW w:w="738" w:type="dxa"/>
            <w:tcBorders>
              <w:left w:val="dotted" w:color="auto" w:sz="4" w:space="0"/>
              <w:bottom w:val="single" w:color="auto" w:sz="12" w:space="0"/>
              <w:right w:val="dotted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P-value</w:t>
            </w:r>
          </w:p>
        </w:tc>
        <w:tc>
          <w:tcPr>
            <w:tcW w:w="1650" w:type="dxa"/>
            <w:tcBorders>
              <w:left w:val="dotted" w:color="auto" w:sz="4" w:space="0"/>
              <w:bottom w:val="single" w:color="auto" w:sz="12" w:space="0"/>
              <w:right w:val="dotted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HR(95%CI)</w:t>
            </w:r>
          </w:p>
        </w:tc>
        <w:tc>
          <w:tcPr>
            <w:tcW w:w="807" w:type="dxa"/>
            <w:tcBorders>
              <w:left w:val="dotted" w:color="auto" w:sz="4" w:space="0"/>
              <w:bottom w:val="single" w:color="auto" w:sz="12" w:space="0"/>
              <w:right w:val="dotted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909" w:type="dxa"/>
            <w:tcBorders>
              <w:top w:val="single" w:color="auto" w:sz="12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bookmarkStart w:id="2" w:name="OLE_LINK4"/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Preoperative normal UA</w:t>
            </w:r>
            <w:bookmarkEnd w:id="2"/>
          </w:p>
        </w:tc>
        <w:tc>
          <w:tcPr>
            <w:tcW w:w="1230" w:type="dxa"/>
            <w:tcBorders>
              <w:top w:val="single" w:color="auto" w:sz="12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16/1209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(1.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1719" w:type="dxa"/>
            <w:tcBorders>
              <w:top w:val="single" w:color="auto" w:sz="12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738" w:type="dxa"/>
            <w:tcBorders>
              <w:top w:val="single" w:color="auto" w:sz="12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650" w:type="dxa"/>
            <w:tcBorders>
              <w:top w:val="single" w:color="auto" w:sz="12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807" w:type="dxa"/>
            <w:tcBorders>
              <w:top w:val="single" w:color="auto" w:sz="12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053" w:type="dxa"/>
            <w:gridSpan w:val="6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Preoperative abnormal UA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9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  Preoperative UA </w:t>
            </w:r>
            <w:bookmarkStart w:id="3" w:name="OLE_LINK1"/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</w:rPr>
              <w:t>&lt;</w:t>
            </w:r>
            <w:bookmarkEnd w:id="3"/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color w:val="000000"/>
                <w:sz w:val="16"/>
                <w:szCs w:val="16"/>
              </w:rPr>
              <w:t>90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μmol/L</w:t>
            </w:r>
          </w:p>
        </w:tc>
        <w:tc>
          <w:tcPr>
            <w:tcW w:w="123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3/35 (8.5%)</w:t>
            </w:r>
          </w:p>
        </w:tc>
        <w:tc>
          <w:tcPr>
            <w:tcW w:w="17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6.470 (1.885-22.206)</w:t>
            </w:r>
          </w:p>
        </w:tc>
        <w:tc>
          <w:tcPr>
            <w:tcW w:w="73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16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3.716 (0.958-14.418)</w:t>
            </w:r>
          </w:p>
        </w:tc>
        <w:tc>
          <w:tcPr>
            <w:tcW w:w="8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0.058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9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>
            <w:pPr>
              <w:ind w:firstLine="160" w:firstLineChars="100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Preoperative UA </w:t>
            </w:r>
            <w:r>
              <w:rPr>
                <w:rFonts w:ascii="Times New Roman" w:hAnsi="Times New Roman" w:eastAsia="微软雅黑" w:cs="Times New Roman"/>
                <w:color w:val="000000"/>
                <w:sz w:val="16"/>
                <w:szCs w:val="16"/>
              </w:rPr>
              <w:t>&gt;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color w:val="000000"/>
                <w:sz w:val="16"/>
                <w:szCs w:val="16"/>
              </w:rPr>
              <w:t>420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μmol/L</w:t>
            </w:r>
          </w:p>
        </w:tc>
        <w:tc>
          <w:tcPr>
            <w:tcW w:w="123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17/368 (4.6%)</w:t>
            </w:r>
          </w:p>
        </w:tc>
        <w:tc>
          <w:tcPr>
            <w:tcW w:w="17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3.564 (1.801-7.053)</w:t>
            </w:r>
          </w:p>
        </w:tc>
        <w:tc>
          <w:tcPr>
            <w:tcW w:w="73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6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5.504 (2.619-11.569)</w:t>
            </w:r>
          </w:p>
        </w:tc>
        <w:tc>
          <w:tcPr>
            <w:tcW w:w="8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9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Pre-normal UA + Post-normal UA </w:t>
            </w:r>
          </w:p>
        </w:tc>
        <w:tc>
          <w:tcPr>
            <w:tcW w:w="123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8/713 (1.1%)</w:t>
            </w:r>
          </w:p>
        </w:tc>
        <w:tc>
          <w:tcPr>
            <w:tcW w:w="17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73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6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8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9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>
            <w:pPr>
              <w:ind w:firstLine="160" w:firstLineChars="10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Pre-abnormal UA + Post-abnormal UA </w:t>
            </w:r>
          </w:p>
        </w:tc>
        <w:tc>
          <w:tcPr>
            <w:tcW w:w="123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268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5.6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  <w:tc>
          <w:tcPr>
            <w:tcW w:w="17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5.117 (2.170-12.070)</w:t>
            </w:r>
          </w:p>
        </w:tc>
        <w:tc>
          <w:tcPr>
            <w:tcW w:w="73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6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8.710 (3.383-22.424)</w:t>
            </w:r>
          </w:p>
        </w:tc>
        <w:tc>
          <w:tcPr>
            <w:tcW w:w="8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9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  <w:vAlign w:val="center"/>
          </w:tcPr>
          <w:p>
            <w:pPr>
              <w:ind w:firstLine="160" w:firstLineChars="10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 xml:space="preserve">Pre-abnormal UA + Post-normal UA </w:t>
            </w:r>
          </w:p>
        </w:tc>
        <w:tc>
          <w:tcPr>
            <w:tcW w:w="123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5/135 (3.7%)</w:t>
            </w:r>
          </w:p>
        </w:tc>
        <w:tc>
          <w:tcPr>
            <w:tcW w:w="17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3.345  (1.094-10.225)</w:t>
            </w:r>
          </w:p>
        </w:tc>
        <w:tc>
          <w:tcPr>
            <w:tcW w:w="73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0.034</w:t>
            </w:r>
          </w:p>
        </w:tc>
        <w:tc>
          <w:tcPr>
            <w:tcW w:w="165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3.051 (0.975-9.551)</w:t>
            </w:r>
          </w:p>
        </w:tc>
        <w:tc>
          <w:tcPr>
            <w:tcW w:w="8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0.055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909" w:type="dxa"/>
            <w:tcBorders>
              <w:top w:val="dotted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</w:tcBorders>
            <w:shd w:val="clear" w:color="auto" w:fill="auto"/>
            <w:vAlign w:val="center"/>
          </w:tcPr>
          <w:p>
            <w:pPr>
              <w:ind w:firstLine="160" w:firstLineChars="10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</w:rPr>
              <w:t>Pre-normal UA + Post-abnormal UA</w:t>
            </w:r>
          </w:p>
        </w:tc>
        <w:tc>
          <w:tcPr>
            <w:tcW w:w="1230" w:type="dxa"/>
            <w:tcBorders>
              <w:top w:val="dotted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8/496 (1.6%)</w:t>
            </w:r>
          </w:p>
        </w:tc>
        <w:tc>
          <w:tcPr>
            <w:tcW w:w="1719" w:type="dxa"/>
            <w:tcBorders>
              <w:top w:val="dotted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1.447(0.543-3.854)</w:t>
            </w:r>
          </w:p>
        </w:tc>
        <w:tc>
          <w:tcPr>
            <w:tcW w:w="738" w:type="dxa"/>
            <w:tcBorders>
              <w:top w:val="dotted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0.460</w:t>
            </w:r>
          </w:p>
        </w:tc>
        <w:tc>
          <w:tcPr>
            <w:tcW w:w="1650" w:type="dxa"/>
            <w:tcBorders>
              <w:top w:val="dotted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1.297 (0.464-3.625)</w:t>
            </w:r>
          </w:p>
        </w:tc>
        <w:tc>
          <w:tcPr>
            <w:tcW w:w="807" w:type="dxa"/>
            <w:tcBorders>
              <w:top w:val="dotted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0.620</w:t>
            </w:r>
          </w:p>
        </w:tc>
      </w:tr>
    </w:tbl>
    <w:p>
      <w:pPr>
        <w:spacing w:line="360" w:lineRule="auto"/>
        <w:rPr>
          <w:rFonts w:hint="eastAsia" w:ascii="Times New Roman" w:hAnsi="Times New Roman" w:cs="Times New Roman" w:eastAsiaTheme="minorEastAsia"/>
          <w:sz w:val="18"/>
          <w:szCs w:val="18"/>
          <w:highlight w:val="yellow"/>
          <w:lang w:eastAsia="zh-CN"/>
        </w:rPr>
      </w:pPr>
      <w:r>
        <w:rPr>
          <w:rFonts w:hint="eastAsia" w:ascii="Times New Roman" w:hAnsi="Times New Roman" w:cs="Times New Roman"/>
          <w:sz w:val="20"/>
          <w:szCs w:val="20"/>
        </w:rPr>
        <w:t xml:space="preserve">UA, uric acid; HR, 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hazard ratio</w:t>
      </w:r>
      <w:r>
        <w:rPr>
          <w:rFonts w:hint="eastAsia" w:ascii="Times New Roman" w:hAnsi="Times New Roman" w:cs="Times New Roman"/>
          <w:sz w:val="20"/>
          <w:szCs w:val="20"/>
        </w:rPr>
        <w:t>; CI, confidence interval; Pre-, preoperative; Post-, postoperative.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T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he model was adjusted for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age, gender, 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body mass index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, ASA class, surgical and anesthesia types, anesthesia time, surgical bleeding, urine output, 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total crystalloid and colloid input,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the use of propofol, sevoflurane and dexmedetomidine, allogeneic red blood cells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, plasma, autologous blood input volume,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CPB,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reoperative laboratory test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postoperative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ICU stays, postoperative ventilation time, postoperative AKI and liver injury.</w:t>
      </w:r>
    </w:p>
    <w:p>
      <w:pPr>
        <w:spacing w:line="360" w:lineRule="auto"/>
        <w:rPr>
          <w:rFonts w:hint="eastAsia" w:ascii="Times New Roman" w:hAnsi="Times New Roman" w:cs="Times New Roman" w:eastAsiaTheme="minorEastAsia"/>
          <w:sz w:val="20"/>
          <w:szCs w:val="20"/>
          <w:lang w:val="en-US" w:eastAsia="zh-CN"/>
        </w:rPr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  <w:r>
        <w:rPr>
          <w:rFonts w:hint="eastAsia"/>
        </w:rPr>
        <w:drawing>
          <wp:inline distT="0" distB="0" distL="114300" distR="114300">
            <wp:extent cx="4319905" cy="6480175"/>
            <wp:effectExtent l="0" t="0" r="8255" b="12065"/>
            <wp:docPr id="2" name="图片 2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648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="Times New Roman" w:hAnsi="Times New Roman" w:cs="Times New Roman"/>
          <w:sz w:val="20"/>
          <w:szCs w:val="20"/>
        </w:rPr>
      </w:pPr>
      <w:bookmarkStart w:id="4" w:name="OLE_LINK2"/>
      <w:r>
        <w:rPr>
          <w:rFonts w:ascii="Times New Roman" w:hAnsi="Times New Roman" w:cs="Times New Roman"/>
          <w:b/>
          <w:bCs/>
          <w:sz w:val="20"/>
          <w:szCs w:val="20"/>
        </w:rPr>
        <w:t xml:space="preserve">Figure S1. </w:t>
      </w:r>
      <w:bookmarkStart w:id="5" w:name="OLE_LINK8"/>
      <w:bookmarkStart w:id="6" w:name="OLE_LINK9"/>
      <w:r>
        <w:rPr>
          <w:rFonts w:ascii="Times New Roman" w:hAnsi="Times New Roman" w:cs="Times New Roman"/>
          <w:b/>
          <w:bCs/>
          <w:sz w:val="20"/>
          <w:szCs w:val="20"/>
        </w:rPr>
        <w:t xml:space="preserve">Variance inflation factor (VIF) </w:t>
      </w:r>
      <w:bookmarkEnd w:id="5"/>
      <w:r>
        <w:rPr>
          <w:rFonts w:ascii="Times New Roman" w:hAnsi="Times New Roman" w:cs="Times New Roman"/>
          <w:b/>
          <w:bCs/>
          <w:sz w:val="20"/>
          <w:szCs w:val="20"/>
        </w:rPr>
        <w:t>for variables.</w:t>
      </w:r>
      <w:bookmarkEnd w:id="6"/>
      <w:r>
        <w:rPr>
          <w:rFonts w:ascii="Times New Roman" w:hAnsi="Times New Roman" w:cs="Times New Roman"/>
          <w:sz w:val="20"/>
          <w:szCs w:val="20"/>
        </w:rPr>
        <w:t xml:space="preserve"> A: VIF for </w:t>
      </w:r>
      <w:bookmarkStart w:id="7" w:name="OLE_LINK7"/>
      <w:r>
        <w:rPr>
          <w:rFonts w:ascii="Times New Roman" w:hAnsi="Times New Roman" w:cs="Times New Roman"/>
          <w:sz w:val="20"/>
          <w:szCs w:val="20"/>
        </w:rPr>
        <w:t>variables</w:t>
      </w:r>
      <w:bookmarkEnd w:id="7"/>
      <w:r>
        <w:rPr>
          <w:rFonts w:ascii="Times New Roman" w:hAnsi="Times New Roman" w:cs="Times New Roman"/>
          <w:sz w:val="20"/>
          <w:szCs w:val="20"/>
        </w:rPr>
        <w:t xml:space="preserve"> in the original cohort. It showed that age, weight, height, anesthesia duration and surgery duration has a VIF more than 5, indicting potential multicollinearity. B &amp; C: Age, body mass index, and anesthesia duration were </w:t>
      </w:r>
      <w:bookmarkStart w:id="8" w:name="OLE_LINK11"/>
      <w:r>
        <w:rPr>
          <w:rFonts w:ascii="Times New Roman" w:hAnsi="Times New Roman" w:cs="Times New Roman"/>
          <w:sz w:val="20"/>
          <w:szCs w:val="20"/>
        </w:rPr>
        <w:t xml:space="preserve">incorporated as variables in the multivariate models for the five interrelated factors of age, weight, height, anesthesia duration and surgery suration. </w:t>
      </w:r>
      <w:bookmarkEnd w:id="8"/>
      <w:bookmarkStart w:id="9" w:name="OLE_LINK10"/>
      <w:r>
        <w:rPr>
          <w:rFonts w:ascii="Times New Roman" w:hAnsi="Times New Roman" w:cs="Times New Roman"/>
          <w:sz w:val="20"/>
          <w:szCs w:val="20"/>
        </w:rPr>
        <w:t>All variables has a VIF less than 5 both before (B) and after (C) PSM.</w:t>
      </w:r>
      <w:bookmarkEnd w:id="9"/>
      <w:r>
        <w:rPr>
          <w:rFonts w:ascii="Times New Roman" w:hAnsi="Times New Roman" w:cs="Times New Roman"/>
          <w:sz w:val="20"/>
          <w:szCs w:val="20"/>
        </w:rPr>
        <w:t xml:space="preserve"> </w:t>
      </w:r>
    </w:p>
    <w:bookmarkEnd w:id="4"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  <w:r>
        <w:drawing>
          <wp:inline distT="0" distB="0" distL="114300" distR="114300">
            <wp:extent cx="5265420" cy="5192395"/>
            <wp:effectExtent l="0" t="0" r="7620" b="4445"/>
            <wp:docPr id="1" name="图片 1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519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sz w:val="20"/>
          <w:szCs w:val="20"/>
        </w:rPr>
      </w:pPr>
      <w:bookmarkStart w:id="10" w:name="OLE_LINK6"/>
      <w:r>
        <w:rPr>
          <w:rFonts w:ascii="Times New Roman" w:hAnsi="Times New Roman" w:cs="Times New Roman"/>
          <w:b/>
          <w:bCs/>
          <w:sz w:val="20"/>
          <w:szCs w:val="20"/>
        </w:rPr>
        <w:t>Figure S2. Perioperative UA changes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in the two groups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A mixed-effects model was used to compare the trends in UA change between the two groups in the preoperative and postoperative 1 day of UA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cs="Times New Roman"/>
          <w:sz w:val="20"/>
          <w:szCs w:val="20"/>
        </w:rPr>
        <w:t xml:space="preserve">A-B: 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Perioperative changes in serum UA values and ratios in the abnormal and normal UA group.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The median value of preoperative and postoperative day 1 UA value were</w:t>
      </w:r>
      <w:r>
        <w:rPr>
          <w:rFonts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241</w:t>
      </w:r>
      <w:r>
        <w:rPr>
          <w:rFonts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399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μmol/L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respectively, with postoperative value being 1.662 times higher than preoperative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value 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in group N. And the median values were </w:t>
      </w:r>
      <w:r>
        <w:rPr>
          <w:rFonts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48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and 4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82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μmol/L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respectively, with postoperative value being 1.024 times higher than preoperative value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in group A. There was significant difference in both preoperative and postoperative day 1 UA levels between group A and group N. 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C-D: Perioperative changes in serum UA values and ratios in three groups of preoperative UA </w:t>
      </w:r>
      <w:r>
        <w:rPr>
          <w:rFonts w:hint="eastAsia" w:ascii="Times New Roman" w:hAnsi="Times New Roman" w:eastAsia="微软雅黑" w:cs="Times New Roman"/>
          <w:color w:val="000000"/>
          <w:sz w:val="20"/>
          <w:szCs w:val="20"/>
        </w:rPr>
        <w:t xml:space="preserve">&lt; </w:t>
      </w:r>
      <w:r>
        <w:rPr>
          <w:rFonts w:ascii="Times New Roman" w:hAnsi="Times New Roman" w:eastAsia="微软雅黑" w:cs="Times New Roman"/>
          <w:color w:val="000000"/>
          <w:sz w:val="20"/>
          <w:szCs w:val="20"/>
        </w:rPr>
        <w:t>90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μmol/L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eastAsia="宋体" w:cs="Times New Roman"/>
          <w:color w:val="000000"/>
          <w:sz w:val="20"/>
          <w:szCs w:val="20"/>
        </w:rPr>
        <w:t xml:space="preserve">UA </w:t>
      </w:r>
      <w:r>
        <w:rPr>
          <w:rFonts w:ascii="Times New Roman" w:hAnsi="Times New Roman" w:eastAsia="微软雅黑" w:cs="Times New Roman"/>
          <w:color w:val="000000"/>
          <w:sz w:val="20"/>
          <w:szCs w:val="20"/>
        </w:rPr>
        <w:t>&gt;</w:t>
      </w:r>
      <w:r>
        <w:rPr>
          <w:rFonts w:hint="eastAsia" w:ascii="Times New Roman" w:hAnsi="Times New Roman" w:eastAsia="微软雅黑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微软雅黑" w:cs="Times New Roman"/>
          <w:color w:val="000000"/>
          <w:sz w:val="20"/>
          <w:szCs w:val="20"/>
        </w:rPr>
        <w:t>420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μmol/L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and normal UA. While in preoperative UA </w:t>
      </w:r>
      <w:r>
        <w:rPr>
          <w:rFonts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&lt;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90 μmol/L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group, the magnitude of perioperative UA change was even greater than that in group N, from 78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μmol/L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to 245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μmol/L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, an increase of 3.6 times.</w:t>
      </w:r>
      <w:bookmarkEnd w:id="10"/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T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here was significant difference in 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serum UA values and ratios among three subgroups.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uardianSans-Medium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03B86E"/>
    <w:multiLevelType w:val="singleLevel"/>
    <w:tmpl w:val="C003B86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2ZmQ4MjY4NjQ3NzNjNmM3NjgxOTQzNmVlYThkODIifQ=="/>
  </w:docVars>
  <w:rsids>
    <w:rsidRoot w:val="003B0EB9"/>
    <w:rsid w:val="003B0EB9"/>
    <w:rsid w:val="00D54288"/>
    <w:rsid w:val="00E1179D"/>
    <w:rsid w:val="01014893"/>
    <w:rsid w:val="02961B46"/>
    <w:rsid w:val="03D1333D"/>
    <w:rsid w:val="04C8699D"/>
    <w:rsid w:val="04E672BC"/>
    <w:rsid w:val="05216546"/>
    <w:rsid w:val="053E41A1"/>
    <w:rsid w:val="059D3E1F"/>
    <w:rsid w:val="05C73C09"/>
    <w:rsid w:val="06A70917"/>
    <w:rsid w:val="08F024B8"/>
    <w:rsid w:val="0AD27BD8"/>
    <w:rsid w:val="0BD276C3"/>
    <w:rsid w:val="0D5374B9"/>
    <w:rsid w:val="0DFD0FF8"/>
    <w:rsid w:val="0EAB33A1"/>
    <w:rsid w:val="0EB44E7C"/>
    <w:rsid w:val="0F7D78E9"/>
    <w:rsid w:val="107E32D1"/>
    <w:rsid w:val="11FF417B"/>
    <w:rsid w:val="12122CAA"/>
    <w:rsid w:val="12906AB9"/>
    <w:rsid w:val="16B03286"/>
    <w:rsid w:val="177644D0"/>
    <w:rsid w:val="17E372A1"/>
    <w:rsid w:val="17F378CF"/>
    <w:rsid w:val="187D1102"/>
    <w:rsid w:val="1ADF0B61"/>
    <w:rsid w:val="1BD16179"/>
    <w:rsid w:val="1C1D2C17"/>
    <w:rsid w:val="1C9F6277"/>
    <w:rsid w:val="1D1B7C47"/>
    <w:rsid w:val="1D5B4ED9"/>
    <w:rsid w:val="1F6812CD"/>
    <w:rsid w:val="213276BA"/>
    <w:rsid w:val="220020AC"/>
    <w:rsid w:val="224514DC"/>
    <w:rsid w:val="228201CD"/>
    <w:rsid w:val="24822706"/>
    <w:rsid w:val="25F17854"/>
    <w:rsid w:val="2702368A"/>
    <w:rsid w:val="29064F88"/>
    <w:rsid w:val="2B9E7F40"/>
    <w:rsid w:val="2D5E35E4"/>
    <w:rsid w:val="2FC8099C"/>
    <w:rsid w:val="30CD4DA5"/>
    <w:rsid w:val="320D55D9"/>
    <w:rsid w:val="348576A9"/>
    <w:rsid w:val="35E4483F"/>
    <w:rsid w:val="369D273D"/>
    <w:rsid w:val="36FA437E"/>
    <w:rsid w:val="3863074D"/>
    <w:rsid w:val="38833899"/>
    <w:rsid w:val="3914549F"/>
    <w:rsid w:val="39C62C3D"/>
    <w:rsid w:val="39D82B4E"/>
    <w:rsid w:val="3B065A5D"/>
    <w:rsid w:val="3C5F6234"/>
    <w:rsid w:val="3DD819D6"/>
    <w:rsid w:val="3E230966"/>
    <w:rsid w:val="3F2A6FBC"/>
    <w:rsid w:val="427D4E94"/>
    <w:rsid w:val="42C03366"/>
    <w:rsid w:val="44124D90"/>
    <w:rsid w:val="44574494"/>
    <w:rsid w:val="469336EA"/>
    <w:rsid w:val="49483A52"/>
    <w:rsid w:val="4B1530DD"/>
    <w:rsid w:val="4D077304"/>
    <w:rsid w:val="4D470AFD"/>
    <w:rsid w:val="4F610FE6"/>
    <w:rsid w:val="50854860"/>
    <w:rsid w:val="50AF70C6"/>
    <w:rsid w:val="50F97DF7"/>
    <w:rsid w:val="51BE385C"/>
    <w:rsid w:val="53794425"/>
    <w:rsid w:val="55CE3B77"/>
    <w:rsid w:val="57B27F05"/>
    <w:rsid w:val="586B7FAC"/>
    <w:rsid w:val="59837DAB"/>
    <w:rsid w:val="5A00764E"/>
    <w:rsid w:val="5AB07923"/>
    <w:rsid w:val="5B847204"/>
    <w:rsid w:val="5D431D2B"/>
    <w:rsid w:val="5DA622BA"/>
    <w:rsid w:val="5FF768BC"/>
    <w:rsid w:val="60136C47"/>
    <w:rsid w:val="60235E44"/>
    <w:rsid w:val="62321AC8"/>
    <w:rsid w:val="65102E3B"/>
    <w:rsid w:val="651926E7"/>
    <w:rsid w:val="651C37EF"/>
    <w:rsid w:val="656E46BE"/>
    <w:rsid w:val="65C760C9"/>
    <w:rsid w:val="65C92FEA"/>
    <w:rsid w:val="698B0054"/>
    <w:rsid w:val="698C2CAC"/>
    <w:rsid w:val="69CC5FB0"/>
    <w:rsid w:val="6ADD2916"/>
    <w:rsid w:val="6B3C0026"/>
    <w:rsid w:val="6B5E5BA1"/>
    <w:rsid w:val="6EAA6A3D"/>
    <w:rsid w:val="6EFA2181"/>
    <w:rsid w:val="6F856E59"/>
    <w:rsid w:val="706C0AA4"/>
    <w:rsid w:val="71262551"/>
    <w:rsid w:val="71E93A30"/>
    <w:rsid w:val="71F32B3E"/>
    <w:rsid w:val="722C0B88"/>
    <w:rsid w:val="725974A3"/>
    <w:rsid w:val="737622A3"/>
    <w:rsid w:val="73A83431"/>
    <w:rsid w:val="73E54C2E"/>
    <w:rsid w:val="753D0012"/>
    <w:rsid w:val="759251A6"/>
    <w:rsid w:val="78CA4C57"/>
    <w:rsid w:val="7961380D"/>
    <w:rsid w:val="798713C9"/>
    <w:rsid w:val="7A6510DB"/>
    <w:rsid w:val="7A933ACA"/>
    <w:rsid w:val="7AF34939"/>
    <w:rsid w:val="7B670E83"/>
    <w:rsid w:val="7F3B68AE"/>
    <w:rsid w:val="7F92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宋体" w:asciiTheme="minorHAnsi" w:hAnsiTheme="minorHAnsi" w:eastAsiaTheme="minorEastAsia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table" w:styleId="4">
    <w:name w:val="Table Grid"/>
    <w:basedOn w:val="3"/>
    <w:qFormat/>
    <w:uiPriority w:val="5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1460</Words>
  <Characters>7824</Characters>
  <Lines>482</Lines>
  <Paragraphs>391</Paragraphs>
  <TotalTime>0</TotalTime>
  <ScaleCrop>false</ScaleCrop>
  <LinksUpToDate>false</LinksUpToDate>
  <CharactersWithSpaces>8917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2025-01-14T15:25:00Z</dcterms:created>
  <dc:creator>A</dc:creator>
  <cp:lastModifiedBy>小9</cp:lastModifiedBy>
  <dcterms:modified xsi:type="dcterms:W3CDTF">2025-07-13T11:30:36Z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KSOTemplateDocerSaveRecord">
    <vt:lpwstr>eyJoZGlkIjoiZTQ0NTRhNDQzNmM3NmFjNjIwY2E3Yzg0OTY4ZTg3ZGEiLCJ1c2VySWQiOiIzMzY4MTM0MDMifQ==</vt:lpwstr>
  </property>
  <property fmtid="{D5CDD505-2E9C-101B-9397-08002B2CF9AE}" pid="4" name="ICV">
    <vt:lpwstr>06C17CD1F4F94795AB3C58318ADA965A_12</vt:lpwstr>
  </property>
</Properties>
</file>