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EC9B" w14:textId="77777777" w:rsidR="00A3418D" w:rsidRPr="007C2D92" w:rsidRDefault="00214EC4" w:rsidP="007C2D92">
      <w:pPr>
        <w:pStyle w:val="Heading1"/>
        <w:keepNext w:val="0"/>
        <w:keepLines w:val="0"/>
        <w:widowControl w:val="0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C2D92">
        <w:rPr>
          <w:rFonts w:ascii="Arial" w:hAnsi="Arial" w:cs="Arial"/>
          <w:b/>
          <w:bCs/>
          <w:color w:val="000000" w:themeColor="text1"/>
          <w:sz w:val="36"/>
          <w:szCs w:val="36"/>
        </w:rPr>
        <w:t>Supplementary Information</w:t>
      </w:r>
    </w:p>
    <w:p w14:paraId="7BE99B40" w14:textId="269EEDFC" w:rsidR="002B131D" w:rsidRPr="002B131D" w:rsidRDefault="002B131D" w:rsidP="007C2D92">
      <w:pPr>
        <w:pStyle w:val="Heading1"/>
        <w:keepNext w:val="0"/>
        <w:keepLines w:val="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2B131D">
        <w:rPr>
          <w:rFonts w:ascii="Arial" w:hAnsi="Arial" w:cs="Arial"/>
          <w:b/>
          <w:bCs/>
          <w:color w:val="000000" w:themeColor="text1"/>
          <w:sz w:val="32"/>
          <w:szCs w:val="32"/>
        </w:rPr>
        <w:t>Ad</w:t>
      </w:r>
      <w:r w:rsidR="0043640F">
        <w:rPr>
          <w:rFonts w:ascii="Arial" w:hAnsi="Arial" w:cs="Arial"/>
          <w:b/>
          <w:bCs/>
          <w:color w:val="000000" w:themeColor="text1"/>
          <w:sz w:val="32"/>
          <w:szCs w:val="32"/>
        </w:rPr>
        <w:t>ditional File 1. Supplementary m</w:t>
      </w:r>
      <w:r w:rsidRPr="002B131D">
        <w:rPr>
          <w:rFonts w:ascii="Arial" w:hAnsi="Arial" w:cs="Arial"/>
          <w:b/>
          <w:bCs/>
          <w:color w:val="000000" w:themeColor="text1"/>
          <w:sz w:val="32"/>
          <w:szCs w:val="32"/>
        </w:rPr>
        <w:t>ethods and results</w:t>
      </w:r>
    </w:p>
    <w:p w14:paraId="3EADC9EB" w14:textId="77777777" w:rsidR="00627E2E" w:rsidRDefault="00627E2E" w:rsidP="007C2D92">
      <w:pPr>
        <w:pStyle w:val="Heading1"/>
        <w:keepNext w:val="0"/>
        <w:keepLines w:val="0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2E4D593" w14:textId="0468AC7C" w:rsidR="007C2D92" w:rsidRPr="00CC25EC" w:rsidRDefault="007C2D92" w:rsidP="007C2D92">
      <w:pPr>
        <w:pStyle w:val="Heading1"/>
        <w:keepNext w:val="0"/>
        <w:keepLines w:val="0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CC25EC">
        <w:rPr>
          <w:rFonts w:ascii="Arial" w:hAnsi="Arial" w:cs="Arial"/>
          <w:b/>
          <w:bCs/>
          <w:color w:val="000000" w:themeColor="text1"/>
          <w:sz w:val="36"/>
          <w:szCs w:val="36"/>
        </w:rPr>
        <w:t>Modelling the effects of immigration on the re-introduction of onchocerciasis</w:t>
      </w:r>
    </w:p>
    <w:p w14:paraId="77DEC48B" w14:textId="77777777" w:rsidR="0043640F" w:rsidRDefault="0043640F" w:rsidP="007C2D92">
      <w:pPr>
        <w:spacing w:line="240" w:lineRule="auto"/>
        <w:rPr>
          <w:rFonts w:ascii="Arial" w:hAnsi="Arial" w:cs="Arial"/>
        </w:rPr>
      </w:pPr>
    </w:p>
    <w:p w14:paraId="4FE25220" w14:textId="6B79FCE4" w:rsidR="007C2D92" w:rsidRPr="00CC25EC" w:rsidRDefault="007C2D92" w:rsidP="0043640F">
      <w:pPr>
        <w:spacing w:line="360" w:lineRule="auto"/>
        <w:rPr>
          <w:rFonts w:ascii="Arial" w:hAnsi="Arial" w:cs="Arial"/>
          <w:vertAlign w:val="superscript"/>
        </w:rPr>
      </w:pPr>
      <w:r w:rsidRPr="00CC25EC">
        <w:rPr>
          <w:rFonts w:ascii="Arial" w:hAnsi="Arial" w:cs="Arial"/>
        </w:rPr>
        <w:t>Jacob N. Stapley</w:t>
      </w:r>
      <w:r w:rsidRPr="00CC25EC">
        <w:rPr>
          <w:rFonts w:ascii="Arial" w:hAnsi="Arial" w:cs="Arial"/>
          <w:vertAlign w:val="superscript"/>
        </w:rPr>
        <w:t>1*</w:t>
      </w:r>
      <w:r w:rsidRPr="00CC25EC">
        <w:rPr>
          <w:rFonts w:ascii="Arial" w:hAnsi="Arial" w:cs="Arial"/>
        </w:rPr>
        <w:t>, Maria-Gloria Basáñez</w:t>
      </w:r>
      <w:r w:rsidRPr="00CC25EC">
        <w:rPr>
          <w:rFonts w:ascii="Arial" w:hAnsi="Arial" w:cs="Arial"/>
          <w:vertAlign w:val="superscript"/>
        </w:rPr>
        <w:t>1</w:t>
      </w:r>
      <w:r w:rsidR="0043640F">
        <w:rPr>
          <w:rFonts w:ascii="Arial" w:hAnsi="Arial" w:cs="Arial"/>
          <w:vertAlign w:val="superscript"/>
        </w:rPr>
        <w:t>*</w:t>
      </w:r>
      <w:r w:rsidRPr="00CC25EC">
        <w:rPr>
          <w:rFonts w:ascii="Arial" w:hAnsi="Arial" w:cs="Arial"/>
        </w:rPr>
        <w:t>, Aditya Ramani</w:t>
      </w:r>
      <w:r w:rsidRPr="00CC25EC">
        <w:rPr>
          <w:rFonts w:ascii="Arial" w:hAnsi="Arial" w:cs="Arial"/>
          <w:vertAlign w:val="superscript"/>
        </w:rPr>
        <w:t>2</w:t>
      </w:r>
      <w:r w:rsidRPr="00CC25EC">
        <w:rPr>
          <w:rFonts w:ascii="Arial" w:hAnsi="Arial" w:cs="Arial"/>
        </w:rPr>
        <w:t>, Martin Walker</w:t>
      </w:r>
      <w:r w:rsidRPr="00CC25EC">
        <w:rPr>
          <w:rFonts w:ascii="Arial" w:hAnsi="Arial" w:cs="Arial"/>
          <w:vertAlign w:val="superscript"/>
        </w:rPr>
        <w:t>1,</w:t>
      </w:r>
      <w:proofErr w:type="gramStart"/>
      <w:r w:rsidRPr="00CC25E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>,</w:t>
      </w:r>
      <w:r w:rsidRPr="00CC25EC">
        <w:rPr>
          <w:rFonts w:ascii="Arial" w:hAnsi="Arial" w:cs="Arial"/>
          <w:vertAlign w:val="superscript"/>
        </w:rPr>
        <w:t>†</w:t>
      </w:r>
      <w:proofErr w:type="gramEnd"/>
      <w:r w:rsidRPr="00CC25EC">
        <w:rPr>
          <w:rFonts w:ascii="Arial" w:hAnsi="Arial" w:cs="Arial"/>
        </w:rPr>
        <w:t xml:space="preserve"> and Jonathan I.D. Hamley</w:t>
      </w:r>
      <w:r w:rsidRPr="00CC25EC">
        <w:rPr>
          <w:rFonts w:ascii="Arial" w:hAnsi="Arial" w:cs="Arial"/>
          <w:vertAlign w:val="superscript"/>
        </w:rPr>
        <w:t>3,4,†</w:t>
      </w:r>
    </w:p>
    <w:p w14:paraId="4A944339" w14:textId="77777777" w:rsidR="0043640F" w:rsidRDefault="0043640F" w:rsidP="007C2D92">
      <w:pPr>
        <w:spacing w:line="240" w:lineRule="auto"/>
        <w:rPr>
          <w:rFonts w:ascii="Arial" w:hAnsi="Arial" w:cs="Arial"/>
          <w:vertAlign w:val="superscript"/>
        </w:rPr>
      </w:pPr>
    </w:p>
    <w:p w14:paraId="38757ADB" w14:textId="3826FBBD" w:rsidR="007C2D92" w:rsidRPr="00CC25EC" w:rsidRDefault="007C2D92" w:rsidP="007C2D92">
      <w:pPr>
        <w:spacing w:line="240" w:lineRule="auto"/>
        <w:rPr>
          <w:rFonts w:ascii="Arial" w:hAnsi="Arial" w:cs="Arial"/>
        </w:rPr>
      </w:pPr>
      <w:r w:rsidRPr="00CC25EC">
        <w:rPr>
          <w:rFonts w:ascii="Arial" w:hAnsi="Arial" w:cs="Arial"/>
          <w:vertAlign w:val="superscript"/>
        </w:rPr>
        <w:t xml:space="preserve">1 </w:t>
      </w:r>
      <w:r w:rsidRPr="00CC25EC">
        <w:rPr>
          <w:rFonts w:ascii="Arial" w:hAnsi="Arial" w:cs="Arial"/>
        </w:rPr>
        <w:t>MRC Centre for Global Infectious Disease Analysis and London Centre for Neglected Tropical Disease Research, Department of Infectious Disease Epidemiology, School of Public Health, Imperial College London, London, UK</w:t>
      </w:r>
    </w:p>
    <w:p w14:paraId="0DF6E640" w14:textId="77777777" w:rsidR="007C2D92" w:rsidRPr="00CC25EC" w:rsidRDefault="007C2D92" w:rsidP="007C2D92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C25EC">
        <w:rPr>
          <w:rFonts w:ascii="Arial" w:hAnsi="Arial" w:cs="Arial"/>
          <w:vertAlign w:val="superscript"/>
        </w:rPr>
        <w:t>2</w:t>
      </w:r>
      <w:r w:rsidRPr="00CC25EC">
        <w:rPr>
          <w:rFonts w:ascii="Arial" w:hAnsi="Arial" w:cs="Arial"/>
        </w:rPr>
        <w:t xml:space="preserve"> Department of Pathobiology and Population Sciences, Royal Veterinary College, Hatfield, UK</w:t>
      </w:r>
    </w:p>
    <w:p w14:paraId="53EBCBB0" w14:textId="77777777" w:rsidR="007C2D92" w:rsidRPr="00CC25EC" w:rsidRDefault="007C2D92" w:rsidP="007C2D92">
      <w:pPr>
        <w:spacing w:after="120" w:line="240" w:lineRule="auto"/>
        <w:rPr>
          <w:rFonts w:ascii="Arial" w:hAnsi="Arial" w:cs="Arial"/>
        </w:rPr>
      </w:pPr>
      <w:r w:rsidRPr="00CC25EC">
        <w:rPr>
          <w:rFonts w:ascii="Arial" w:hAnsi="Arial" w:cs="Arial"/>
          <w:vertAlign w:val="superscript"/>
        </w:rPr>
        <w:t>3</w:t>
      </w:r>
      <w:r w:rsidRPr="00CC25EC">
        <w:rPr>
          <w:rFonts w:ascii="Arial" w:hAnsi="Arial" w:cs="Arial"/>
        </w:rPr>
        <w:t xml:space="preserve"> Multidisciplinary </w:t>
      </w:r>
      <w:proofErr w:type="spellStart"/>
      <w:r w:rsidRPr="00CC25EC">
        <w:rPr>
          <w:rFonts w:ascii="Arial" w:hAnsi="Arial" w:cs="Arial"/>
        </w:rPr>
        <w:t>Center</w:t>
      </w:r>
      <w:proofErr w:type="spellEnd"/>
      <w:r w:rsidRPr="00CC25EC">
        <w:rPr>
          <w:rFonts w:ascii="Arial" w:hAnsi="Arial" w:cs="Arial"/>
        </w:rPr>
        <w:t xml:space="preserve"> for Infectious Diseases, University of Bern, Switzerland</w:t>
      </w:r>
    </w:p>
    <w:p w14:paraId="17F1FFBF" w14:textId="77777777" w:rsidR="007C2D92" w:rsidRPr="00CC25EC" w:rsidRDefault="007C2D92" w:rsidP="007C2D92">
      <w:pPr>
        <w:spacing w:after="120" w:line="240" w:lineRule="auto"/>
        <w:rPr>
          <w:rFonts w:ascii="Arial" w:hAnsi="Arial" w:cs="Arial"/>
        </w:rPr>
      </w:pPr>
      <w:r w:rsidRPr="00CC25EC">
        <w:rPr>
          <w:rFonts w:ascii="Arial" w:hAnsi="Arial" w:cs="Arial"/>
          <w:vertAlign w:val="superscript"/>
        </w:rPr>
        <w:t>4</w:t>
      </w:r>
      <w:r w:rsidRPr="00CC25EC">
        <w:rPr>
          <w:rFonts w:ascii="Arial" w:hAnsi="Arial" w:cs="Arial"/>
        </w:rPr>
        <w:t xml:space="preserve"> Department of Visceral Surgery and Medicine, </w:t>
      </w:r>
      <w:proofErr w:type="spellStart"/>
      <w:r w:rsidRPr="00CC25EC">
        <w:rPr>
          <w:rFonts w:ascii="Arial" w:hAnsi="Arial" w:cs="Arial"/>
        </w:rPr>
        <w:t>Inselspital</w:t>
      </w:r>
      <w:proofErr w:type="spellEnd"/>
      <w:r w:rsidRPr="00CC25EC">
        <w:rPr>
          <w:rFonts w:ascii="Arial" w:hAnsi="Arial" w:cs="Arial"/>
        </w:rPr>
        <w:t>, Bern University Hospital, University of Bern, Switzerland</w:t>
      </w:r>
    </w:p>
    <w:p w14:paraId="39ED0FF0" w14:textId="77777777" w:rsidR="007C2D92" w:rsidRPr="00CC25EC" w:rsidRDefault="007C2D92" w:rsidP="007C2D92">
      <w:pPr>
        <w:spacing w:after="120" w:line="240" w:lineRule="auto"/>
        <w:rPr>
          <w:rFonts w:ascii="Arial" w:hAnsi="Arial" w:cs="Arial"/>
        </w:rPr>
      </w:pPr>
    </w:p>
    <w:p w14:paraId="568943F3" w14:textId="318FD8A2" w:rsidR="007C2D92" w:rsidRDefault="007C2D92" w:rsidP="007C2D92">
      <w:pPr>
        <w:spacing w:after="0" w:line="240" w:lineRule="auto"/>
        <w:rPr>
          <w:rFonts w:ascii="Arial" w:hAnsi="Arial" w:cs="Arial"/>
        </w:rPr>
      </w:pPr>
      <w:r w:rsidRPr="00CC25EC">
        <w:rPr>
          <w:rFonts w:ascii="Arial" w:hAnsi="Arial" w:cs="Arial"/>
        </w:rPr>
        <w:t>*Correspondence</w:t>
      </w:r>
      <w:r>
        <w:rPr>
          <w:rFonts w:ascii="Arial" w:hAnsi="Arial" w:cs="Arial"/>
        </w:rPr>
        <w:t xml:space="preserve">: </w:t>
      </w:r>
      <w:r w:rsidRPr="00CC25EC">
        <w:rPr>
          <w:rFonts w:ascii="Arial" w:hAnsi="Arial" w:cs="Arial"/>
        </w:rPr>
        <w:t xml:space="preserve">Jacob N. </w:t>
      </w:r>
      <w:proofErr w:type="spellStart"/>
      <w:r w:rsidRPr="00CC25EC">
        <w:rPr>
          <w:rFonts w:ascii="Arial" w:hAnsi="Arial" w:cs="Arial"/>
        </w:rPr>
        <w:t>Stapley</w:t>
      </w:r>
      <w:proofErr w:type="spellEnd"/>
      <w:r w:rsidR="0043640F">
        <w:rPr>
          <w:rFonts w:ascii="Arial" w:hAnsi="Arial" w:cs="Arial"/>
        </w:rPr>
        <w:t xml:space="preserve"> (</w:t>
      </w:r>
      <w:hyperlink r:id="rId7" w:history="1">
        <w:r w:rsidRPr="000C28D2">
          <w:rPr>
            <w:rStyle w:val="Hyperlink"/>
            <w:rFonts w:ascii="Arial" w:hAnsi="Arial" w:cs="Arial"/>
          </w:rPr>
          <w:t>j.stapley20@imperial.ac.uk</w:t>
        </w:r>
      </w:hyperlink>
      <w:r>
        <w:rPr>
          <w:rFonts w:ascii="Arial" w:hAnsi="Arial" w:cs="Arial"/>
        </w:rPr>
        <w:t>)</w:t>
      </w:r>
      <w:r w:rsidR="0043640F">
        <w:rPr>
          <w:rFonts w:ascii="Arial" w:hAnsi="Arial" w:cs="Arial"/>
        </w:rPr>
        <w:t xml:space="preserve"> and Maria-Gloria </w:t>
      </w:r>
      <w:proofErr w:type="spellStart"/>
      <w:r w:rsidR="0043640F">
        <w:rPr>
          <w:rFonts w:ascii="Arial" w:hAnsi="Arial" w:cs="Arial"/>
        </w:rPr>
        <w:t>Basáñez</w:t>
      </w:r>
      <w:proofErr w:type="spellEnd"/>
      <w:r w:rsidR="0043640F">
        <w:rPr>
          <w:rFonts w:ascii="Arial" w:hAnsi="Arial" w:cs="Arial"/>
        </w:rPr>
        <w:t xml:space="preserve"> (</w:t>
      </w:r>
      <w:hyperlink r:id="rId8" w:history="1">
        <w:r w:rsidR="0043640F" w:rsidRPr="005E1B51">
          <w:rPr>
            <w:rStyle w:val="Hyperlink"/>
            <w:rFonts w:ascii="Arial" w:hAnsi="Arial" w:cs="Arial"/>
          </w:rPr>
          <w:t>m.basanez@imperial.ac.uk</w:t>
        </w:r>
      </w:hyperlink>
      <w:r w:rsidR="0043640F">
        <w:rPr>
          <w:rFonts w:ascii="Arial" w:hAnsi="Arial" w:cs="Arial"/>
        </w:rPr>
        <w:t xml:space="preserve">) </w:t>
      </w:r>
    </w:p>
    <w:p w14:paraId="6B00B258" w14:textId="77777777" w:rsidR="007C2D92" w:rsidRPr="00CC25EC" w:rsidRDefault="007C2D92" w:rsidP="007C2D92">
      <w:pPr>
        <w:spacing w:after="0" w:line="240" w:lineRule="auto"/>
        <w:rPr>
          <w:rFonts w:ascii="Arial" w:hAnsi="Arial" w:cs="Arial"/>
        </w:rPr>
      </w:pPr>
    </w:p>
    <w:p w14:paraId="14C6B77B" w14:textId="77777777" w:rsidR="007C2D92" w:rsidRPr="00CC25EC" w:rsidRDefault="007C2D92" w:rsidP="007C2D92">
      <w:pPr>
        <w:spacing w:after="120" w:line="480" w:lineRule="auto"/>
        <w:rPr>
          <w:rFonts w:ascii="Arial" w:hAnsi="Arial" w:cs="Arial"/>
        </w:rPr>
      </w:pPr>
      <w:r w:rsidRPr="00CC25EC">
        <w:rPr>
          <w:rFonts w:ascii="Arial" w:hAnsi="Arial" w:cs="Arial"/>
        </w:rPr>
        <w:t>† Joint Senior Authors</w:t>
      </w:r>
    </w:p>
    <w:p w14:paraId="7F698029" w14:textId="217B28C8" w:rsidR="007C2D92" w:rsidRDefault="007C2D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78DF1CC" w14:textId="2C28110B" w:rsidR="00214EC4" w:rsidRPr="004458AC" w:rsidRDefault="00A9327C" w:rsidP="00E7185B">
      <w:pPr>
        <w:widowControl w:val="0"/>
        <w:spacing w:line="480" w:lineRule="auto"/>
        <w:rPr>
          <w:rFonts w:ascii="Arial" w:hAnsi="Arial" w:cs="Arial"/>
          <w:b/>
          <w:bCs/>
        </w:rPr>
      </w:pPr>
      <w:r w:rsidRPr="004458AC">
        <w:rPr>
          <w:rFonts w:ascii="Arial" w:hAnsi="Arial" w:cs="Arial"/>
          <w:b/>
          <w:bCs/>
        </w:rPr>
        <w:lastRenderedPageBreak/>
        <w:t>Text S1</w:t>
      </w:r>
      <w:r w:rsidR="00B40A4A" w:rsidRPr="004458AC">
        <w:rPr>
          <w:rFonts w:ascii="Arial" w:hAnsi="Arial" w:cs="Arial"/>
          <w:b/>
          <w:bCs/>
        </w:rPr>
        <w:t>.</w:t>
      </w:r>
      <w:r w:rsidRPr="004458AC">
        <w:rPr>
          <w:rFonts w:ascii="Arial" w:hAnsi="Arial" w:cs="Arial"/>
          <w:b/>
          <w:bCs/>
        </w:rPr>
        <w:t xml:space="preserve"> </w:t>
      </w:r>
      <w:r w:rsidRPr="004C370D">
        <w:rPr>
          <w:rFonts w:ascii="Arial" w:hAnsi="Arial" w:cs="Arial"/>
          <w:b/>
          <w:bCs/>
        </w:rPr>
        <w:t xml:space="preserve">Incorporation of anti-Ov16 </w:t>
      </w:r>
      <w:proofErr w:type="spellStart"/>
      <w:r w:rsidRPr="004C370D">
        <w:rPr>
          <w:rFonts w:ascii="Arial" w:hAnsi="Arial" w:cs="Arial"/>
          <w:b/>
          <w:bCs/>
        </w:rPr>
        <w:t>ser</w:t>
      </w:r>
      <w:bookmarkStart w:id="0" w:name="_GoBack"/>
      <w:bookmarkEnd w:id="0"/>
      <w:r w:rsidRPr="004C370D">
        <w:rPr>
          <w:rFonts w:ascii="Arial" w:hAnsi="Arial" w:cs="Arial"/>
          <w:b/>
          <w:bCs/>
        </w:rPr>
        <w:t>oprevalence</w:t>
      </w:r>
      <w:proofErr w:type="spellEnd"/>
      <w:r w:rsidRPr="004C370D">
        <w:rPr>
          <w:rFonts w:ascii="Arial" w:hAnsi="Arial" w:cs="Arial"/>
          <w:b/>
          <w:bCs/>
        </w:rPr>
        <w:t xml:space="preserve"> </w:t>
      </w:r>
      <w:r w:rsidR="00A33748" w:rsidRPr="004C370D">
        <w:rPr>
          <w:rFonts w:ascii="Arial" w:hAnsi="Arial" w:cs="Arial"/>
          <w:b/>
          <w:bCs/>
        </w:rPr>
        <w:t>as an output of</w:t>
      </w:r>
      <w:r w:rsidRPr="004C370D">
        <w:rPr>
          <w:rFonts w:ascii="Arial" w:hAnsi="Arial" w:cs="Arial"/>
          <w:b/>
          <w:bCs/>
        </w:rPr>
        <w:t xml:space="preserve"> EPIONCHO-IBM</w:t>
      </w:r>
    </w:p>
    <w:p w14:paraId="016BAF8B" w14:textId="677F71C2" w:rsidR="00A9327C" w:rsidRPr="004458AC" w:rsidRDefault="00A9327C" w:rsidP="00E7185B">
      <w:pPr>
        <w:widowControl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proofErr w:type="spellStart"/>
      <w:r w:rsidRPr="004458AC">
        <w:rPr>
          <w:rFonts w:ascii="Arial" w:eastAsiaTheme="minorEastAsia" w:hAnsi="Arial" w:cs="Arial"/>
          <w:sz w:val="22"/>
          <w:szCs w:val="22"/>
        </w:rPr>
        <w:t>Ramani</w:t>
      </w:r>
      <w:proofErr w:type="spellEnd"/>
      <w:r w:rsidRPr="004458AC">
        <w:rPr>
          <w:rFonts w:ascii="Arial" w:eastAsiaTheme="minorEastAsia" w:hAnsi="Arial" w:cs="Arial"/>
          <w:sz w:val="22"/>
          <w:szCs w:val="22"/>
        </w:rPr>
        <w:t xml:space="preserve"> </w:t>
      </w:r>
      <w:r w:rsidRPr="004458AC">
        <w:rPr>
          <w:rFonts w:ascii="Arial" w:eastAsiaTheme="minorEastAsia" w:hAnsi="Arial" w:cs="Arial"/>
          <w:iCs/>
          <w:sz w:val="22"/>
          <w:szCs w:val="22"/>
        </w:rPr>
        <w:t>et al</w:t>
      </w:r>
      <w:r w:rsidRPr="004458AC">
        <w:rPr>
          <w:rFonts w:ascii="Arial" w:eastAsiaTheme="minorEastAsia" w:hAnsi="Arial" w:cs="Arial"/>
          <w:sz w:val="22"/>
          <w:szCs w:val="22"/>
        </w:rPr>
        <w:t xml:space="preserve">. </w:t>
      </w:r>
      <w:r w:rsidR="00841494" w:rsidRPr="004458AC">
        <w:rPr>
          <w:rFonts w:ascii="Arial" w:eastAsiaTheme="minorEastAsia" w:hAnsi="Arial" w:cs="Arial"/>
          <w:sz w:val="22"/>
          <w:szCs w:val="22"/>
        </w:rPr>
        <w:t xml:space="preserve">have </w:t>
      </w:r>
      <w:r w:rsidRPr="004458AC">
        <w:rPr>
          <w:rFonts w:ascii="Arial" w:eastAsiaTheme="minorEastAsia" w:hAnsi="Arial" w:cs="Arial"/>
          <w:sz w:val="22"/>
          <w:szCs w:val="22"/>
        </w:rPr>
        <w:t xml:space="preserve">incorporated anti-Ov16 </w:t>
      </w:r>
      <w:proofErr w:type="spellStart"/>
      <w:r w:rsidRPr="004458AC">
        <w:rPr>
          <w:rFonts w:ascii="Arial" w:eastAsiaTheme="minorEastAsia" w:hAnsi="Arial" w:cs="Arial"/>
          <w:sz w:val="22"/>
          <w:szCs w:val="22"/>
        </w:rPr>
        <w:t>seroprevalence</w:t>
      </w:r>
      <w:proofErr w:type="spellEnd"/>
      <w:r w:rsidRPr="004458AC">
        <w:rPr>
          <w:rFonts w:ascii="Arial" w:eastAsiaTheme="minorEastAsia" w:hAnsi="Arial" w:cs="Arial"/>
          <w:sz w:val="22"/>
          <w:szCs w:val="22"/>
        </w:rPr>
        <w:t xml:space="preserve"> </w:t>
      </w:r>
      <w:r w:rsidR="00D81FF4" w:rsidRPr="004458AC">
        <w:rPr>
          <w:rFonts w:ascii="Arial" w:eastAsiaTheme="minorEastAsia" w:hAnsi="Arial" w:cs="Arial"/>
          <w:sz w:val="22"/>
          <w:szCs w:val="22"/>
        </w:rPr>
        <w:t>as an output of</w:t>
      </w:r>
      <w:r w:rsidRPr="004458AC">
        <w:rPr>
          <w:rFonts w:ascii="Arial" w:eastAsiaTheme="minorEastAsia" w:hAnsi="Arial" w:cs="Arial"/>
          <w:sz w:val="22"/>
          <w:szCs w:val="22"/>
        </w:rPr>
        <w:t xml:space="preserve"> EPIONCHO-IBM</w:t>
      </w:r>
      <w:r w:rsidR="00841494" w:rsidRPr="004458AC">
        <w:rPr>
          <w:rFonts w:ascii="Arial" w:eastAsiaTheme="minorEastAsia" w:hAnsi="Arial" w:cs="Arial"/>
          <w:sz w:val="22"/>
          <w:szCs w:val="22"/>
        </w:rPr>
        <w:t xml:space="preserve"> [</w:t>
      </w:r>
      <w:r w:rsidR="005E08EF" w:rsidRPr="004458AC">
        <w:rPr>
          <w:rFonts w:ascii="Arial" w:eastAsiaTheme="minorEastAsia" w:hAnsi="Arial" w:cs="Arial"/>
          <w:sz w:val="22"/>
          <w:szCs w:val="22"/>
        </w:rPr>
        <w:t>1</w:t>
      </w:r>
      <w:r w:rsidR="00841494" w:rsidRPr="004458AC">
        <w:rPr>
          <w:rFonts w:ascii="Arial" w:eastAsiaTheme="minorEastAsia" w:hAnsi="Arial" w:cs="Arial"/>
          <w:sz w:val="22"/>
          <w:szCs w:val="22"/>
        </w:rPr>
        <w:t>]</w:t>
      </w:r>
      <w:r w:rsidRPr="004458AC">
        <w:rPr>
          <w:rFonts w:ascii="Arial" w:eastAsiaTheme="minorEastAsia" w:hAnsi="Arial" w:cs="Arial"/>
          <w:sz w:val="22"/>
          <w:szCs w:val="22"/>
        </w:rPr>
        <w:t xml:space="preserve">. </w:t>
      </w:r>
      <w:r w:rsidR="00DD4D59" w:rsidRPr="004458AC">
        <w:rPr>
          <w:rFonts w:ascii="Arial" w:eastAsiaTheme="minorEastAsia" w:hAnsi="Arial" w:cs="Arial"/>
          <w:sz w:val="22"/>
          <w:szCs w:val="22"/>
        </w:rPr>
        <w:t xml:space="preserve">Each individual in the modelled population has an anti-Ov16 </w:t>
      </w:r>
      <w:proofErr w:type="spellStart"/>
      <w:r w:rsidR="00DD4D59" w:rsidRPr="004458AC">
        <w:rPr>
          <w:rFonts w:ascii="Arial" w:eastAsiaTheme="minorEastAsia" w:hAnsi="Arial" w:cs="Arial"/>
          <w:sz w:val="22"/>
          <w:szCs w:val="22"/>
        </w:rPr>
        <w:t>serostatus</w:t>
      </w:r>
      <w:proofErr w:type="spellEnd"/>
      <w:r w:rsidR="00DD4D59" w:rsidRPr="004458AC">
        <w:rPr>
          <w:rFonts w:ascii="Arial" w:eastAsiaTheme="minorEastAsia" w:hAnsi="Arial" w:cs="Arial"/>
          <w:sz w:val="22"/>
          <w:szCs w:val="22"/>
        </w:rPr>
        <w:t xml:space="preserve"> (positive or negative) </w:t>
      </w:r>
      <w:r w:rsidR="00A32D0D" w:rsidRPr="004458AC">
        <w:rPr>
          <w:rFonts w:ascii="Arial" w:eastAsiaTheme="minorEastAsia" w:hAnsi="Arial" w:cs="Arial"/>
          <w:sz w:val="22"/>
          <w:szCs w:val="22"/>
        </w:rPr>
        <w:t xml:space="preserve">according to their infection status as described in the following. Briefly, </w:t>
      </w:r>
      <w:proofErr w:type="spellStart"/>
      <w:r w:rsidR="00DC456D" w:rsidRPr="004458AC">
        <w:rPr>
          <w:rFonts w:ascii="Arial" w:eastAsiaTheme="minorEastAsia" w:hAnsi="Arial" w:cs="Arial"/>
          <w:sz w:val="22"/>
          <w:szCs w:val="22"/>
        </w:rPr>
        <w:t>Ramani</w:t>
      </w:r>
      <w:proofErr w:type="spellEnd"/>
      <w:r w:rsidR="00DC456D" w:rsidRPr="004458AC">
        <w:rPr>
          <w:rFonts w:ascii="Arial" w:eastAsiaTheme="minorEastAsia" w:hAnsi="Arial" w:cs="Arial"/>
          <w:sz w:val="22"/>
          <w:szCs w:val="22"/>
        </w:rPr>
        <w:t xml:space="preserve"> et al. tested </w:t>
      </w:r>
      <w:r w:rsidR="00A32D0D" w:rsidRPr="004458AC">
        <w:rPr>
          <w:rFonts w:ascii="Arial" w:eastAsiaTheme="minorEastAsia" w:hAnsi="Arial" w:cs="Arial"/>
          <w:sz w:val="22"/>
          <w:szCs w:val="22"/>
        </w:rPr>
        <w:t>s</w:t>
      </w:r>
      <w:r w:rsidR="00841494" w:rsidRPr="004458AC">
        <w:rPr>
          <w:rFonts w:ascii="Arial" w:eastAsiaTheme="minorEastAsia" w:hAnsi="Arial" w:cs="Arial"/>
          <w:sz w:val="22"/>
          <w:szCs w:val="22"/>
        </w:rPr>
        <w:t>everal</w:t>
      </w:r>
      <w:r w:rsidRPr="004458AC">
        <w:rPr>
          <w:rFonts w:ascii="Arial" w:eastAsiaTheme="minorEastAsia" w:hAnsi="Arial" w:cs="Arial"/>
          <w:sz w:val="22"/>
          <w:szCs w:val="22"/>
        </w:rPr>
        <w:t xml:space="preserve"> hypothes</w:t>
      </w:r>
      <w:r w:rsidR="00841494" w:rsidRPr="004458AC">
        <w:rPr>
          <w:rFonts w:ascii="Arial" w:eastAsiaTheme="minorEastAsia" w:hAnsi="Arial" w:cs="Arial"/>
          <w:sz w:val="22"/>
          <w:szCs w:val="22"/>
        </w:rPr>
        <w:t>es</w:t>
      </w:r>
      <w:r w:rsidRPr="004458AC">
        <w:rPr>
          <w:rFonts w:ascii="Arial" w:eastAsiaTheme="minorEastAsia" w:hAnsi="Arial" w:cs="Arial"/>
          <w:sz w:val="22"/>
          <w:szCs w:val="22"/>
        </w:rPr>
        <w:t xml:space="preserve"> </w:t>
      </w:r>
      <w:r w:rsidR="00DC456D" w:rsidRPr="004458AC">
        <w:rPr>
          <w:rFonts w:ascii="Arial" w:eastAsiaTheme="minorEastAsia" w:hAnsi="Arial" w:cs="Arial"/>
          <w:sz w:val="22"/>
          <w:szCs w:val="22"/>
        </w:rPr>
        <w:t>regarding which</w:t>
      </w:r>
      <w:r w:rsidR="00841494" w:rsidRPr="004458AC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="00841494" w:rsidRPr="004458AC">
        <w:rPr>
          <w:rFonts w:ascii="Arial" w:eastAsiaTheme="minorEastAsia" w:hAnsi="Arial" w:cs="Arial"/>
          <w:i/>
          <w:sz w:val="22"/>
          <w:szCs w:val="22"/>
        </w:rPr>
        <w:t>Onchocerca</w:t>
      </w:r>
      <w:proofErr w:type="spellEnd"/>
      <w:r w:rsidR="00841494" w:rsidRPr="004458AC">
        <w:rPr>
          <w:rFonts w:ascii="Arial" w:eastAsiaTheme="minorEastAsia" w:hAnsi="Arial" w:cs="Arial"/>
          <w:i/>
          <w:sz w:val="22"/>
          <w:szCs w:val="22"/>
        </w:rPr>
        <w:t xml:space="preserve"> volvulus</w:t>
      </w:r>
      <w:r w:rsidR="00841494" w:rsidRPr="004458AC">
        <w:rPr>
          <w:rFonts w:ascii="Arial" w:eastAsiaTheme="minorEastAsia" w:hAnsi="Arial" w:cs="Arial"/>
          <w:sz w:val="22"/>
          <w:szCs w:val="22"/>
        </w:rPr>
        <w:t xml:space="preserve"> parasite stage</w:t>
      </w:r>
      <w:r w:rsidR="00DC456D" w:rsidRPr="004458AC">
        <w:rPr>
          <w:rFonts w:ascii="Arial" w:eastAsiaTheme="minorEastAsia" w:hAnsi="Arial" w:cs="Arial"/>
          <w:sz w:val="22"/>
          <w:szCs w:val="22"/>
        </w:rPr>
        <w:t>(</w:t>
      </w:r>
      <w:r w:rsidR="00841494" w:rsidRPr="004458AC">
        <w:rPr>
          <w:rFonts w:ascii="Arial" w:eastAsiaTheme="minorEastAsia" w:hAnsi="Arial" w:cs="Arial"/>
          <w:sz w:val="22"/>
          <w:szCs w:val="22"/>
        </w:rPr>
        <w:t>s</w:t>
      </w:r>
      <w:r w:rsidR="00DC456D" w:rsidRPr="004458AC">
        <w:rPr>
          <w:rFonts w:ascii="Arial" w:eastAsiaTheme="minorEastAsia" w:hAnsi="Arial" w:cs="Arial"/>
          <w:sz w:val="22"/>
          <w:szCs w:val="22"/>
        </w:rPr>
        <w:t>)</w:t>
      </w:r>
      <w:r w:rsidR="00841494" w:rsidRPr="004458AC">
        <w:rPr>
          <w:rFonts w:ascii="Arial" w:eastAsiaTheme="minorEastAsia" w:hAnsi="Arial" w:cs="Arial"/>
          <w:sz w:val="22"/>
          <w:szCs w:val="22"/>
        </w:rPr>
        <w:t xml:space="preserve"> elicit</w:t>
      </w:r>
      <w:r w:rsidR="00DC456D" w:rsidRPr="004458AC">
        <w:rPr>
          <w:rFonts w:ascii="Arial" w:eastAsiaTheme="minorEastAsia" w:hAnsi="Arial" w:cs="Arial"/>
          <w:sz w:val="22"/>
          <w:szCs w:val="22"/>
        </w:rPr>
        <w:t>(s)</w:t>
      </w:r>
      <w:r w:rsidR="00841494" w:rsidRPr="004458AC">
        <w:rPr>
          <w:rFonts w:ascii="Arial" w:eastAsiaTheme="minorEastAsia" w:hAnsi="Arial" w:cs="Arial"/>
          <w:sz w:val="22"/>
          <w:szCs w:val="22"/>
        </w:rPr>
        <w:t xml:space="preserve"> seroconversion</w:t>
      </w:r>
      <w:r w:rsidR="00560567" w:rsidRPr="004458AC">
        <w:rPr>
          <w:rFonts w:ascii="Arial" w:eastAsiaTheme="minorEastAsia" w:hAnsi="Arial" w:cs="Arial"/>
          <w:sz w:val="22"/>
          <w:szCs w:val="22"/>
        </w:rPr>
        <w:t xml:space="preserve"> (</w:t>
      </w:r>
      <w:r w:rsidR="002A7B34" w:rsidRPr="004458AC">
        <w:rPr>
          <w:rFonts w:ascii="Arial" w:eastAsiaTheme="minorEastAsia" w:hAnsi="Arial" w:cs="Arial"/>
          <w:sz w:val="22"/>
          <w:szCs w:val="22"/>
        </w:rPr>
        <w:t xml:space="preserve">defined as the production of </w:t>
      </w:r>
      <w:r w:rsidR="00577D28" w:rsidRPr="004458AC">
        <w:rPr>
          <w:rFonts w:ascii="Arial" w:eastAsiaTheme="minorEastAsia" w:hAnsi="Arial" w:cs="Arial"/>
          <w:sz w:val="22"/>
          <w:szCs w:val="22"/>
        </w:rPr>
        <w:t xml:space="preserve">immunoglobulin G4 (IgG4) </w:t>
      </w:r>
      <w:r w:rsidR="002A7B34" w:rsidRPr="004458AC">
        <w:rPr>
          <w:rFonts w:ascii="Arial" w:eastAsiaTheme="minorEastAsia" w:hAnsi="Arial" w:cs="Arial"/>
          <w:sz w:val="22"/>
          <w:szCs w:val="22"/>
        </w:rPr>
        <w:t>antibody responses against</w:t>
      </w:r>
      <w:r w:rsidR="00577D28" w:rsidRPr="004458AC">
        <w:rPr>
          <w:rFonts w:ascii="Arial" w:eastAsiaTheme="minorEastAsia" w:hAnsi="Arial" w:cs="Arial"/>
          <w:sz w:val="22"/>
          <w:szCs w:val="22"/>
        </w:rPr>
        <w:t xml:space="preserve"> the Ov16 </w:t>
      </w:r>
      <w:r w:rsidR="00DC456D" w:rsidRPr="004458AC">
        <w:rPr>
          <w:rFonts w:ascii="Arial" w:eastAsiaTheme="minorEastAsia" w:hAnsi="Arial" w:cs="Arial"/>
          <w:i/>
          <w:sz w:val="22"/>
          <w:szCs w:val="22"/>
        </w:rPr>
        <w:t>O. </w:t>
      </w:r>
      <w:r w:rsidR="00577D28" w:rsidRPr="004458AC">
        <w:rPr>
          <w:rFonts w:ascii="Arial" w:eastAsiaTheme="minorEastAsia" w:hAnsi="Arial" w:cs="Arial"/>
          <w:i/>
          <w:sz w:val="22"/>
          <w:szCs w:val="22"/>
        </w:rPr>
        <w:t>volvulus</w:t>
      </w:r>
      <w:r w:rsidR="00577D28" w:rsidRPr="004458AC">
        <w:rPr>
          <w:rFonts w:ascii="Arial" w:eastAsiaTheme="minorEastAsia" w:hAnsi="Arial" w:cs="Arial"/>
          <w:sz w:val="22"/>
          <w:szCs w:val="22"/>
        </w:rPr>
        <w:t xml:space="preserve"> antigen</w:t>
      </w:r>
      <w:r w:rsidR="00560567" w:rsidRPr="004458AC">
        <w:rPr>
          <w:rFonts w:ascii="Arial" w:eastAsiaTheme="minorEastAsia" w:hAnsi="Arial" w:cs="Arial"/>
          <w:sz w:val="22"/>
          <w:szCs w:val="22"/>
        </w:rPr>
        <w:t>) with the aim of determining the timing of seroconversion following infection. The hypotheses tested were that seroconversion takes place</w:t>
      </w:r>
      <w:r w:rsidR="00056C25" w:rsidRPr="004458AC">
        <w:rPr>
          <w:rFonts w:ascii="Arial" w:eastAsiaTheme="minorEastAsia" w:hAnsi="Arial" w:cs="Arial"/>
          <w:sz w:val="22"/>
          <w:szCs w:val="22"/>
        </w:rPr>
        <w:t>: H1</w:t>
      </w:r>
      <w:r w:rsidR="004B1F3D" w:rsidRPr="004458AC">
        <w:rPr>
          <w:rFonts w:ascii="Arial" w:eastAsiaTheme="minorEastAsia" w:hAnsi="Arial" w:cs="Arial"/>
          <w:sz w:val="22"/>
          <w:szCs w:val="22"/>
        </w:rPr>
        <w:t>) following expo</w:t>
      </w:r>
      <w:r w:rsidR="00056C25" w:rsidRPr="004458AC">
        <w:rPr>
          <w:rFonts w:ascii="Arial" w:eastAsiaTheme="minorEastAsia" w:hAnsi="Arial" w:cs="Arial"/>
          <w:sz w:val="22"/>
          <w:szCs w:val="22"/>
        </w:rPr>
        <w:t>sure to infective, L3 larvae; H2</w:t>
      </w:r>
      <w:r w:rsidR="004B1F3D" w:rsidRPr="004458AC">
        <w:rPr>
          <w:rFonts w:ascii="Arial" w:eastAsiaTheme="minorEastAsia" w:hAnsi="Arial" w:cs="Arial"/>
          <w:sz w:val="22"/>
          <w:szCs w:val="22"/>
        </w:rPr>
        <w:t>) following the moult from L4 larvae to L5, juvenile adults</w:t>
      </w:r>
      <w:r w:rsidR="00056C25" w:rsidRPr="004458AC">
        <w:rPr>
          <w:rFonts w:ascii="Arial" w:eastAsiaTheme="minorEastAsia" w:hAnsi="Arial" w:cs="Arial"/>
          <w:sz w:val="22"/>
          <w:szCs w:val="22"/>
        </w:rPr>
        <w:t>; H3</w:t>
      </w:r>
      <w:r w:rsidR="00066FA0" w:rsidRPr="004458AC">
        <w:rPr>
          <w:rFonts w:ascii="Arial" w:eastAsiaTheme="minorEastAsia" w:hAnsi="Arial" w:cs="Arial"/>
          <w:sz w:val="22"/>
          <w:szCs w:val="22"/>
        </w:rPr>
        <w:t xml:space="preserve">) following the establishment of a mature worm </w:t>
      </w:r>
      <w:r w:rsidR="00056C25" w:rsidRPr="004458AC">
        <w:rPr>
          <w:rFonts w:ascii="Arial" w:eastAsiaTheme="minorEastAsia" w:hAnsi="Arial" w:cs="Arial"/>
          <w:sz w:val="22"/>
          <w:szCs w:val="22"/>
        </w:rPr>
        <w:t>(of either sex), and H4</w:t>
      </w:r>
      <w:r w:rsidR="00066FA0" w:rsidRPr="004458AC">
        <w:rPr>
          <w:rFonts w:ascii="Arial" w:eastAsiaTheme="minorEastAsia" w:hAnsi="Arial" w:cs="Arial"/>
          <w:sz w:val="22"/>
          <w:szCs w:val="22"/>
        </w:rPr>
        <w:t>) following the</w:t>
      </w:r>
      <w:r w:rsidR="00577D28" w:rsidRPr="004458AC">
        <w:rPr>
          <w:rFonts w:ascii="Arial" w:eastAsiaTheme="minorEastAsia" w:hAnsi="Arial" w:cs="Arial"/>
          <w:sz w:val="22"/>
          <w:szCs w:val="22"/>
        </w:rPr>
        <w:t xml:space="preserve"> </w:t>
      </w:r>
      <w:r w:rsidR="00066FA0" w:rsidRPr="004458AC">
        <w:rPr>
          <w:rFonts w:ascii="Arial" w:eastAsiaTheme="minorEastAsia" w:hAnsi="Arial" w:cs="Arial"/>
          <w:sz w:val="22"/>
          <w:szCs w:val="22"/>
        </w:rPr>
        <w:t xml:space="preserve">production of microfilariae by a mating worm pair. </w:t>
      </w:r>
      <w:r w:rsidR="00056C25" w:rsidRPr="004458AC">
        <w:rPr>
          <w:rFonts w:ascii="Arial" w:eastAsiaTheme="minorEastAsia" w:hAnsi="Arial" w:cs="Arial"/>
          <w:sz w:val="22"/>
          <w:szCs w:val="22"/>
        </w:rPr>
        <w:t>The hypothesis that seroconversion is triggered by patent infection (H4) provided a better quantitative fit to data</w:t>
      </w:r>
      <w:r w:rsidR="00C33093" w:rsidRPr="004458AC">
        <w:rPr>
          <w:rFonts w:ascii="Arial" w:eastAsiaTheme="minorEastAsia" w:hAnsi="Arial" w:cs="Arial"/>
          <w:sz w:val="22"/>
          <w:szCs w:val="22"/>
        </w:rPr>
        <w:t xml:space="preserve"> from 4,257 individuals living in 58 ivermectin-naïve communities in Gabon </w:t>
      </w:r>
      <w:r w:rsidR="00617D2F" w:rsidRPr="004458AC">
        <w:rPr>
          <w:rFonts w:ascii="Arial" w:eastAsiaTheme="minorEastAsia" w:hAnsi="Arial" w:cs="Arial"/>
          <w:sz w:val="22"/>
          <w:szCs w:val="22"/>
        </w:rPr>
        <w:t>[</w:t>
      </w:r>
      <w:r w:rsidR="005E08EF" w:rsidRPr="004458AC">
        <w:rPr>
          <w:rFonts w:ascii="Arial" w:eastAsiaTheme="minorEastAsia" w:hAnsi="Arial" w:cs="Arial"/>
          <w:sz w:val="22"/>
          <w:szCs w:val="22"/>
        </w:rPr>
        <w:t>2</w:t>
      </w:r>
      <w:r w:rsidR="00617D2F" w:rsidRPr="004458AC">
        <w:rPr>
          <w:rFonts w:ascii="Arial" w:eastAsiaTheme="minorEastAsia" w:hAnsi="Arial" w:cs="Arial"/>
          <w:sz w:val="22"/>
          <w:szCs w:val="22"/>
        </w:rPr>
        <w:t>]</w:t>
      </w:r>
      <w:r w:rsidRPr="004458AC">
        <w:rPr>
          <w:rFonts w:ascii="Arial" w:eastAsiaTheme="minorEastAsia" w:hAnsi="Arial" w:cs="Arial"/>
          <w:sz w:val="22"/>
          <w:szCs w:val="22"/>
        </w:rPr>
        <w:t xml:space="preserve">. </w:t>
      </w:r>
      <w:r w:rsidR="00122900" w:rsidRPr="004458AC">
        <w:rPr>
          <w:rFonts w:ascii="Arial" w:eastAsiaTheme="minorEastAsia" w:hAnsi="Arial" w:cs="Arial"/>
          <w:sz w:val="22"/>
          <w:szCs w:val="22"/>
        </w:rPr>
        <w:t xml:space="preserve">Hypothesis H4 is </w:t>
      </w:r>
      <w:r w:rsidR="00E71CB9" w:rsidRPr="004458AC">
        <w:rPr>
          <w:rFonts w:ascii="Arial" w:eastAsiaTheme="minorEastAsia" w:hAnsi="Arial" w:cs="Arial"/>
          <w:sz w:val="22"/>
          <w:szCs w:val="22"/>
        </w:rPr>
        <w:t xml:space="preserve">also </w:t>
      </w:r>
      <w:r w:rsidR="00122900" w:rsidRPr="004458AC">
        <w:rPr>
          <w:rFonts w:ascii="Arial" w:eastAsiaTheme="minorEastAsia" w:hAnsi="Arial" w:cs="Arial"/>
          <w:sz w:val="22"/>
          <w:szCs w:val="22"/>
        </w:rPr>
        <w:t xml:space="preserve">consistent with </w:t>
      </w:r>
      <w:r w:rsidR="002A7B34" w:rsidRPr="004458AC">
        <w:rPr>
          <w:rFonts w:ascii="Arial" w:eastAsiaTheme="minorEastAsia" w:hAnsi="Arial" w:cs="Arial"/>
          <w:sz w:val="22"/>
          <w:szCs w:val="22"/>
        </w:rPr>
        <w:t>the results of a study investigating</w:t>
      </w:r>
      <w:r w:rsidR="00E71CB9" w:rsidRPr="004458AC">
        <w:rPr>
          <w:rFonts w:ascii="Arial" w:eastAsiaTheme="minorEastAsia" w:hAnsi="Arial" w:cs="Arial"/>
          <w:sz w:val="22"/>
          <w:szCs w:val="22"/>
        </w:rPr>
        <w:t xml:space="preserve"> anti-Ov16 dynamics following experimental infection of</w:t>
      </w:r>
      <w:r w:rsidR="00122900" w:rsidRPr="004458AC">
        <w:rPr>
          <w:rFonts w:ascii="Arial" w:eastAsiaTheme="minorEastAsia" w:hAnsi="Arial" w:cs="Arial"/>
          <w:sz w:val="22"/>
          <w:szCs w:val="22"/>
        </w:rPr>
        <w:t xml:space="preserve"> non-human primates</w:t>
      </w:r>
      <w:r w:rsidR="002A7B34" w:rsidRPr="004458AC">
        <w:rPr>
          <w:rFonts w:ascii="Arial" w:eastAsiaTheme="minorEastAsia" w:hAnsi="Arial" w:cs="Arial"/>
          <w:sz w:val="22"/>
          <w:szCs w:val="22"/>
        </w:rPr>
        <w:t xml:space="preserve"> with </w:t>
      </w:r>
      <w:r w:rsidR="002A7B34" w:rsidRPr="004458AC">
        <w:rPr>
          <w:rFonts w:ascii="Arial" w:eastAsiaTheme="minorEastAsia" w:hAnsi="Arial" w:cs="Arial"/>
          <w:i/>
          <w:sz w:val="22"/>
          <w:szCs w:val="22"/>
        </w:rPr>
        <w:t>O. volvulus</w:t>
      </w:r>
      <w:r w:rsidR="00122900" w:rsidRPr="004458AC">
        <w:rPr>
          <w:rFonts w:ascii="Arial" w:eastAsiaTheme="minorEastAsia" w:hAnsi="Arial" w:cs="Arial"/>
          <w:sz w:val="22"/>
          <w:szCs w:val="22"/>
        </w:rPr>
        <w:t xml:space="preserve"> </w:t>
      </w:r>
      <w:r w:rsidR="002A7B34" w:rsidRPr="004458AC">
        <w:rPr>
          <w:rFonts w:ascii="Arial" w:eastAsiaTheme="minorEastAsia" w:hAnsi="Arial" w:cs="Arial"/>
          <w:sz w:val="22"/>
          <w:szCs w:val="22"/>
        </w:rPr>
        <w:t xml:space="preserve">L3 larvae </w:t>
      </w:r>
      <w:r w:rsidR="00122900" w:rsidRPr="004458AC">
        <w:rPr>
          <w:rFonts w:ascii="Arial" w:eastAsiaTheme="minorEastAsia" w:hAnsi="Arial" w:cs="Arial"/>
          <w:sz w:val="22"/>
          <w:szCs w:val="22"/>
        </w:rPr>
        <w:t>[</w:t>
      </w:r>
      <w:r w:rsidR="005E08EF" w:rsidRPr="004458AC">
        <w:rPr>
          <w:rFonts w:ascii="Arial" w:eastAsiaTheme="minorEastAsia" w:hAnsi="Arial" w:cs="Arial"/>
          <w:sz w:val="22"/>
          <w:szCs w:val="22"/>
        </w:rPr>
        <w:t>3</w:t>
      </w:r>
      <w:r w:rsidR="00122900" w:rsidRPr="004458AC">
        <w:rPr>
          <w:rFonts w:ascii="Arial" w:eastAsiaTheme="minorEastAsia" w:hAnsi="Arial" w:cs="Arial"/>
          <w:sz w:val="22"/>
          <w:szCs w:val="22"/>
        </w:rPr>
        <w:t>]. However, i</w:t>
      </w:r>
      <w:r w:rsidR="00253692" w:rsidRPr="004458AC">
        <w:rPr>
          <w:rFonts w:ascii="Arial" w:eastAsiaTheme="minorEastAsia" w:hAnsi="Arial" w:cs="Arial"/>
          <w:sz w:val="22"/>
          <w:szCs w:val="22"/>
        </w:rPr>
        <w:t>t was not possible to dist</w:t>
      </w:r>
      <w:r w:rsidR="00122900" w:rsidRPr="004458AC">
        <w:rPr>
          <w:rFonts w:ascii="Arial" w:eastAsiaTheme="minorEastAsia" w:hAnsi="Arial" w:cs="Arial"/>
          <w:sz w:val="22"/>
          <w:szCs w:val="22"/>
        </w:rPr>
        <w:t>i</w:t>
      </w:r>
      <w:r w:rsidR="00253692" w:rsidRPr="004458AC">
        <w:rPr>
          <w:rFonts w:ascii="Arial" w:eastAsiaTheme="minorEastAsia" w:hAnsi="Arial" w:cs="Arial"/>
          <w:sz w:val="22"/>
          <w:szCs w:val="22"/>
        </w:rPr>
        <w:t xml:space="preserve">nguish between lifelong persistence of IgG4 antibodies (no </w:t>
      </w:r>
      <w:proofErr w:type="spellStart"/>
      <w:r w:rsidR="00253692" w:rsidRPr="004458AC">
        <w:rPr>
          <w:rFonts w:ascii="Arial" w:eastAsiaTheme="minorEastAsia" w:hAnsi="Arial" w:cs="Arial"/>
          <w:sz w:val="22"/>
          <w:szCs w:val="22"/>
        </w:rPr>
        <w:t>seroreversion</w:t>
      </w:r>
      <w:proofErr w:type="spellEnd"/>
      <w:r w:rsidR="00253692" w:rsidRPr="004458AC">
        <w:rPr>
          <w:rFonts w:ascii="Arial" w:eastAsiaTheme="minorEastAsia" w:hAnsi="Arial" w:cs="Arial"/>
          <w:sz w:val="22"/>
          <w:szCs w:val="22"/>
        </w:rPr>
        <w:t xml:space="preserve">) and </w:t>
      </w:r>
      <w:proofErr w:type="spellStart"/>
      <w:r w:rsidR="00253692" w:rsidRPr="004458AC">
        <w:rPr>
          <w:rFonts w:ascii="Arial" w:eastAsiaTheme="minorEastAsia" w:hAnsi="Arial" w:cs="Arial"/>
          <w:sz w:val="22"/>
          <w:szCs w:val="22"/>
        </w:rPr>
        <w:t>seroreversion</w:t>
      </w:r>
      <w:proofErr w:type="spellEnd"/>
      <w:r w:rsidR="00253692" w:rsidRPr="004458AC">
        <w:rPr>
          <w:rFonts w:ascii="Arial" w:eastAsiaTheme="minorEastAsia" w:hAnsi="Arial" w:cs="Arial"/>
          <w:sz w:val="22"/>
          <w:szCs w:val="22"/>
        </w:rPr>
        <w:t xml:space="preserve"> occurring after clearance of all parasite stages (finite </w:t>
      </w:r>
      <w:proofErr w:type="spellStart"/>
      <w:r w:rsidR="00253692" w:rsidRPr="004458AC">
        <w:rPr>
          <w:rFonts w:ascii="Arial" w:eastAsiaTheme="minorEastAsia" w:hAnsi="Arial" w:cs="Arial"/>
          <w:sz w:val="22"/>
          <w:szCs w:val="22"/>
        </w:rPr>
        <w:t>seroreversion</w:t>
      </w:r>
      <w:proofErr w:type="spellEnd"/>
      <w:r w:rsidR="00253692" w:rsidRPr="004458AC">
        <w:rPr>
          <w:rFonts w:ascii="Arial" w:eastAsiaTheme="minorEastAsia" w:hAnsi="Arial" w:cs="Arial"/>
          <w:sz w:val="22"/>
          <w:szCs w:val="22"/>
        </w:rPr>
        <w:t>)</w:t>
      </w:r>
      <w:r w:rsidR="00A32D0D" w:rsidRPr="004458AC">
        <w:rPr>
          <w:rFonts w:ascii="Arial" w:eastAsiaTheme="minorEastAsia" w:hAnsi="Arial" w:cs="Arial"/>
          <w:sz w:val="22"/>
          <w:szCs w:val="22"/>
        </w:rPr>
        <w:t xml:space="preserve"> [1]</w:t>
      </w:r>
      <w:r w:rsidR="00253692" w:rsidRPr="004458AC">
        <w:rPr>
          <w:rFonts w:ascii="Arial" w:eastAsiaTheme="minorEastAsia" w:hAnsi="Arial" w:cs="Arial"/>
          <w:sz w:val="22"/>
          <w:szCs w:val="22"/>
        </w:rPr>
        <w:t xml:space="preserve">. </w:t>
      </w:r>
      <w:r w:rsidR="00D477F6" w:rsidRPr="004458AC">
        <w:rPr>
          <w:rFonts w:ascii="Arial" w:eastAsiaTheme="minorEastAsia" w:hAnsi="Arial" w:cs="Arial"/>
          <w:sz w:val="22"/>
          <w:szCs w:val="22"/>
        </w:rPr>
        <w:t xml:space="preserve">Therefore, for the work presented here, we used hypothesis H4 (that IgG4 antibody seroconversion in response to Ov16 is elicited by a mating worm pair producing microfilariae) without </w:t>
      </w:r>
      <w:proofErr w:type="spellStart"/>
      <w:r w:rsidR="00D477F6" w:rsidRPr="004458AC">
        <w:rPr>
          <w:rFonts w:ascii="Arial" w:eastAsiaTheme="minorEastAsia" w:hAnsi="Arial" w:cs="Arial"/>
          <w:sz w:val="22"/>
          <w:szCs w:val="22"/>
        </w:rPr>
        <w:t>seroreversion</w:t>
      </w:r>
      <w:proofErr w:type="spellEnd"/>
      <w:r w:rsidR="00E71CB9" w:rsidRPr="004458AC">
        <w:rPr>
          <w:rFonts w:ascii="Arial" w:eastAsiaTheme="minorEastAsia" w:hAnsi="Arial" w:cs="Arial"/>
          <w:sz w:val="22"/>
          <w:szCs w:val="22"/>
        </w:rPr>
        <w:t>.</w:t>
      </w:r>
      <w:r w:rsidR="00253692" w:rsidRPr="004458AC">
        <w:rPr>
          <w:rFonts w:ascii="Arial" w:eastAsiaTheme="minorEastAsia" w:hAnsi="Arial" w:cs="Arial"/>
          <w:sz w:val="22"/>
          <w:szCs w:val="22"/>
        </w:rPr>
        <w:t xml:space="preserve"> </w:t>
      </w:r>
      <w:r w:rsidR="00707824" w:rsidRPr="004458AC">
        <w:rPr>
          <w:rFonts w:ascii="Arial" w:eastAsiaTheme="minorEastAsia" w:hAnsi="Arial" w:cs="Arial"/>
          <w:sz w:val="22"/>
          <w:szCs w:val="22"/>
        </w:rPr>
        <w:t xml:space="preserve">For this </w:t>
      </w:r>
      <w:r w:rsidR="00707824" w:rsidRPr="004458AC">
        <w:rPr>
          <w:rFonts w:ascii="Arial" w:eastAsiaTheme="minorEastAsia" w:hAnsi="Arial" w:cs="Arial"/>
          <w:i/>
          <w:sz w:val="22"/>
          <w:szCs w:val="22"/>
        </w:rPr>
        <w:t xml:space="preserve">in </w:t>
      </w:r>
      <w:proofErr w:type="spellStart"/>
      <w:r w:rsidR="00707824" w:rsidRPr="004458AC">
        <w:rPr>
          <w:rFonts w:ascii="Arial" w:eastAsiaTheme="minorEastAsia" w:hAnsi="Arial" w:cs="Arial"/>
          <w:i/>
          <w:sz w:val="22"/>
          <w:szCs w:val="22"/>
        </w:rPr>
        <w:t>silico</w:t>
      </w:r>
      <w:proofErr w:type="spellEnd"/>
      <w:r w:rsidR="00707824" w:rsidRPr="004458AC">
        <w:rPr>
          <w:rFonts w:ascii="Arial" w:eastAsiaTheme="minorEastAsia" w:hAnsi="Arial" w:cs="Arial"/>
          <w:sz w:val="22"/>
          <w:szCs w:val="22"/>
        </w:rPr>
        <w:t xml:space="preserve"> study, we </w:t>
      </w:r>
      <w:r w:rsidR="00A32D0D" w:rsidRPr="004458AC">
        <w:rPr>
          <w:rFonts w:ascii="Arial" w:eastAsiaTheme="minorEastAsia" w:hAnsi="Arial" w:cs="Arial"/>
          <w:sz w:val="22"/>
          <w:szCs w:val="22"/>
        </w:rPr>
        <w:t xml:space="preserve">further </w:t>
      </w:r>
      <w:r w:rsidR="00707824" w:rsidRPr="004458AC">
        <w:rPr>
          <w:rFonts w:ascii="Arial" w:eastAsiaTheme="minorEastAsia" w:hAnsi="Arial" w:cs="Arial"/>
          <w:sz w:val="22"/>
          <w:szCs w:val="22"/>
        </w:rPr>
        <w:t>assumed that the Ov16 test has perfect sensitivity and specificity.</w:t>
      </w:r>
    </w:p>
    <w:p w14:paraId="7ED53A65" w14:textId="17B1424A" w:rsidR="000C05FE" w:rsidRPr="004458AC" w:rsidRDefault="000C05FE">
      <w:r w:rsidRPr="004458AC">
        <w:br w:type="page"/>
      </w:r>
    </w:p>
    <w:p w14:paraId="6B6A9B8E" w14:textId="636D0C84" w:rsidR="00CD4BCA" w:rsidRPr="004458AC" w:rsidRDefault="00CD4BCA" w:rsidP="007C2D92">
      <w:pPr>
        <w:widowControl w:val="0"/>
        <w:spacing w:line="480" w:lineRule="auto"/>
        <w:rPr>
          <w:rFonts w:ascii="Arial" w:hAnsi="Arial" w:cs="Arial"/>
        </w:rPr>
      </w:pPr>
      <w:r w:rsidRPr="004458AC">
        <w:rPr>
          <w:rFonts w:ascii="Arial" w:hAnsi="Arial" w:cs="Arial"/>
          <w:b/>
        </w:rPr>
        <w:lastRenderedPageBreak/>
        <w:t>Table S1.</w:t>
      </w:r>
      <w:r w:rsidRPr="004458AC">
        <w:rPr>
          <w:rFonts w:ascii="Arial" w:hAnsi="Arial" w:cs="Arial"/>
        </w:rPr>
        <w:t xml:space="preserve"> Example of demographic, infection and serology characteristics for </w:t>
      </w:r>
      <w:r w:rsidRPr="004458AC">
        <w:rPr>
          <w:rFonts w:ascii="Arial" w:hAnsi="Arial" w:cs="Arial"/>
          <w:i/>
        </w:rPr>
        <w:t xml:space="preserve">I </w:t>
      </w:r>
      <w:r w:rsidRPr="004458AC">
        <w:rPr>
          <w:rFonts w:ascii="Arial" w:hAnsi="Arial" w:cs="Arial"/>
        </w:rPr>
        <w:t xml:space="preserve">= 15 immigrants and </w:t>
      </w:r>
      <w:r w:rsidRPr="004458AC">
        <w:rPr>
          <w:rFonts w:ascii="Arial" w:hAnsi="Arial" w:cs="Arial"/>
          <w:i/>
        </w:rPr>
        <w:t>W</w:t>
      </w:r>
      <w:r w:rsidRPr="004458AC">
        <w:rPr>
          <w:rFonts w:ascii="Arial" w:hAnsi="Arial" w:cs="Arial"/>
        </w:rPr>
        <w:t xml:space="preserve"> = 10-20 worms from a ‘pool’ of immigrants exposed to 10,000 bites/person/year</w:t>
      </w:r>
      <w:r w:rsidR="001D6F98" w:rsidRPr="004458AC">
        <w:rPr>
          <w:rFonts w:ascii="Arial" w:hAnsi="Arial" w:cs="Arial"/>
        </w:rPr>
        <w:t xml:space="preserve"> simulated with 300 model repeats of EPIONCHO-IBM after reaching equilibrium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555"/>
        <w:gridCol w:w="1085"/>
        <w:gridCol w:w="950"/>
        <w:gridCol w:w="1650"/>
        <w:gridCol w:w="1418"/>
        <w:gridCol w:w="1701"/>
      </w:tblGrid>
      <w:tr w:rsidR="00CD4BCA" w:rsidRPr="004458AC" w14:paraId="7ED91335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637026C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Immigrant (</w:t>
            </w:r>
            <w:r w:rsidRPr="004458A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Pr="004458AC">
              <w:rPr>
                <w:rFonts w:ascii="Arial" w:eastAsia="Times New Roman" w:hAnsi="Arial" w:cs="Arial"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764CEC3" w14:textId="280204EE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  <w:r w:rsidR="00E7185B" w:rsidRPr="00445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proofErr w:type="spellStart"/>
            <w:r w:rsidR="00E7185B" w:rsidRPr="00445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yr</w:t>
            </w:r>
            <w:proofErr w:type="spellEnd"/>
            <w:r w:rsidR="00E7185B" w:rsidRPr="00445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15CED67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50C44BC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Microfilariae per skin snip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2B5C29B" w14:textId="5E365A7B" w:rsidR="00CD4BCA" w:rsidRPr="004458AC" w:rsidRDefault="00E7185B" w:rsidP="00E7185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Adult w</w:t>
            </w:r>
            <w:r w:rsidR="00CD4BCA" w:rsidRPr="00445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orms (</w:t>
            </w:r>
            <w:r w:rsidR="00CD4BCA" w:rsidRPr="004458AC"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</w:t>
            </w:r>
            <w:r w:rsidR="00CD4BCA" w:rsidRPr="004458AC">
              <w:rPr>
                <w:rFonts w:ascii="Arial" w:eastAsia="Times New Roman" w:hAnsi="Arial" w:cs="Arial"/>
                <w:b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1F77F3D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Anti-Ov16 </w:t>
            </w:r>
            <w:proofErr w:type="spellStart"/>
            <w:r w:rsidRPr="00445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serostatus</w:t>
            </w:r>
            <w:proofErr w:type="spellEnd"/>
          </w:p>
        </w:tc>
      </w:tr>
      <w:tr w:rsidR="00CD4BCA" w:rsidRPr="004458AC" w14:paraId="60771E5E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68C2E677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18105A25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65EFB08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4D14795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BB40BA0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352ED390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66440825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4DAEF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FD40D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6A64E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6BEEC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C7539B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F1C0E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0BF4813A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5AF96315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C5B0F32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3C62C097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33832903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9C92EDB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6176E6F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02874666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E4CF0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A55E0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D3F2D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D8228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70616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12D64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16F2FD61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1AA46E34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31248EBF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6284F54C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1C3627E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5FA6353E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06557194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6F457B35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F3813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6EF78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D9BC5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DC8DC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F4FCD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2547EF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3212E724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579482DC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776D0D42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DA286ED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F1F05F1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7433D234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03140510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4CDA18FC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A2FFE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FDA92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0EED4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7020D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667B1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4C944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6CD6751E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65FD48DF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0E17E3C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5B49ADE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1CA5ECAD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4755AE7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52D1048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00C87E52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7ED5E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A1787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54A91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A832D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741C4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2F61D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4CD6D9B5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6A2C3B7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D3B189A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6F2B981B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76774954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59450FBA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9794848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CD4BCA" w:rsidRPr="004458AC" w14:paraId="6F3A171F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ACFA4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CAD15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8C4B1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E6768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1E7F5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C807D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69C9720B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295E6B1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6BBFD377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39205ACA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947DA37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48B39DC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C378A82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6028EDE4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90183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BDF8B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BD97F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43BCAB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9DCA9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338DA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CD4BCA" w:rsidRPr="004458AC" w14:paraId="47C711D8" w14:textId="77777777" w:rsidTr="00CD4BCA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1D3B36D8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03B3CF58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4261266" w14:textId="77777777" w:rsidR="00CD4BCA" w:rsidRPr="004458AC" w:rsidRDefault="00CD4BCA" w:rsidP="00E7185B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639CAC11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0C82004A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7251D0E0" w14:textId="77777777" w:rsidR="00CD4BCA" w:rsidRPr="004458AC" w:rsidRDefault="00CD4BCA" w:rsidP="00E7185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58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</w:tbl>
    <w:p w14:paraId="39941FDD" w14:textId="0C6286B6" w:rsidR="00E7185B" w:rsidRPr="004458AC" w:rsidRDefault="00E7185B" w:rsidP="007C2D92">
      <w:pPr>
        <w:widowControl w:val="0"/>
        <w:spacing w:line="480" w:lineRule="auto"/>
      </w:pPr>
    </w:p>
    <w:p w14:paraId="4347DFEA" w14:textId="77777777" w:rsidR="00E7185B" w:rsidRPr="004458AC" w:rsidRDefault="00E7185B" w:rsidP="00E7185B">
      <w:pPr>
        <w:spacing w:line="480" w:lineRule="auto"/>
        <w:jc w:val="both"/>
        <w:rPr>
          <w:rFonts w:ascii="Arial" w:hAnsi="Arial" w:cs="Arial"/>
          <w:b/>
        </w:rPr>
      </w:pPr>
      <w:r w:rsidRPr="004458AC">
        <w:rPr>
          <w:rFonts w:ascii="Arial" w:hAnsi="Arial" w:cs="Arial"/>
          <w:b/>
        </w:rPr>
        <w:t>Text S2. Modelling for policy: PRIME-NTD</w:t>
      </w:r>
    </w:p>
    <w:p w14:paraId="3765DAAB" w14:textId="50CC6A73" w:rsidR="00E7185B" w:rsidRPr="004458AC" w:rsidRDefault="00E7185B" w:rsidP="00E7185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458AC">
        <w:rPr>
          <w:rFonts w:ascii="Arial" w:hAnsi="Arial" w:cs="Arial"/>
          <w:sz w:val="22"/>
          <w:szCs w:val="22"/>
        </w:rPr>
        <w:t xml:space="preserve">For the analyses presented, we adhered to the Five Principles of the Neglected Tropical Diseases (NTD) Modelling Consortium for good practice in policy-relevant NTD modelling </w:t>
      </w:r>
      <w:r w:rsidR="005E08EF" w:rsidRPr="004458AC">
        <w:rPr>
          <w:rFonts w:ascii="Arial" w:hAnsi="Arial" w:cs="Arial"/>
          <w:sz w:val="22"/>
          <w:szCs w:val="22"/>
        </w:rPr>
        <w:t>[4</w:t>
      </w:r>
      <w:r w:rsidRPr="004458AC">
        <w:rPr>
          <w:rFonts w:ascii="Arial" w:hAnsi="Arial" w:cs="Arial"/>
          <w:sz w:val="22"/>
          <w:szCs w:val="22"/>
        </w:rPr>
        <w:t>]. Table S2 briefly describes the five tenets, how they were fulfilled, and where in the Main Text and/or Additional File 1 they can be found.</w:t>
      </w:r>
    </w:p>
    <w:p w14:paraId="1A2AA41F" w14:textId="70E70503" w:rsidR="00E7185B" w:rsidRPr="004458AC" w:rsidRDefault="00E7185B">
      <w:pPr>
        <w:rPr>
          <w:rFonts w:ascii="Arial" w:hAnsi="Arial" w:cs="Arial"/>
          <w:sz w:val="22"/>
          <w:szCs w:val="22"/>
        </w:rPr>
      </w:pPr>
      <w:r w:rsidRPr="004458AC">
        <w:rPr>
          <w:rFonts w:ascii="Arial" w:hAnsi="Arial" w:cs="Arial"/>
          <w:sz w:val="22"/>
          <w:szCs w:val="22"/>
        </w:rPr>
        <w:br w:type="page"/>
      </w:r>
    </w:p>
    <w:p w14:paraId="5982909C" w14:textId="77777777" w:rsidR="00E7185B" w:rsidRPr="004458AC" w:rsidRDefault="00E7185B" w:rsidP="00E7185B">
      <w:pPr>
        <w:spacing w:line="480" w:lineRule="auto"/>
        <w:jc w:val="both"/>
        <w:rPr>
          <w:rFonts w:ascii="Arial" w:hAnsi="Arial" w:cs="Arial"/>
        </w:rPr>
      </w:pPr>
      <w:r w:rsidRPr="004458AC">
        <w:rPr>
          <w:rFonts w:ascii="Arial" w:hAnsi="Arial" w:cs="Arial"/>
          <w:b/>
          <w:bCs/>
        </w:rPr>
        <w:lastRenderedPageBreak/>
        <w:t>Table S2.</w:t>
      </w:r>
      <w:r w:rsidRPr="004458AC">
        <w:rPr>
          <w:rFonts w:ascii="Arial" w:hAnsi="Arial" w:cs="Arial"/>
          <w:i/>
        </w:rPr>
        <w:t xml:space="preserve"> </w:t>
      </w:r>
      <w:r w:rsidRPr="004458AC">
        <w:rPr>
          <w:rFonts w:ascii="Arial" w:hAnsi="Arial" w:cs="Arial"/>
        </w:rPr>
        <w:t xml:space="preserve">Policy-Relevant Items for Reporting Models in Epidemiology of Neglected Tropical Diseases (PRIME-NTD) summary table [4].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2920"/>
      </w:tblGrid>
      <w:tr w:rsidR="00E7185B" w:rsidRPr="004458AC" w14:paraId="5D9FA676" w14:textId="77777777" w:rsidTr="00473093"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0F29D3F" w14:textId="77777777" w:rsidR="00E7185B" w:rsidRPr="004458AC" w:rsidRDefault="00E7185B" w:rsidP="00CF1650">
            <w:pPr>
              <w:spacing w:before="60" w:after="60" w:line="324" w:lineRule="auto"/>
              <w:rPr>
                <w:rFonts w:ascii="Arial" w:hAnsi="Arial" w:cs="Arial"/>
                <w:b/>
                <w:bCs/>
              </w:rPr>
            </w:pPr>
            <w:r w:rsidRPr="004458AC">
              <w:rPr>
                <w:rFonts w:ascii="Arial" w:hAnsi="Arial" w:cs="Arial"/>
                <w:b/>
                <w:bCs/>
              </w:rPr>
              <w:t>Principle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68734ED" w14:textId="77777777" w:rsidR="00E7185B" w:rsidRPr="004458AC" w:rsidRDefault="00E7185B" w:rsidP="00CF1650">
            <w:pPr>
              <w:spacing w:before="60" w:after="60" w:line="324" w:lineRule="auto"/>
              <w:rPr>
                <w:rFonts w:ascii="Arial" w:hAnsi="Arial" w:cs="Arial"/>
                <w:b/>
                <w:bCs/>
              </w:rPr>
            </w:pPr>
            <w:r w:rsidRPr="004458AC">
              <w:rPr>
                <w:rFonts w:ascii="Arial" w:hAnsi="Arial" w:cs="Arial"/>
                <w:b/>
                <w:bCs/>
              </w:rPr>
              <w:t>What has been done to satisfy the principle?</w:t>
            </w:r>
          </w:p>
        </w:tc>
        <w:tc>
          <w:tcPr>
            <w:tcW w:w="29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C066D66" w14:textId="77777777" w:rsidR="00E7185B" w:rsidRPr="004458AC" w:rsidRDefault="00E7185B" w:rsidP="00CF1650">
            <w:pPr>
              <w:spacing w:before="60" w:after="60" w:line="324" w:lineRule="auto"/>
              <w:rPr>
                <w:rFonts w:ascii="Arial" w:hAnsi="Arial" w:cs="Arial"/>
                <w:b/>
                <w:bCs/>
              </w:rPr>
            </w:pPr>
            <w:r w:rsidRPr="004458AC">
              <w:rPr>
                <w:rFonts w:ascii="Arial" w:hAnsi="Arial" w:cs="Arial"/>
                <w:b/>
                <w:bCs/>
              </w:rPr>
              <w:t>Where in the manuscript is this described?</w:t>
            </w:r>
          </w:p>
        </w:tc>
      </w:tr>
      <w:tr w:rsidR="00E7185B" w:rsidRPr="004458AC" w14:paraId="53C53C1F" w14:textId="77777777" w:rsidTr="00473093">
        <w:tc>
          <w:tcPr>
            <w:tcW w:w="2268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0C1F6DA" w14:textId="77777777" w:rsidR="00E7185B" w:rsidRPr="004458AC" w:rsidRDefault="00E7185B" w:rsidP="00CF1650">
            <w:pPr>
              <w:spacing w:before="60" w:after="60" w:line="324" w:lineRule="auto"/>
              <w:rPr>
                <w:rFonts w:ascii="Arial" w:hAnsi="Arial" w:cs="Arial"/>
                <w:b/>
                <w:bCs/>
              </w:rPr>
            </w:pPr>
            <w:r w:rsidRPr="004458AC">
              <w:rPr>
                <w:rFonts w:ascii="Arial" w:hAnsi="Arial" w:cs="Arial"/>
                <w:b/>
                <w:bCs/>
              </w:rPr>
              <w:t>Stakeholder engagement</w:t>
            </w:r>
          </w:p>
        </w:tc>
        <w:tc>
          <w:tcPr>
            <w:tcW w:w="3828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C27D7F2" w14:textId="77777777" w:rsidR="00E7185B" w:rsidRPr="004458AC" w:rsidRDefault="00E7185B" w:rsidP="00CF1650">
            <w:pPr>
              <w:spacing w:before="60" w:after="60" w:line="324" w:lineRule="auto"/>
              <w:rPr>
                <w:rFonts w:ascii="Arial" w:hAnsi="Arial" w:cs="Arial"/>
              </w:rPr>
            </w:pPr>
            <w:r w:rsidRPr="004458AC">
              <w:rPr>
                <w:rFonts w:ascii="Arial" w:hAnsi="Arial" w:cs="Arial"/>
              </w:rPr>
              <w:t xml:space="preserve">Discussions with modelling and policy-focused collaborators </w:t>
            </w: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F943514" w14:textId="77777777" w:rsidR="00E7185B" w:rsidRPr="004458AC" w:rsidRDefault="00E7185B" w:rsidP="00CF1650">
            <w:pPr>
              <w:spacing w:before="60" w:after="60" w:line="324" w:lineRule="auto"/>
              <w:rPr>
                <w:rFonts w:ascii="Arial" w:hAnsi="Arial" w:cs="Arial"/>
              </w:rPr>
            </w:pPr>
            <w:r w:rsidRPr="004458AC">
              <w:rPr>
                <w:rFonts w:ascii="Arial" w:hAnsi="Arial" w:cs="Arial"/>
              </w:rPr>
              <w:t xml:space="preserve">Author list, Acknowledgements section </w:t>
            </w:r>
          </w:p>
        </w:tc>
      </w:tr>
      <w:tr w:rsidR="00E7185B" w:rsidRPr="004458AC" w14:paraId="6BDD6D43" w14:textId="77777777" w:rsidTr="00473093">
        <w:tc>
          <w:tcPr>
            <w:tcW w:w="2268" w:type="dxa"/>
            <w:shd w:val="clear" w:color="auto" w:fill="auto"/>
          </w:tcPr>
          <w:p w14:paraId="50A054C4" w14:textId="77777777" w:rsidR="00E7185B" w:rsidRPr="004458AC" w:rsidRDefault="00E7185B" w:rsidP="00CF1650">
            <w:pPr>
              <w:spacing w:before="60" w:after="60" w:line="324" w:lineRule="auto"/>
              <w:rPr>
                <w:rFonts w:ascii="Arial" w:hAnsi="Arial" w:cs="Arial"/>
                <w:b/>
                <w:bCs/>
              </w:rPr>
            </w:pPr>
            <w:r w:rsidRPr="004458AC">
              <w:rPr>
                <w:rFonts w:ascii="Arial" w:hAnsi="Arial" w:cs="Arial"/>
                <w:b/>
                <w:bCs/>
              </w:rPr>
              <w:t>Complete model documentation</w:t>
            </w:r>
          </w:p>
        </w:tc>
        <w:tc>
          <w:tcPr>
            <w:tcW w:w="3828" w:type="dxa"/>
            <w:shd w:val="clear" w:color="auto" w:fill="auto"/>
          </w:tcPr>
          <w:p w14:paraId="31E0C56F" w14:textId="77777777" w:rsidR="00E7185B" w:rsidRPr="004458AC" w:rsidRDefault="00E7185B" w:rsidP="004F429A">
            <w:pPr>
              <w:spacing w:before="60" w:after="60" w:line="324" w:lineRule="auto"/>
              <w:rPr>
                <w:rFonts w:ascii="Arial" w:hAnsi="Arial" w:cs="Arial"/>
              </w:rPr>
            </w:pPr>
            <w:r w:rsidRPr="004458AC">
              <w:rPr>
                <w:rFonts w:ascii="Arial" w:eastAsia="Arial" w:hAnsi="Arial" w:cs="Arial"/>
                <w:bCs/>
              </w:rPr>
              <w:t>References to the full description of EPIONCHO-IBM are provided. An Open Access link to the code has been given</w:t>
            </w:r>
          </w:p>
        </w:tc>
        <w:tc>
          <w:tcPr>
            <w:tcW w:w="2920" w:type="dxa"/>
            <w:shd w:val="clear" w:color="auto" w:fill="auto"/>
          </w:tcPr>
          <w:p w14:paraId="17031230" w14:textId="0970406A" w:rsidR="00E7185B" w:rsidRPr="004458AC" w:rsidRDefault="00E7185B" w:rsidP="00CF1650">
            <w:pPr>
              <w:spacing w:before="60" w:after="60" w:line="324" w:lineRule="auto"/>
              <w:rPr>
                <w:rFonts w:ascii="Arial" w:hAnsi="Arial" w:cs="Arial"/>
              </w:rPr>
            </w:pPr>
            <w:r w:rsidRPr="004458AC">
              <w:rPr>
                <w:rFonts w:ascii="Arial" w:hAnsi="Arial" w:cs="Arial"/>
              </w:rPr>
              <w:t>Methods section and Code availability statement</w:t>
            </w:r>
          </w:p>
        </w:tc>
      </w:tr>
      <w:tr w:rsidR="00E7185B" w:rsidRPr="004458AC" w14:paraId="78297F9E" w14:textId="77777777" w:rsidTr="00473093">
        <w:tc>
          <w:tcPr>
            <w:tcW w:w="2268" w:type="dxa"/>
            <w:shd w:val="clear" w:color="auto" w:fill="D9D9D9" w:themeFill="background1" w:themeFillShade="D9"/>
          </w:tcPr>
          <w:p w14:paraId="28B59B87" w14:textId="77777777" w:rsidR="00E7185B" w:rsidRPr="004458AC" w:rsidRDefault="00E7185B" w:rsidP="00CF1650">
            <w:pPr>
              <w:spacing w:before="60" w:after="60" w:line="324" w:lineRule="auto"/>
              <w:rPr>
                <w:rFonts w:ascii="Arial" w:hAnsi="Arial" w:cs="Arial"/>
                <w:b/>
                <w:bCs/>
              </w:rPr>
            </w:pPr>
            <w:r w:rsidRPr="004458AC">
              <w:rPr>
                <w:rFonts w:ascii="Arial" w:hAnsi="Arial" w:cs="Arial"/>
                <w:b/>
                <w:bCs/>
              </w:rPr>
              <w:t>Complete description of data used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A1C4B01" w14:textId="12705F02" w:rsidR="00E7185B" w:rsidRPr="004458AC" w:rsidRDefault="00E7185B" w:rsidP="00CF1650">
            <w:pPr>
              <w:spacing w:before="60" w:after="60" w:line="324" w:lineRule="auto"/>
              <w:rPr>
                <w:rFonts w:ascii="Arial" w:hAnsi="Arial" w:cs="Arial"/>
              </w:rPr>
            </w:pPr>
            <w:r w:rsidRPr="004458AC">
              <w:rPr>
                <w:rFonts w:ascii="Arial" w:hAnsi="Arial" w:cs="Arial"/>
              </w:rPr>
              <w:t xml:space="preserve">This was an </w:t>
            </w:r>
            <w:r w:rsidRPr="004458AC">
              <w:rPr>
                <w:rFonts w:ascii="Arial" w:hAnsi="Arial" w:cs="Arial"/>
                <w:i/>
              </w:rPr>
              <w:t xml:space="preserve">in </w:t>
            </w:r>
            <w:proofErr w:type="spellStart"/>
            <w:r w:rsidRPr="004458AC">
              <w:rPr>
                <w:rFonts w:ascii="Arial" w:hAnsi="Arial" w:cs="Arial"/>
                <w:i/>
              </w:rPr>
              <w:t>silico</w:t>
            </w:r>
            <w:proofErr w:type="spellEnd"/>
            <w:r w:rsidR="00225635" w:rsidRPr="004458AC">
              <w:rPr>
                <w:rFonts w:ascii="Arial" w:hAnsi="Arial" w:cs="Arial"/>
              </w:rPr>
              <w:t xml:space="preserve"> study which did not use</w:t>
            </w:r>
            <w:r w:rsidRPr="004458AC">
              <w:rPr>
                <w:rFonts w:ascii="Arial" w:hAnsi="Arial" w:cs="Arial"/>
              </w:rPr>
              <w:t xml:space="preserve"> raw data f</w:t>
            </w:r>
            <w:r w:rsidR="00225635" w:rsidRPr="004458AC">
              <w:rPr>
                <w:rFonts w:ascii="Arial" w:hAnsi="Arial" w:cs="Arial"/>
              </w:rPr>
              <w:t xml:space="preserve">or the modelling presented. The range of worm burdens </w:t>
            </w:r>
            <w:r w:rsidR="00473093" w:rsidRPr="004458AC">
              <w:rPr>
                <w:rFonts w:ascii="Arial" w:hAnsi="Arial" w:cs="Arial"/>
              </w:rPr>
              <w:t>used for immigrants was</w:t>
            </w:r>
            <w:r w:rsidR="00225635" w:rsidRPr="004458AC">
              <w:rPr>
                <w:rFonts w:ascii="Arial" w:hAnsi="Arial" w:cs="Arial"/>
              </w:rPr>
              <w:t xml:space="preserve"> motivated by </w:t>
            </w:r>
            <w:proofErr w:type="spellStart"/>
            <w:r w:rsidR="00473093" w:rsidRPr="004458AC">
              <w:rPr>
                <w:rFonts w:ascii="Arial" w:hAnsi="Arial" w:cs="Arial"/>
              </w:rPr>
              <w:t>nodulectomy</w:t>
            </w:r>
            <w:proofErr w:type="spellEnd"/>
            <w:r w:rsidR="00473093" w:rsidRPr="004458AC">
              <w:rPr>
                <w:rFonts w:ascii="Arial" w:hAnsi="Arial" w:cs="Arial"/>
              </w:rPr>
              <w:t xml:space="preserve"> and genomic </w:t>
            </w:r>
            <w:r w:rsidR="00225635" w:rsidRPr="004458AC">
              <w:rPr>
                <w:rFonts w:ascii="Arial" w:hAnsi="Arial" w:cs="Arial"/>
              </w:rPr>
              <w:t>studies</w:t>
            </w:r>
          </w:p>
        </w:tc>
        <w:tc>
          <w:tcPr>
            <w:tcW w:w="2920" w:type="dxa"/>
            <w:shd w:val="clear" w:color="auto" w:fill="D9D9D9" w:themeFill="background1" w:themeFillShade="D9"/>
          </w:tcPr>
          <w:p w14:paraId="2C9E8569" w14:textId="77777777" w:rsidR="00473093" w:rsidRPr="004458AC" w:rsidRDefault="00225635" w:rsidP="00225635">
            <w:pPr>
              <w:spacing w:before="60" w:after="60" w:line="324" w:lineRule="auto"/>
              <w:rPr>
                <w:rFonts w:ascii="Arial" w:hAnsi="Arial" w:cs="Arial"/>
              </w:rPr>
            </w:pPr>
            <w:r w:rsidRPr="004458AC">
              <w:rPr>
                <w:rFonts w:ascii="Arial" w:hAnsi="Arial" w:cs="Arial"/>
              </w:rPr>
              <w:t>Data availability statement.</w:t>
            </w:r>
          </w:p>
          <w:p w14:paraId="0A7651B7" w14:textId="03CE7A35" w:rsidR="00E7185B" w:rsidRPr="004458AC" w:rsidRDefault="00473093" w:rsidP="00225635">
            <w:pPr>
              <w:spacing w:before="60" w:after="60" w:line="324" w:lineRule="auto"/>
              <w:rPr>
                <w:rFonts w:ascii="Arial" w:hAnsi="Arial" w:cs="Arial"/>
              </w:rPr>
            </w:pPr>
            <w:r w:rsidRPr="004458AC">
              <w:rPr>
                <w:rFonts w:ascii="Arial" w:hAnsi="Arial" w:cs="Arial"/>
              </w:rPr>
              <w:t>Main Text and References</w:t>
            </w:r>
            <w:r w:rsidR="00225635" w:rsidRPr="004458AC">
              <w:rPr>
                <w:rFonts w:ascii="Arial" w:hAnsi="Arial" w:cs="Arial"/>
              </w:rPr>
              <w:t xml:space="preserve"> </w:t>
            </w:r>
          </w:p>
        </w:tc>
      </w:tr>
      <w:tr w:rsidR="00E7185B" w:rsidRPr="004458AC" w14:paraId="674415E8" w14:textId="77777777" w:rsidTr="00473093">
        <w:tc>
          <w:tcPr>
            <w:tcW w:w="2268" w:type="dxa"/>
            <w:shd w:val="clear" w:color="auto" w:fill="auto"/>
          </w:tcPr>
          <w:p w14:paraId="6B11BBB2" w14:textId="77777777" w:rsidR="00E7185B" w:rsidRPr="004458AC" w:rsidRDefault="00E7185B" w:rsidP="00CF1650">
            <w:pPr>
              <w:spacing w:before="60" w:after="60" w:line="324" w:lineRule="auto"/>
              <w:rPr>
                <w:rFonts w:ascii="Arial" w:hAnsi="Arial" w:cs="Arial"/>
                <w:b/>
                <w:bCs/>
              </w:rPr>
            </w:pPr>
            <w:r w:rsidRPr="004458AC">
              <w:rPr>
                <w:rFonts w:ascii="Arial" w:hAnsi="Arial" w:cs="Arial"/>
                <w:b/>
                <w:bCs/>
              </w:rPr>
              <w:t>Communicating uncertainty</w:t>
            </w:r>
          </w:p>
        </w:tc>
        <w:tc>
          <w:tcPr>
            <w:tcW w:w="3828" w:type="dxa"/>
            <w:shd w:val="clear" w:color="auto" w:fill="auto"/>
          </w:tcPr>
          <w:p w14:paraId="225A79B4" w14:textId="578C42C4" w:rsidR="00E7185B" w:rsidRPr="004458AC" w:rsidRDefault="00E7185B" w:rsidP="00BA32BA">
            <w:pPr>
              <w:spacing w:before="60" w:after="60" w:line="324" w:lineRule="auto"/>
              <w:rPr>
                <w:rFonts w:ascii="Arial" w:hAnsi="Arial" w:cs="Arial"/>
              </w:rPr>
            </w:pPr>
            <w:r w:rsidRPr="004458AC">
              <w:rPr>
                <w:rFonts w:ascii="Arial" w:hAnsi="Arial" w:cs="Arial"/>
              </w:rPr>
              <w:t xml:space="preserve">Sensitivity analyses were conducted </w:t>
            </w:r>
            <w:r w:rsidR="00BA32BA" w:rsidRPr="004458AC">
              <w:rPr>
                <w:rFonts w:ascii="Arial" w:hAnsi="Arial" w:cs="Arial"/>
              </w:rPr>
              <w:t>by varying the number of immigrants (</w:t>
            </w:r>
            <w:r w:rsidR="00BA32BA" w:rsidRPr="004458AC">
              <w:rPr>
                <w:rFonts w:ascii="Arial" w:hAnsi="Arial" w:cs="Arial"/>
                <w:i/>
              </w:rPr>
              <w:t>I</w:t>
            </w:r>
            <w:r w:rsidR="00BA32BA" w:rsidRPr="004458AC">
              <w:rPr>
                <w:rFonts w:ascii="Arial" w:hAnsi="Arial" w:cs="Arial"/>
              </w:rPr>
              <w:t>), their worm burdens (</w:t>
            </w:r>
            <w:r w:rsidR="00BA32BA" w:rsidRPr="004458AC">
              <w:rPr>
                <w:rFonts w:ascii="Arial" w:hAnsi="Arial" w:cs="Arial"/>
                <w:i/>
              </w:rPr>
              <w:t>W</w:t>
            </w:r>
            <w:r w:rsidR="00BA32BA" w:rsidRPr="004458AC">
              <w:rPr>
                <w:rFonts w:ascii="Arial" w:hAnsi="Arial" w:cs="Arial"/>
              </w:rPr>
              <w:t>), the size of the infection-free community (</w:t>
            </w:r>
            <w:r w:rsidR="00BA32BA" w:rsidRPr="004458AC">
              <w:rPr>
                <w:rFonts w:ascii="Arial" w:hAnsi="Arial" w:cs="Arial"/>
                <w:i/>
              </w:rPr>
              <w:t>N</w:t>
            </w:r>
            <w:r w:rsidR="00BA32BA" w:rsidRPr="004458AC">
              <w:rPr>
                <w:rFonts w:ascii="Arial" w:hAnsi="Arial" w:cs="Arial"/>
              </w:rPr>
              <w:t>) and its annual biting rate (ABR)</w:t>
            </w:r>
          </w:p>
        </w:tc>
        <w:tc>
          <w:tcPr>
            <w:tcW w:w="2920" w:type="dxa"/>
            <w:shd w:val="clear" w:color="auto" w:fill="auto"/>
          </w:tcPr>
          <w:p w14:paraId="03FBA05F" w14:textId="385D2420" w:rsidR="00E7185B" w:rsidRPr="004458AC" w:rsidRDefault="00BA32BA" w:rsidP="00BA32BA">
            <w:pPr>
              <w:spacing w:before="60" w:after="60" w:line="324" w:lineRule="auto"/>
              <w:rPr>
                <w:rFonts w:ascii="Arial" w:hAnsi="Arial" w:cs="Arial"/>
              </w:rPr>
            </w:pPr>
            <w:r w:rsidRPr="004458AC">
              <w:rPr>
                <w:rFonts w:ascii="Arial" w:hAnsi="Arial" w:cs="Arial"/>
              </w:rPr>
              <w:t xml:space="preserve">Table 1 in </w:t>
            </w:r>
            <w:r w:rsidR="00E7185B" w:rsidRPr="004458AC">
              <w:rPr>
                <w:rFonts w:ascii="Arial" w:hAnsi="Arial" w:cs="Arial"/>
              </w:rPr>
              <w:t>Methods</w:t>
            </w:r>
            <w:r w:rsidRPr="004458AC">
              <w:rPr>
                <w:rFonts w:ascii="Arial" w:hAnsi="Arial" w:cs="Arial"/>
              </w:rPr>
              <w:t>. Figures 1 to 4 and their captions in Results. Additional File F</w:t>
            </w:r>
            <w:r w:rsidR="00E7185B" w:rsidRPr="004458AC">
              <w:rPr>
                <w:rFonts w:ascii="Arial" w:hAnsi="Arial" w:cs="Arial"/>
              </w:rPr>
              <w:t>igures</w:t>
            </w:r>
            <w:r w:rsidR="002B4620" w:rsidRPr="004458AC">
              <w:rPr>
                <w:rFonts w:ascii="Arial" w:hAnsi="Arial" w:cs="Arial"/>
              </w:rPr>
              <w:t xml:space="preserve"> S1 to S4</w:t>
            </w:r>
          </w:p>
        </w:tc>
      </w:tr>
      <w:tr w:rsidR="00E7185B" w:rsidRPr="004458AC" w14:paraId="13169D67" w14:textId="77777777" w:rsidTr="00473093">
        <w:tc>
          <w:tcPr>
            <w:tcW w:w="2268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A09445E" w14:textId="77777777" w:rsidR="00E7185B" w:rsidRPr="004458AC" w:rsidRDefault="00E7185B" w:rsidP="00CF1650">
            <w:pPr>
              <w:spacing w:before="60" w:after="60" w:line="324" w:lineRule="auto"/>
              <w:rPr>
                <w:rFonts w:ascii="Arial" w:hAnsi="Arial" w:cs="Arial"/>
                <w:b/>
                <w:bCs/>
              </w:rPr>
            </w:pPr>
            <w:r w:rsidRPr="004458AC">
              <w:rPr>
                <w:rFonts w:ascii="Arial" w:hAnsi="Arial" w:cs="Arial"/>
                <w:b/>
                <w:bCs/>
              </w:rPr>
              <w:t>Testable model outcomes</w:t>
            </w:r>
          </w:p>
        </w:tc>
        <w:tc>
          <w:tcPr>
            <w:tcW w:w="3828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09090E2" w14:textId="0C7D89B5" w:rsidR="00E7185B" w:rsidRPr="004458AC" w:rsidRDefault="00011A4F" w:rsidP="00CF1650">
            <w:pPr>
              <w:spacing w:before="60" w:after="60" w:line="324" w:lineRule="auto"/>
              <w:rPr>
                <w:rFonts w:ascii="Arial" w:hAnsi="Arial" w:cs="Arial"/>
              </w:rPr>
            </w:pPr>
            <w:r w:rsidRPr="004458AC">
              <w:rPr>
                <w:rFonts w:ascii="Arial" w:hAnsi="Arial" w:cs="Arial"/>
              </w:rPr>
              <w:t xml:space="preserve">Results of immigration studies are discussed. The dynamics of anti-Ov16 </w:t>
            </w:r>
            <w:proofErr w:type="spellStart"/>
            <w:r w:rsidRPr="004458AC">
              <w:rPr>
                <w:rFonts w:ascii="Arial" w:hAnsi="Arial" w:cs="Arial"/>
              </w:rPr>
              <w:t>seroprevalence</w:t>
            </w:r>
            <w:proofErr w:type="spellEnd"/>
            <w:r w:rsidRPr="004458AC">
              <w:rPr>
                <w:rFonts w:ascii="Arial" w:hAnsi="Arial" w:cs="Arial"/>
              </w:rPr>
              <w:t xml:space="preserve"> in children </w:t>
            </w:r>
            <w:r w:rsidR="004D57B3" w:rsidRPr="004458AC">
              <w:rPr>
                <w:rFonts w:ascii="Arial" w:hAnsi="Arial" w:cs="Arial"/>
              </w:rPr>
              <w:t>could be compared with data from post-treatment surveillance studies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512F390" w14:textId="7E4A02C4" w:rsidR="00E7185B" w:rsidRPr="004458AC" w:rsidRDefault="005D6263" w:rsidP="00CF1650">
            <w:pPr>
              <w:spacing w:before="60" w:after="60" w:line="324" w:lineRule="auto"/>
              <w:rPr>
                <w:rFonts w:ascii="Arial" w:hAnsi="Arial" w:cs="Arial"/>
              </w:rPr>
            </w:pPr>
            <w:r w:rsidRPr="004458AC">
              <w:rPr>
                <w:rFonts w:ascii="Arial" w:hAnsi="Arial" w:cs="Arial"/>
              </w:rPr>
              <w:t>Results and Discussion</w:t>
            </w:r>
          </w:p>
        </w:tc>
      </w:tr>
    </w:tbl>
    <w:p w14:paraId="65A133D6" w14:textId="77777777" w:rsidR="00E7185B" w:rsidRPr="004458AC" w:rsidRDefault="00E7185B" w:rsidP="00E7185B">
      <w:pPr>
        <w:rPr>
          <w:rFonts w:ascii="Arial" w:hAnsi="Arial" w:cs="Arial"/>
          <w:sz w:val="22"/>
          <w:szCs w:val="22"/>
        </w:rPr>
      </w:pPr>
    </w:p>
    <w:p w14:paraId="7C292A4C" w14:textId="78590971" w:rsidR="005D6263" w:rsidRPr="004458AC" w:rsidRDefault="005D6263">
      <w:pPr>
        <w:rPr>
          <w:rFonts w:ascii="Arial" w:hAnsi="Arial" w:cs="Arial"/>
          <w:sz w:val="22"/>
          <w:szCs w:val="22"/>
        </w:rPr>
      </w:pPr>
      <w:r w:rsidRPr="004458AC">
        <w:rPr>
          <w:rFonts w:ascii="Arial" w:hAnsi="Arial" w:cs="Arial"/>
          <w:sz w:val="22"/>
          <w:szCs w:val="22"/>
        </w:rPr>
        <w:br w:type="page"/>
      </w:r>
    </w:p>
    <w:p w14:paraId="7C07134A" w14:textId="73238AA0" w:rsidR="001E5CCE" w:rsidRPr="004458AC" w:rsidRDefault="001F423B" w:rsidP="001F423B">
      <w:pPr>
        <w:widowControl w:val="0"/>
        <w:spacing w:line="480" w:lineRule="auto"/>
        <w:rPr>
          <w:rFonts w:ascii="Arial" w:hAnsi="Arial" w:cs="Arial"/>
        </w:rPr>
      </w:pPr>
      <w:r w:rsidRPr="004458AC">
        <w:rPr>
          <w:rFonts w:ascii="Arial" w:hAnsi="Arial" w:cs="Arial"/>
          <w:b/>
          <w:bCs/>
        </w:rPr>
        <w:lastRenderedPageBreak/>
        <w:t xml:space="preserve">Figure S1. </w:t>
      </w:r>
      <w:r w:rsidRPr="004458AC">
        <w:rPr>
          <w:rFonts w:ascii="Arial" w:hAnsi="Arial" w:cs="Arial"/>
          <w:bCs/>
        </w:rPr>
        <w:t xml:space="preserve">Effect of annual biting rate (ABR) on the persistence of </w:t>
      </w:r>
      <w:proofErr w:type="spellStart"/>
      <w:r w:rsidRPr="004458AC">
        <w:rPr>
          <w:rFonts w:ascii="Arial" w:hAnsi="Arial" w:cs="Arial"/>
          <w:bCs/>
          <w:i/>
          <w:iCs/>
        </w:rPr>
        <w:t>Onchocerca</w:t>
      </w:r>
      <w:proofErr w:type="spellEnd"/>
      <w:r w:rsidRPr="004458AC">
        <w:rPr>
          <w:rFonts w:ascii="Arial" w:hAnsi="Arial" w:cs="Arial"/>
          <w:bCs/>
          <w:i/>
          <w:iCs/>
        </w:rPr>
        <w:t xml:space="preserve"> volvulus </w:t>
      </w:r>
      <w:r w:rsidRPr="004458AC">
        <w:rPr>
          <w:rFonts w:ascii="Arial" w:hAnsi="Arial" w:cs="Arial"/>
          <w:bCs/>
        </w:rPr>
        <w:t>transmission in previously infection-free communities</w:t>
      </w:r>
    </w:p>
    <w:p w14:paraId="37C94B56" w14:textId="77777777" w:rsidR="00E71CB9" w:rsidRPr="004458AC" w:rsidRDefault="00E71CB9" w:rsidP="00E71CB9">
      <w:pPr>
        <w:pStyle w:val="NormalWeb"/>
      </w:pPr>
      <w:r w:rsidRPr="004458AC">
        <w:rPr>
          <w:noProof/>
        </w:rPr>
        <w:drawing>
          <wp:inline distT="0" distB="0" distL="0" distR="0" wp14:anchorId="405BF5A3" wp14:editId="55AD694D">
            <wp:extent cx="6163031" cy="3541318"/>
            <wp:effectExtent l="0" t="0" r="0" b="2540"/>
            <wp:docPr id="1" name="Picture 1" descr="C:\Users\mgbasa\OneDrive - Imperial College London\Documents\My Students\Jacob\Paper_04_Immigration\SI File-Fig. S1_JNS_09.07.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gbasa\OneDrive - Imperial College London\Documents\My Students\Jacob\Paper_04_Immigration\SI File-Fig. S1_JNS_09.07.20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710" cy="355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E4C1B" w14:textId="358A1F07" w:rsidR="001F423B" w:rsidRPr="004458AC" w:rsidRDefault="001F423B" w:rsidP="002A3F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58AC">
        <w:rPr>
          <w:rFonts w:ascii="Arial" w:hAnsi="Arial" w:cs="Arial"/>
          <w:sz w:val="22"/>
          <w:szCs w:val="22"/>
        </w:rPr>
        <w:t xml:space="preserve">The numbers of immigrants, </w:t>
      </w:r>
      <w:r w:rsidRPr="004458AC">
        <w:rPr>
          <w:rFonts w:ascii="Arial" w:hAnsi="Arial" w:cs="Arial"/>
          <w:i/>
          <w:iCs/>
          <w:sz w:val="22"/>
          <w:szCs w:val="22"/>
        </w:rPr>
        <w:t>I</w:t>
      </w:r>
      <w:r w:rsidRPr="004458AC">
        <w:rPr>
          <w:rFonts w:ascii="Arial" w:hAnsi="Arial" w:cs="Arial"/>
          <w:sz w:val="22"/>
          <w:szCs w:val="22"/>
        </w:rPr>
        <w:t xml:space="preserve"> (</w:t>
      </w:r>
      <w:r w:rsidRPr="004458AC">
        <w:rPr>
          <w:rFonts w:ascii="Arial" w:hAnsi="Arial" w:cs="Arial"/>
          <w:i/>
          <w:sz w:val="22"/>
          <w:szCs w:val="22"/>
        </w:rPr>
        <w:t>y</w:t>
      </w:r>
      <w:r w:rsidRPr="004458AC">
        <w:rPr>
          <w:rFonts w:ascii="Arial" w:hAnsi="Arial" w:cs="Arial"/>
          <w:sz w:val="22"/>
          <w:szCs w:val="22"/>
        </w:rPr>
        <w:t xml:space="preserve">-axis) with an adult </w:t>
      </w:r>
      <w:proofErr w:type="spellStart"/>
      <w:r w:rsidRPr="004458AC">
        <w:rPr>
          <w:rFonts w:ascii="Arial" w:hAnsi="Arial" w:cs="Arial"/>
          <w:i/>
          <w:iCs/>
          <w:sz w:val="22"/>
          <w:szCs w:val="22"/>
        </w:rPr>
        <w:t>Onchocerca</w:t>
      </w:r>
      <w:proofErr w:type="spellEnd"/>
      <w:r w:rsidRPr="004458AC">
        <w:rPr>
          <w:rFonts w:ascii="Arial" w:hAnsi="Arial" w:cs="Arial"/>
          <w:i/>
          <w:iCs/>
          <w:sz w:val="22"/>
          <w:szCs w:val="22"/>
        </w:rPr>
        <w:t xml:space="preserve"> volvulus</w:t>
      </w:r>
      <w:r w:rsidRPr="004458AC">
        <w:rPr>
          <w:rFonts w:ascii="Arial" w:hAnsi="Arial" w:cs="Arial"/>
          <w:sz w:val="22"/>
          <w:szCs w:val="22"/>
        </w:rPr>
        <w:t xml:space="preserve"> worm burden, </w:t>
      </w:r>
      <w:r w:rsidRPr="004458AC">
        <w:rPr>
          <w:rFonts w:ascii="Arial" w:hAnsi="Arial" w:cs="Arial"/>
          <w:i/>
          <w:iCs/>
          <w:sz w:val="22"/>
          <w:szCs w:val="22"/>
        </w:rPr>
        <w:t>W</w:t>
      </w:r>
      <w:r w:rsidRPr="004458AC">
        <w:rPr>
          <w:rFonts w:ascii="Arial" w:hAnsi="Arial" w:cs="Arial"/>
          <w:sz w:val="22"/>
          <w:szCs w:val="22"/>
        </w:rPr>
        <w:t xml:space="preserve"> (</w:t>
      </w:r>
      <w:r w:rsidRPr="004458AC">
        <w:rPr>
          <w:rFonts w:ascii="Arial" w:hAnsi="Arial" w:cs="Arial"/>
          <w:i/>
          <w:sz w:val="22"/>
          <w:szCs w:val="22"/>
        </w:rPr>
        <w:t>x</w:t>
      </w:r>
      <w:r w:rsidRPr="004458AC">
        <w:rPr>
          <w:rFonts w:ascii="Arial" w:hAnsi="Arial" w:cs="Arial"/>
          <w:sz w:val="22"/>
          <w:szCs w:val="22"/>
        </w:rPr>
        <w:t xml:space="preserve">-axis) are varied, respectively, from 1 to 15 and from 0 to 120, replacing, with immigrant individuals, age- and sex-matched members of an infection-free population experiencing an annual biting rate (ABR) of 500, 600, 800 and 1000 bites/person/year, with a population size, </w:t>
      </w:r>
      <w:r w:rsidRPr="004458AC">
        <w:rPr>
          <w:rFonts w:ascii="Arial" w:hAnsi="Arial" w:cs="Arial"/>
          <w:i/>
          <w:iCs/>
          <w:sz w:val="22"/>
          <w:szCs w:val="22"/>
        </w:rPr>
        <w:t>N</w:t>
      </w:r>
      <w:r w:rsidRPr="004458AC">
        <w:rPr>
          <w:rFonts w:ascii="Arial" w:hAnsi="Arial" w:cs="Arial"/>
          <w:sz w:val="22"/>
          <w:szCs w:val="22"/>
        </w:rPr>
        <w:t xml:space="preserve">, of 400 individuals. The proportion (probability) of persistence for each parameter combination was estimated as the proportion of runs with </w:t>
      </w:r>
      <w:proofErr w:type="spellStart"/>
      <w:r w:rsidRPr="004458AC">
        <w:rPr>
          <w:rFonts w:ascii="Arial" w:hAnsi="Arial" w:cs="Arial"/>
          <w:sz w:val="22"/>
          <w:szCs w:val="22"/>
        </w:rPr>
        <w:t>microfilarial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prevalence (all ages) &gt;0% from 300 repeats of EPIONCHO-IBM simulated for 500 years. The colour scale from dark blue to light yellow indicates an increasing proportion of infection persistence.</w:t>
      </w:r>
    </w:p>
    <w:p w14:paraId="09636065" w14:textId="6D798963" w:rsidR="00CC73A2" w:rsidRPr="004458AC" w:rsidRDefault="00CC73A2">
      <w:r w:rsidRPr="004458AC">
        <w:br w:type="page"/>
      </w:r>
    </w:p>
    <w:p w14:paraId="70C27699" w14:textId="351BED4B" w:rsidR="00FF4AE5" w:rsidRPr="004458AC" w:rsidRDefault="00FF4AE5" w:rsidP="00FE03DD">
      <w:pPr>
        <w:widowControl w:val="0"/>
        <w:spacing w:line="480" w:lineRule="auto"/>
        <w:rPr>
          <w:rFonts w:ascii="Arial" w:hAnsi="Arial" w:cs="Arial"/>
        </w:rPr>
      </w:pPr>
      <w:r w:rsidRPr="004458AC">
        <w:rPr>
          <w:rFonts w:ascii="Arial" w:hAnsi="Arial" w:cs="Arial"/>
          <w:b/>
          <w:bCs/>
        </w:rPr>
        <w:lastRenderedPageBreak/>
        <w:t xml:space="preserve">Figure S2. </w:t>
      </w:r>
      <w:r w:rsidRPr="004458AC">
        <w:rPr>
          <w:rFonts w:ascii="Arial" w:hAnsi="Arial" w:cs="Arial"/>
          <w:bCs/>
        </w:rPr>
        <w:t xml:space="preserve">Effect of varying the proportion of immigrants on the persistence of </w:t>
      </w:r>
      <w:proofErr w:type="spellStart"/>
      <w:r w:rsidRPr="004458AC">
        <w:rPr>
          <w:rFonts w:ascii="Arial" w:hAnsi="Arial" w:cs="Arial"/>
          <w:bCs/>
          <w:i/>
          <w:iCs/>
        </w:rPr>
        <w:t>Onchocerca</w:t>
      </w:r>
      <w:proofErr w:type="spellEnd"/>
      <w:r w:rsidRPr="004458AC">
        <w:rPr>
          <w:rFonts w:ascii="Arial" w:hAnsi="Arial" w:cs="Arial"/>
          <w:bCs/>
          <w:i/>
          <w:iCs/>
        </w:rPr>
        <w:t xml:space="preserve"> volvulus </w:t>
      </w:r>
      <w:r w:rsidRPr="004458AC">
        <w:rPr>
          <w:rFonts w:ascii="Arial" w:hAnsi="Arial" w:cs="Arial"/>
          <w:bCs/>
        </w:rPr>
        <w:t>transmission in previously infection-free communities</w:t>
      </w:r>
    </w:p>
    <w:p w14:paraId="0CA2CF7D" w14:textId="2F8DFE37" w:rsidR="000000BE" w:rsidRPr="004458AC" w:rsidRDefault="000000BE" w:rsidP="000000BE">
      <w:pPr>
        <w:pStyle w:val="NormalWeb"/>
      </w:pPr>
      <w:r w:rsidRPr="004458AC">
        <w:rPr>
          <w:noProof/>
        </w:rPr>
        <w:drawing>
          <wp:inline distT="0" distB="0" distL="0" distR="0" wp14:anchorId="5D6BD3A2" wp14:editId="4392787E">
            <wp:extent cx="5866960" cy="3394844"/>
            <wp:effectExtent l="0" t="0" r="635" b="0"/>
            <wp:docPr id="4" name="Picture 4" descr="C:\Users\mgbasa\OneDrive - Imperial College London\Documents\My Students\Jacob\Paper_04_Immigration\SI File-Fig. S2_JNS_09.07.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basa\OneDrive - Imperial College London\Documents\My Students\Jacob\Paper_04_Immigration\SI File-Fig. S2_JNS_09.07.202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687" cy="341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74F0D" w14:textId="408F215A" w:rsidR="00CC73A2" w:rsidRPr="004458AC" w:rsidRDefault="00FF4AE5" w:rsidP="002A3FC2">
      <w:pPr>
        <w:spacing w:line="360" w:lineRule="auto"/>
        <w:jc w:val="both"/>
      </w:pPr>
      <w:r w:rsidRPr="004458AC">
        <w:rPr>
          <w:rFonts w:ascii="Arial" w:hAnsi="Arial" w:cs="Arial"/>
          <w:sz w:val="22"/>
          <w:szCs w:val="22"/>
        </w:rPr>
        <w:t>The proportion (in percent) of immigrants (</w:t>
      </w:r>
      <w:r w:rsidRPr="004458AC">
        <w:rPr>
          <w:rFonts w:ascii="Arial" w:hAnsi="Arial" w:cs="Arial"/>
          <w:i/>
          <w:sz w:val="22"/>
          <w:szCs w:val="22"/>
        </w:rPr>
        <w:t>y</w:t>
      </w:r>
      <w:r w:rsidRPr="004458AC">
        <w:rPr>
          <w:rFonts w:ascii="Arial" w:hAnsi="Arial" w:cs="Arial"/>
          <w:sz w:val="22"/>
          <w:szCs w:val="22"/>
        </w:rPr>
        <w:t xml:space="preserve">-axis) with an adult </w:t>
      </w:r>
      <w:proofErr w:type="spellStart"/>
      <w:r w:rsidRPr="004458AC">
        <w:rPr>
          <w:rFonts w:ascii="Arial" w:hAnsi="Arial" w:cs="Arial"/>
          <w:i/>
          <w:iCs/>
          <w:sz w:val="22"/>
          <w:szCs w:val="22"/>
        </w:rPr>
        <w:t>Onchocerca</w:t>
      </w:r>
      <w:proofErr w:type="spellEnd"/>
      <w:r w:rsidRPr="004458AC">
        <w:rPr>
          <w:rFonts w:ascii="Arial" w:hAnsi="Arial" w:cs="Arial"/>
          <w:i/>
          <w:iCs/>
          <w:sz w:val="22"/>
          <w:szCs w:val="22"/>
        </w:rPr>
        <w:t xml:space="preserve"> volvulus</w:t>
      </w:r>
      <w:r w:rsidRPr="004458AC">
        <w:rPr>
          <w:rFonts w:ascii="Arial" w:hAnsi="Arial" w:cs="Arial"/>
          <w:sz w:val="22"/>
          <w:szCs w:val="22"/>
        </w:rPr>
        <w:t xml:space="preserve"> worm burden, </w:t>
      </w:r>
      <w:r w:rsidRPr="004458AC">
        <w:rPr>
          <w:rFonts w:ascii="Arial" w:hAnsi="Arial" w:cs="Arial"/>
          <w:i/>
          <w:iCs/>
          <w:sz w:val="22"/>
          <w:szCs w:val="22"/>
        </w:rPr>
        <w:t>W</w:t>
      </w:r>
      <w:r w:rsidRPr="004458AC">
        <w:rPr>
          <w:rFonts w:ascii="Arial" w:hAnsi="Arial" w:cs="Arial"/>
          <w:sz w:val="22"/>
          <w:szCs w:val="22"/>
        </w:rPr>
        <w:t xml:space="preserve"> (</w:t>
      </w:r>
      <w:r w:rsidRPr="004458AC">
        <w:rPr>
          <w:rFonts w:ascii="Arial" w:hAnsi="Arial" w:cs="Arial"/>
          <w:i/>
          <w:sz w:val="22"/>
          <w:szCs w:val="22"/>
        </w:rPr>
        <w:t>x</w:t>
      </w:r>
      <w:r w:rsidRPr="004458AC">
        <w:rPr>
          <w:rFonts w:ascii="Arial" w:hAnsi="Arial" w:cs="Arial"/>
          <w:sz w:val="22"/>
          <w:szCs w:val="22"/>
        </w:rPr>
        <w:t>-axis) are varied, respectively, from 0</w:t>
      </w:r>
      <w:r w:rsidR="00316486" w:rsidRPr="004458AC">
        <w:rPr>
          <w:rFonts w:ascii="Arial" w:hAnsi="Arial" w:cs="Arial"/>
          <w:sz w:val="22"/>
          <w:szCs w:val="22"/>
        </w:rPr>
        <w:t>.5%</w:t>
      </w:r>
      <w:r w:rsidRPr="004458AC">
        <w:rPr>
          <w:rFonts w:ascii="Arial" w:hAnsi="Arial" w:cs="Arial"/>
          <w:sz w:val="22"/>
          <w:szCs w:val="22"/>
        </w:rPr>
        <w:t xml:space="preserve"> to 2.5% and from 0 to 120, replacing, with immigrant individuals, age- and sex-matched members of an infection-free population experiencing an annual biting rate (ABR) of 500 bites/person/year, with a population size, </w:t>
      </w:r>
      <w:r w:rsidRPr="004458AC">
        <w:rPr>
          <w:rFonts w:ascii="Arial" w:hAnsi="Arial" w:cs="Arial"/>
          <w:i/>
          <w:iCs/>
          <w:sz w:val="22"/>
          <w:szCs w:val="22"/>
        </w:rPr>
        <w:t>N</w:t>
      </w:r>
      <w:r w:rsidRPr="004458AC">
        <w:rPr>
          <w:rFonts w:ascii="Arial" w:hAnsi="Arial" w:cs="Arial"/>
          <w:sz w:val="22"/>
          <w:szCs w:val="22"/>
        </w:rPr>
        <w:t xml:space="preserve">, of </w:t>
      </w:r>
      <w:r w:rsidR="00AA74E3" w:rsidRPr="004458AC">
        <w:rPr>
          <w:rFonts w:ascii="Arial" w:hAnsi="Arial" w:cs="Arial"/>
          <w:sz w:val="22"/>
          <w:szCs w:val="22"/>
        </w:rPr>
        <w:t xml:space="preserve">200, </w:t>
      </w:r>
      <w:r w:rsidRPr="004458AC">
        <w:rPr>
          <w:rFonts w:ascii="Arial" w:hAnsi="Arial" w:cs="Arial"/>
          <w:sz w:val="22"/>
          <w:szCs w:val="22"/>
        </w:rPr>
        <w:t>400</w:t>
      </w:r>
      <w:r w:rsidR="00AA74E3" w:rsidRPr="004458AC">
        <w:rPr>
          <w:rFonts w:ascii="Arial" w:hAnsi="Arial" w:cs="Arial"/>
          <w:sz w:val="22"/>
          <w:szCs w:val="22"/>
        </w:rPr>
        <w:t>, 800 and 1000</w:t>
      </w:r>
      <w:r w:rsidRPr="004458AC">
        <w:rPr>
          <w:rFonts w:ascii="Arial" w:hAnsi="Arial" w:cs="Arial"/>
          <w:sz w:val="22"/>
          <w:szCs w:val="22"/>
        </w:rPr>
        <w:t xml:space="preserve"> individuals. </w:t>
      </w:r>
      <w:r w:rsidR="000F3E6C" w:rsidRPr="004458AC">
        <w:rPr>
          <w:rFonts w:ascii="Arial" w:hAnsi="Arial" w:cs="Arial"/>
          <w:sz w:val="22"/>
          <w:szCs w:val="22"/>
        </w:rPr>
        <w:t xml:space="preserve">For </w:t>
      </w:r>
      <w:r w:rsidR="000F3E6C" w:rsidRPr="004458AC">
        <w:rPr>
          <w:rFonts w:ascii="Arial" w:hAnsi="Arial" w:cs="Arial"/>
          <w:i/>
          <w:sz w:val="22"/>
          <w:szCs w:val="22"/>
        </w:rPr>
        <w:t>N</w:t>
      </w:r>
      <w:r w:rsidR="000F3E6C" w:rsidRPr="004458AC">
        <w:rPr>
          <w:rFonts w:ascii="Arial" w:hAnsi="Arial" w:cs="Arial"/>
          <w:sz w:val="22"/>
          <w:szCs w:val="22"/>
        </w:rPr>
        <w:t xml:space="preserve"> = 200 the number of immigrants, </w:t>
      </w:r>
      <w:r w:rsidR="000F3E6C" w:rsidRPr="004458AC">
        <w:rPr>
          <w:rFonts w:ascii="Arial" w:hAnsi="Arial" w:cs="Arial"/>
          <w:i/>
          <w:sz w:val="22"/>
          <w:szCs w:val="22"/>
        </w:rPr>
        <w:t>I</w:t>
      </w:r>
      <w:r w:rsidR="00316486" w:rsidRPr="004458AC">
        <w:rPr>
          <w:rFonts w:ascii="Arial" w:hAnsi="Arial" w:cs="Arial"/>
          <w:sz w:val="22"/>
          <w:szCs w:val="22"/>
        </w:rPr>
        <w:t>, varies from 1</w:t>
      </w:r>
      <w:r w:rsidR="000F3E6C" w:rsidRPr="004458AC">
        <w:rPr>
          <w:rFonts w:ascii="Arial" w:hAnsi="Arial" w:cs="Arial"/>
          <w:sz w:val="22"/>
          <w:szCs w:val="22"/>
        </w:rPr>
        <w:t xml:space="preserve"> to 5; for </w:t>
      </w:r>
      <w:r w:rsidR="000F3E6C" w:rsidRPr="004458AC">
        <w:rPr>
          <w:rFonts w:ascii="Arial" w:hAnsi="Arial" w:cs="Arial"/>
          <w:i/>
          <w:sz w:val="22"/>
          <w:szCs w:val="22"/>
        </w:rPr>
        <w:t>N</w:t>
      </w:r>
      <w:r w:rsidR="00316486" w:rsidRPr="004458AC">
        <w:rPr>
          <w:rFonts w:ascii="Arial" w:hAnsi="Arial" w:cs="Arial"/>
          <w:sz w:val="22"/>
          <w:szCs w:val="22"/>
        </w:rPr>
        <w:t xml:space="preserve"> = 400 from 2</w:t>
      </w:r>
      <w:r w:rsidR="000F3E6C" w:rsidRPr="004458AC">
        <w:rPr>
          <w:rFonts w:ascii="Arial" w:hAnsi="Arial" w:cs="Arial"/>
          <w:sz w:val="22"/>
          <w:szCs w:val="22"/>
        </w:rPr>
        <w:t xml:space="preserve"> to 10; for </w:t>
      </w:r>
      <w:r w:rsidR="000F3E6C" w:rsidRPr="004458AC">
        <w:rPr>
          <w:rFonts w:ascii="Arial" w:hAnsi="Arial" w:cs="Arial"/>
          <w:i/>
          <w:sz w:val="22"/>
          <w:szCs w:val="22"/>
        </w:rPr>
        <w:t>N</w:t>
      </w:r>
      <w:r w:rsidR="00316486" w:rsidRPr="004458AC">
        <w:rPr>
          <w:rFonts w:ascii="Arial" w:hAnsi="Arial" w:cs="Arial"/>
          <w:sz w:val="22"/>
          <w:szCs w:val="22"/>
        </w:rPr>
        <w:t xml:space="preserve"> = 800 from 4</w:t>
      </w:r>
      <w:r w:rsidR="000F3E6C" w:rsidRPr="004458AC">
        <w:rPr>
          <w:rFonts w:ascii="Arial" w:hAnsi="Arial" w:cs="Arial"/>
          <w:sz w:val="22"/>
          <w:szCs w:val="22"/>
        </w:rPr>
        <w:t xml:space="preserve"> to 20, and for </w:t>
      </w:r>
      <w:r w:rsidR="000F3E6C" w:rsidRPr="004458AC">
        <w:rPr>
          <w:rFonts w:ascii="Arial" w:hAnsi="Arial" w:cs="Arial"/>
          <w:i/>
          <w:sz w:val="22"/>
          <w:szCs w:val="22"/>
        </w:rPr>
        <w:t>N</w:t>
      </w:r>
      <w:r w:rsidR="00316486" w:rsidRPr="004458AC">
        <w:rPr>
          <w:rFonts w:ascii="Arial" w:hAnsi="Arial" w:cs="Arial"/>
          <w:sz w:val="22"/>
          <w:szCs w:val="22"/>
        </w:rPr>
        <w:t xml:space="preserve"> = 1000 from 5</w:t>
      </w:r>
      <w:r w:rsidR="000F3E6C" w:rsidRPr="004458AC">
        <w:rPr>
          <w:rFonts w:ascii="Arial" w:hAnsi="Arial" w:cs="Arial"/>
          <w:sz w:val="22"/>
          <w:szCs w:val="22"/>
        </w:rPr>
        <w:t xml:space="preserve"> to 25. </w:t>
      </w:r>
      <w:r w:rsidRPr="004458AC">
        <w:rPr>
          <w:rFonts w:ascii="Arial" w:hAnsi="Arial" w:cs="Arial"/>
          <w:sz w:val="22"/>
          <w:szCs w:val="22"/>
        </w:rPr>
        <w:t xml:space="preserve">The proportion (probability) of persistence for each parameter combination was estimated as the proportion of runs with </w:t>
      </w:r>
      <w:proofErr w:type="spellStart"/>
      <w:r w:rsidRPr="004458AC">
        <w:rPr>
          <w:rFonts w:ascii="Arial" w:hAnsi="Arial" w:cs="Arial"/>
          <w:sz w:val="22"/>
          <w:szCs w:val="22"/>
        </w:rPr>
        <w:t>microfilarial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prevalence (all ages) &gt;0% from 300 repeats of EPIONCHO-IBM simulated for 500 years. The colour scale from dark blue to light yellow indicates an increasing proportion of infection persistence.</w:t>
      </w:r>
    </w:p>
    <w:p w14:paraId="1A237791" w14:textId="3BE1E1CF" w:rsidR="00CC5915" w:rsidRPr="004458AC" w:rsidRDefault="00CC5915">
      <w:pPr>
        <w:rPr>
          <w:rFonts w:ascii="Arial" w:hAnsi="Arial" w:cs="Arial"/>
          <w:sz w:val="22"/>
          <w:szCs w:val="22"/>
        </w:rPr>
      </w:pPr>
      <w:r w:rsidRPr="004458AC">
        <w:rPr>
          <w:rFonts w:ascii="Arial" w:hAnsi="Arial" w:cs="Arial"/>
          <w:sz w:val="22"/>
          <w:szCs w:val="22"/>
        </w:rPr>
        <w:br w:type="page"/>
      </w:r>
    </w:p>
    <w:p w14:paraId="27829AF1" w14:textId="612E635A" w:rsidR="00ED1FEA" w:rsidRPr="004458AC" w:rsidRDefault="00FE03DD" w:rsidP="00FE03DD">
      <w:pPr>
        <w:spacing w:line="480" w:lineRule="auto"/>
        <w:rPr>
          <w:rFonts w:ascii="Arial" w:hAnsi="Arial" w:cs="Arial"/>
        </w:rPr>
      </w:pPr>
      <w:r w:rsidRPr="004458AC">
        <w:rPr>
          <w:rFonts w:ascii="Arial" w:hAnsi="Arial" w:cs="Arial"/>
          <w:b/>
          <w:bCs/>
        </w:rPr>
        <w:lastRenderedPageBreak/>
        <w:t xml:space="preserve">Figure S3. </w:t>
      </w:r>
      <w:r w:rsidRPr="004458AC">
        <w:rPr>
          <w:rFonts w:ascii="Arial" w:hAnsi="Arial" w:cs="Arial"/>
          <w:bCs/>
        </w:rPr>
        <w:t xml:space="preserve">Effect of annual biting rate (ABR) on the </w:t>
      </w:r>
      <w:r w:rsidR="009E6432" w:rsidRPr="004458AC">
        <w:rPr>
          <w:rFonts w:ascii="Arial" w:hAnsi="Arial" w:cs="Arial"/>
          <w:bCs/>
        </w:rPr>
        <w:t xml:space="preserve">maximum </w:t>
      </w:r>
      <w:r w:rsidRPr="004458AC">
        <w:rPr>
          <w:rFonts w:ascii="Arial" w:hAnsi="Arial" w:cs="Arial"/>
          <w:bCs/>
        </w:rPr>
        <w:t>intrinsic rate of increase (growth rate</w:t>
      </w:r>
      <w:r w:rsidR="009E6432" w:rsidRPr="004458AC">
        <w:rPr>
          <w:rFonts w:ascii="Arial" w:hAnsi="Arial" w:cs="Arial"/>
          <w:bCs/>
        </w:rPr>
        <w:t>, per annum</w:t>
      </w:r>
      <w:r w:rsidRPr="004458AC">
        <w:rPr>
          <w:rFonts w:ascii="Arial" w:hAnsi="Arial" w:cs="Arial"/>
          <w:bCs/>
        </w:rPr>
        <w:t xml:space="preserve">) </w:t>
      </w:r>
      <w:r w:rsidR="009E6432" w:rsidRPr="004458AC">
        <w:rPr>
          <w:rFonts w:ascii="Arial" w:hAnsi="Arial" w:cs="Arial"/>
          <w:bCs/>
        </w:rPr>
        <w:t xml:space="preserve">of </w:t>
      </w:r>
      <w:proofErr w:type="spellStart"/>
      <w:r w:rsidR="009E6432" w:rsidRPr="004458AC">
        <w:rPr>
          <w:rFonts w:ascii="Arial" w:hAnsi="Arial" w:cs="Arial"/>
          <w:bCs/>
          <w:i/>
        </w:rPr>
        <w:t>Onchocerca</w:t>
      </w:r>
      <w:proofErr w:type="spellEnd"/>
      <w:r w:rsidR="009E6432" w:rsidRPr="004458AC">
        <w:rPr>
          <w:rFonts w:ascii="Arial" w:hAnsi="Arial" w:cs="Arial"/>
          <w:bCs/>
          <w:i/>
        </w:rPr>
        <w:t xml:space="preserve"> volvulus</w:t>
      </w:r>
      <w:r w:rsidR="009E6432" w:rsidRPr="004458AC">
        <w:rPr>
          <w:rFonts w:ascii="Arial" w:hAnsi="Arial" w:cs="Arial"/>
          <w:bCs/>
        </w:rPr>
        <w:t xml:space="preserve"> </w:t>
      </w:r>
      <w:proofErr w:type="spellStart"/>
      <w:r w:rsidR="009E6432" w:rsidRPr="004458AC">
        <w:rPr>
          <w:rFonts w:ascii="Arial" w:hAnsi="Arial" w:cs="Arial"/>
          <w:bCs/>
        </w:rPr>
        <w:t>microfilarial</w:t>
      </w:r>
      <w:proofErr w:type="spellEnd"/>
      <w:r w:rsidR="009E6432" w:rsidRPr="004458AC">
        <w:rPr>
          <w:rFonts w:ascii="Arial" w:hAnsi="Arial" w:cs="Arial"/>
          <w:bCs/>
        </w:rPr>
        <w:t xml:space="preserve"> prevalence </w:t>
      </w:r>
      <w:r w:rsidRPr="004458AC">
        <w:rPr>
          <w:rFonts w:ascii="Arial" w:hAnsi="Arial" w:cs="Arial"/>
          <w:bCs/>
        </w:rPr>
        <w:t>outbreak</w:t>
      </w:r>
      <w:r w:rsidR="009E6432" w:rsidRPr="004458AC">
        <w:rPr>
          <w:rFonts w:ascii="Arial" w:hAnsi="Arial" w:cs="Arial"/>
          <w:bCs/>
        </w:rPr>
        <w:t>s</w:t>
      </w:r>
      <w:r w:rsidRPr="004458AC">
        <w:rPr>
          <w:rFonts w:ascii="Arial" w:hAnsi="Arial" w:cs="Arial"/>
          <w:bCs/>
        </w:rPr>
        <w:t xml:space="preserve"> following immigration events</w:t>
      </w:r>
      <w:r w:rsidR="009E6432" w:rsidRPr="004458AC">
        <w:rPr>
          <w:rFonts w:ascii="Arial" w:hAnsi="Arial" w:cs="Arial"/>
          <w:bCs/>
        </w:rPr>
        <w:t xml:space="preserve"> into infection-free communities</w:t>
      </w:r>
    </w:p>
    <w:p w14:paraId="1998832D" w14:textId="35D49C8F" w:rsidR="00060363" w:rsidRPr="004458AC" w:rsidRDefault="00060363" w:rsidP="00060363">
      <w:r w:rsidRPr="004458AC">
        <w:rPr>
          <w:noProof/>
          <w:lang w:eastAsia="en-GB"/>
        </w:rPr>
        <w:drawing>
          <wp:inline distT="0" distB="0" distL="0" distR="0" wp14:anchorId="10E76EF6" wp14:editId="0EB3229C">
            <wp:extent cx="5882816" cy="4251067"/>
            <wp:effectExtent l="0" t="0" r="3810" b="0"/>
            <wp:docPr id="5" name="Picture 5" descr="C:\Users\mgbasa\OneDrive - Imperial College London\Documents\My Students\Jacob\Paper_04_Immigration\SI File-Fig. S3_JNS_09.07.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gbasa\OneDrive - Imperial College London\Documents\My Students\Jacob\Paper_04_Immigration\SI File-Fig. S3_JNS_09.07.202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196" cy="425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611DF" w14:textId="60144AE3" w:rsidR="0076162E" w:rsidRPr="004458AC" w:rsidRDefault="001E4909" w:rsidP="002A3FC2">
      <w:pPr>
        <w:spacing w:line="360" w:lineRule="auto"/>
        <w:rPr>
          <w:rFonts w:ascii="Arial" w:hAnsi="Arial" w:cs="Arial"/>
          <w:sz w:val="22"/>
          <w:szCs w:val="22"/>
        </w:rPr>
      </w:pPr>
      <w:r w:rsidRPr="004458AC">
        <w:rPr>
          <w:rFonts w:ascii="Arial" w:hAnsi="Arial" w:cs="Arial"/>
          <w:sz w:val="22"/>
          <w:szCs w:val="22"/>
        </w:rPr>
        <w:t xml:space="preserve">The maximum annual rate of increase in </w:t>
      </w:r>
      <w:proofErr w:type="spellStart"/>
      <w:r w:rsidRPr="004458AC">
        <w:rPr>
          <w:rFonts w:ascii="Arial" w:hAnsi="Arial" w:cs="Arial"/>
          <w:sz w:val="22"/>
          <w:szCs w:val="22"/>
        </w:rPr>
        <w:t>microfilarial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prevalence </w:t>
      </w:r>
      <w:r w:rsidR="005E1922" w:rsidRPr="004458AC">
        <w:rPr>
          <w:rFonts w:ascii="Arial" w:hAnsi="Arial" w:cs="Arial"/>
          <w:sz w:val="22"/>
          <w:szCs w:val="22"/>
        </w:rPr>
        <w:t>(</w:t>
      </w:r>
      <w:r w:rsidR="005E1922" w:rsidRPr="004458AC">
        <w:rPr>
          <w:rFonts w:ascii="Arial" w:hAnsi="Arial" w:cs="Arial"/>
          <w:i/>
          <w:sz w:val="22"/>
          <w:szCs w:val="22"/>
        </w:rPr>
        <w:t>y</w:t>
      </w:r>
      <w:r w:rsidR="005E1922" w:rsidRPr="004458AC">
        <w:rPr>
          <w:rFonts w:ascii="Arial" w:hAnsi="Arial" w:cs="Arial"/>
          <w:sz w:val="22"/>
          <w:szCs w:val="22"/>
        </w:rPr>
        <w:t>-axis) was calculated</w:t>
      </w:r>
      <w:r w:rsidRPr="004458AC">
        <w:rPr>
          <w:rFonts w:ascii="Arial" w:hAnsi="Arial" w:cs="Arial"/>
          <w:sz w:val="22"/>
          <w:szCs w:val="22"/>
        </w:rPr>
        <w:t xml:space="preserve"> for each modelled population</w:t>
      </w:r>
      <w:r w:rsidR="00323056" w:rsidRPr="004458AC">
        <w:rPr>
          <w:rFonts w:ascii="Arial" w:hAnsi="Arial" w:cs="Arial"/>
          <w:sz w:val="22"/>
          <w:szCs w:val="22"/>
        </w:rPr>
        <w:t xml:space="preserve"> (</w:t>
      </w:r>
      <w:r w:rsidR="00323056" w:rsidRPr="004458AC">
        <w:rPr>
          <w:rFonts w:ascii="Arial" w:hAnsi="Arial" w:cs="Arial"/>
          <w:i/>
          <w:sz w:val="22"/>
          <w:szCs w:val="22"/>
        </w:rPr>
        <w:t>N</w:t>
      </w:r>
      <w:r w:rsidR="00323056" w:rsidRPr="004458AC">
        <w:rPr>
          <w:rFonts w:ascii="Arial" w:hAnsi="Arial" w:cs="Arial"/>
          <w:sz w:val="22"/>
          <w:szCs w:val="22"/>
        </w:rPr>
        <w:t xml:space="preserve"> = 400)</w:t>
      </w:r>
      <w:r w:rsidRPr="004458AC">
        <w:rPr>
          <w:rFonts w:ascii="Arial" w:hAnsi="Arial" w:cs="Arial"/>
          <w:sz w:val="22"/>
          <w:szCs w:val="22"/>
        </w:rPr>
        <w:t xml:space="preserve"> following the (re-)introduction of infection via immigration </w:t>
      </w:r>
      <w:r w:rsidR="009E6432" w:rsidRPr="004458AC">
        <w:rPr>
          <w:rFonts w:ascii="Arial" w:hAnsi="Arial" w:cs="Arial"/>
          <w:sz w:val="22"/>
          <w:szCs w:val="22"/>
        </w:rPr>
        <w:t>of individuals from an are</w:t>
      </w:r>
      <w:r w:rsidR="0076162E" w:rsidRPr="004458AC">
        <w:rPr>
          <w:rFonts w:ascii="Arial" w:hAnsi="Arial" w:cs="Arial"/>
          <w:sz w:val="22"/>
          <w:szCs w:val="22"/>
        </w:rPr>
        <w:t>a with ongoing transmission (</w:t>
      </w:r>
      <w:r w:rsidR="009E6432" w:rsidRPr="004458AC">
        <w:rPr>
          <w:rFonts w:ascii="Arial" w:hAnsi="Arial" w:cs="Arial"/>
          <w:sz w:val="22"/>
          <w:szCs w:val="22"/>
        </w:rPr>
        <w:t>ABR = 10,000 bites/person/year</w:t>
      </w:r>
      <w:r w:rsidR="0076162E" w:rsidRPr="004458AC">
        <w:rPr>
          <w:rFonts w:ascii="Arial" w:hAnsi="Arial" w:cs="Arial"/>
          <w:sz w:val="22"/>
          <w:szCs w:val="22"/>
        </w:rPr>
        <w:t>)</w:t>
      </w:r>
      <w:r w:rsidR="00006275" w:rsidRPr="004458AC">
        <w:rPr>
          <w:rFonts w:ascii="Arial" w:hAnsi="Arial" w:cs="Arial"/>
          <w:sz w:val="22"/>
          <w:szCs w:val="22"/>
        </w:rPr>
        <w:t xml:space="preserve">. For each ABR (500 to </w:t>
      </w:r>
      <w:r w:rsidRPr="004458AC">
        <w:rPr>
          <w:rFonts w:ascii="Arial" w:hAnsi="Arial" w:cs="Arial"/>
          <w:sz w:val="22"/>
          <w:szCs w:val="22"/>
        </w:rPr>
        <w:t>1000)</w:t>
      </w:r>
      <w:r w:rsidR="009E6432" w:rsidRPr="004458AC">
        <w:rPr>
          <w:rFonts w:ascii="Arial" w:hAnsi="Arial" w:cs="Arial"/>
          <w:sz w:val="22"/>
          <w:szCs w:val="22"/>
        </w:rPr>
        <w:t xml:space="preserve"> in the infection-free community</w:t>
      </w:r>
      <w:r w:rsidR="005E1922" w:rsidRPr="004458AC">
        <w:rPr>
          <w:rFonts w:ascii="Arial" w:hAnsi="Arial" w:cs="Arial"/>
          <w:sz w:val="22"/>
          <w:szCs w:val="22"/>
        </w:rPr>
        <w:t xml:space="preserve"> (</w:t>
      </w:r>
      <w:r w:rsidR="005E1922" w:rsidRPr="004458AC">
        <w:rPr>
          <w:rFonts w:ascii="Arial" w:hAnsi="Arial" w:cs="Arial"/>
          <w:i/>
          <w:sz w:val="22"/>
          <w:szCs w:val="22"/>
        </w:rPr>
        <w:t>x</w:t>
      </w:r>
      <w:r w:rsidR="005E1922" w:rsidRPr="004458AC">
        <w:rPr>
          <w:rFonts w:ascii="Arial" w:hAnsi="Arial" w:cs="Arial"/>
          <w:sz w:val="22"/>
          <w:szCs w:val="22"/>
        </w:rPr>
        <w:t>-axis)</w:t>
      </w:r>
      <w:r w:rsidR="00006275" w:rsidRPr="004458AC">
        <w:rPr>
          <w:rFonts w:ascii="Arial" w:hAnsi="Arial" w:cs="Arial"/>
          <w:sz w:val="22"/>
          <w:szCs w:val="22"/>
        </w:rPr>
        <w:t>, 300 model repeats</w:t>
      </w:r>
      <w:r w:rsidRPr="004458AC">
        <w:rPr>
          <w:rFonts w:ascii="Arial" w:hAnsi="Arial" w:cs="Arial"/>
          <w:sz w:val="22"/>
          <w:szCs w:val="22"/>
        </w:rPr>
        <w:t xml:space="preserve"> were performed across a range of immigration scenarios, from </w:t>
      </w:r>
      <w:r w:rsidR="0076162E" w:rsidRPr="004458AC">
        <w:rPr>
          <w:rFonts w:ascii="Arial" w:hAnsi="Arial" w:cs="Arial"/>
          <w:i/>
          <w:sz w:val="22"/>
          <w:szCs w:val="22"/>
        </w:rPr>
        <w:t>I</w:t>
      </w:r>
      <w:r w:rsidR="0076162E" w:rsidRPr="004458AC">
        <w:rPr>
          <w:rFonts w:ascii="Arial" w:hAnsi="Arial" w:cs="Arial"/>
          <w:sz w:val="22"/>
          <w:szCs w:val="22"/>
        </w:rPr>
        <w:t xml:space="preserve"> = 1 to 15 and </w:t>
      </w:r>
      <w:r w:rsidR="0076162E" w:rsidRPr="004458AC">
        <w:rPr>
          <w:rFonts w:ascii="Arial" w:hAnsi="Arial" w:cs="Arial"/>
          <w:i/>
          <w:sz w:val="22"/>
          <w:szCs w:val="22"/>
        </w:rPr>
        <w:t>W</w:t>
      </w:r>
      <w:r w:rsidR="004849B6" w:rsidRPr="004458AC">
        <w:rPr>
          <w:rFonts w:ascii="Arial" w:hAnsi="Arial" w:cs="Arial"/>
          <w:sz w:val="22"/>
          <w:szCs w:val="22"/>
        </w:rPr>
        <w:t xml:space="preserve"> = 0 to </w:t>
      </w:r>
      <w:r w:rsidR="0076162E" w:rsidRPr="004458AC">
        <w:rPr>
          <w:rFonts w:ascii="Arial" w:hAnsi="Arial" w:cs="Arial"/>
          <w:sz w:val="22"/>
          <w:szCs w:val="22"/>
        </w:rPr>
        <w:t xml:space="preserve">120 (Table 1 of Main Text). Black circles indicate the mean of the maximal annual </w:t>
      </w:r>
      <w:proofErr w:type="spellStart"/>
      <w:r w:rsidR="0076162E" w:rsidRPr="004458AC">
        <w:rPr>
          <w:rFonts w:ascii="Arial" w:hAnsi="Arial" w:cs="Arial"/>
          <w:sz w:val="22"/>
          <w:szCs w:val="22"/>
        </w:rPr>
        <w:t>microfilarial</w:t>
      </w:r>
      <w:proofErr w:type="spellEnd"/>
      <w:r w:rsidR="0076162E" w:rsidRPr="004458AC">
        <w:rPr>
          <w:rFonts w:ascii="Arial" w:hAnsi="Arial" w:cs="Arial"/>
          <w:sz w:val="22"/>
          <w:szCs w:val="22"/>
        </w:rPr>
        <w:t xml:space="preserve"> prevalence growth rates, averaged across immigration scenarios and simulation repeats; vertical bars indicate the range of model outputs.</w:t>
      </w:r>
    </w:p>
    <w:p w14:paraId="7C07DFF6" w14:textId="77777777" w:rsidR="0076162E" w:rsidRPr="004458AC" w:rsidRDefault="0076162E" w:rsidP="002A3FC2">
      <w:pPr>
        <w:spacing w:line="360" w:lineRule="auto"/>
        <w:rPr>
          <w:rFonts w:ascii="Arial" w:hAnsi="Arial" w:cs="Arial"/>
          <w:sz w:val="22"/>
          <w:szCs w:val="22"/>
        </w:rPr>
      </w:pPr>
    </w:p>
    <w:p w14:paraId="642D22B6" w14:textId="53C70560" w:rsidR="003848E7" w:rsidRPr="004458AC" w:rsidRDefault="003848E7" w:rsidP="009E6432">
      <w:pPr>
        <w:spacing w:line="324" w:lineRule="auto"/>
        <w:rPr>
          <w:rFonts w:ascii="Arial" w:hAnsi="Arial" w:cs="Arial"/>
          <w:sz w:val="22"/>
          <w:szCs w:val="22"/>
        </w:rPr>
      </w:pPr>
      <w:r w:rsidRPr="004458AC">
        <w:rPr>
          <w:rFonts w:ascii="Arial" w:hAnsi="Arial" w:cs="Arial"/>
          <w:sz w:val="22"/>
          <w:szCs w:val="22"/>
        </w:rPr>
        <w:br w:type="page"/>
      </w:r>
    </w:p>
    <w:p w14:paraId="76E77844" w14:textId="77777777" w:rsidR="004849B6" w:rsidRPr="004458AC" w:rsidRDefault="0076162E" w:rsidP="004849B6">
      <w:pPr>
        <w:spacing w:line="480" w:lineRule="auto"/>
        <w:rPr>
          <w:rFonts w:ascii="Arial" w:hAnsi="Arial" w:cs="Arial"/>
        </w:rPr>
      </w:pPr>
      <w:r w:rsidRPr="004458AC">
        <w:rPr>
          <w:rFonts w:ascii="Arial" w:hAnsi="Arial" w:cs="Arial"/>
          <w:b/>
        </w:rPr>
        <w:lastRenderedPageBreak/>
        <w:t>Figure S4.</w:t>
      </w:r>
      <w:r w:rsidR="004849B6" w:rsidRPr="004458AC">
        <w:rPr>
          <w:rFonts w:ascii="Arial" w:hAnsi="Arial" w:cs="Arial"/>
        </w:rPr>
        <w:t xml:space="preserve"> Effect of </w:t>
      </w:r>
      <w:r w:rsidRPr="004458AC">
        <w:rPr>
          <w:rFonts w:ascii="Arial" w:hAnsi="Arial" w:cs="Arial"/>
        </w:rPr>
        <w:t xml:space="preserve">immigrant worm burden, </w:t>
      </w:r>
      <w:r w:rsidRPr="004458AC">
        <w:rPr>
          <w:rFonts w:ascii="Arial" w:hAnsi="Arial" w:cs="Arial"/>
          <w:i/>
        </w:rPr>
        <w:t>W</w:t>
      </w:r>
      <w:r w:rsidRPr="004458AC">
        <w:rPr>
          <w:rFonts w:ascii="Arial" w:hAnsi="Arial" w:cs="Arial"/>
        </w:rPr>
        <w:t xml:space="preserve">, on the number of years </w:t>
      </w:r>
      <w:r w:rsidR="004849B6" w:rsidRPr="004458AC">
        <w:rPr>
          <w:rFonts w:ascii="Arial" w:hAnsi="Arial" w:cs="Arial"/>
        </w:rPr>
        <w:t xml:space="preserve">required </w:t>
      </w:r>
      <w:r w:rsidRPr="004458AC">
        <w:rPr>
          <w:rFonts w:ascii="Arial" w:hAnsi="Arial" w:cs="Arial"/>
        </w:rPr>
        <w:t xml:space="preserve">to attain </w:t>
      </w:r>
      <w:r w:rsidR="004849B6" w:rsidRPr="004458AC">
        <w:rPr>
          <w:rFonts w:ascii="Arial" w:hAnsi="Arial" w:cs="Arial"/>
        </w:rPr>
        <w:t xml:space="preserve">the </w:t>
      </w:r>
      <w:r w:rsidRPr="004458AC">
        <w:rPr>
          <w:rFonts w:ascii="Arial" w:hAnsi="Arial" w:cs="Arial"/>
        </w:rPr>
        <w:t xml:space="preserve">maximum </w:t>
      </w:r>
      <w:r w:rsidR="004849B6" w:rsidRPr="004458AC">
        <w:rPr>
          <w:rFonts w:ascii="Arial" w:hAnsi="Arial" w:cs="Arial"/>
        </w:rPr>
        <w:t>intrinsic rate of increase (</w:t>
      </w:r>
      <w:r w:rsidRPr="004458AC">
        <w:rPr>
          <w:rFonts w:ascii="Arial" w:hAnsi="Arial" w:cs="Arial"/>
        </w:rPr>
        <w:t>growth rate</w:t>
      </w:r>
      <w:r w:rsidR="004849B6" w:rsidRPr="004458AC">
        <w:rPr>
          <w:rFonts w:ascii="Arial" w:hAnsi="Arial" w:cs="Arial"/>
        </w:rPr>
        <w:t>,</w:t>
      </w:r>
      <w:r w:rsidRPr="004458AC">
        <w:rPr>
          <w:rFonts w:ascii="Arial" w:hAnsi="Arial" w:cs="Arial"/>
        </w:rPr>
        <w:t xml:space="preserve"> per annum</w:t>
      </w:r>
      <w:r w:rsidR="004849B6" w:rsidRPr="004458AC">
        <w:rPr>
          <w:rFonts w:ascii="Arial" w:hAnsi="Arial" w:cs="Arial"/>
        </w:rPr>
        <w:t>)</w:t>
      </w:r>
      <w:r w:rsidRPr="004458AC">
        <w:rPr>
          <w:rFonts w:ascii="Arial" w:hAnsi="Arial" w:cs="Arial"/>
        </w:rPr>
        <w:t xml:space="preserve"> of </w:t>
      </w:r>
      <w:proofErr w:type="spellStart"/>
      <w:r w:rsidRPr="004458AC">
        <w:rPr>
          <w:rFonts w:ascii="Arial" w:hAnsi="Arial" w:cs="Arial"/>
          <w:i/>
        </w:rPr>
        <w:t>Onchocerca</w:t>
      </w:r>
      <w:proofErr w:type="spellEnd"/>
      <w:r w:rsidRPr="004458AC">
        <w:rPr>
          <w:rFonts w:ascii="Arial" w:hAnsi="Arial" w:cs="Arial"/>
          <w:i/>
        </w:rPr>
        <w:t xml:space="preserve"> volvulus</w:t>
      </w:r>
      <w:r w:rsidRPr="004458AC">
        <w:rPr>
          <w:rFonts w:ascii="Arial" w:hAnsi="Arial" w:cs="Arial"/>
        </w:rPr>
        <w:t xml:space="preserve"> </w:t>
      </w:r>
      <w:proofErr w:type="spellStart"/>
      <w:r w:rsidRPr="004458AC">
        <w:rPr>
          <w:rFonts w:ascii="Arial" w:hAnsi="Arial" w:cs="Arial"/>
        </w:rPr>
        <w:t>microfilarial</w:t>
      </w:r>
      <w:proofErr w:type="spellEnd"/>
      <w:r w:rsidRPr="004458AC">
        <w:rPr>
          <w:rFonts w:ascii="Arial" w:hAnsi="Arial" w:cs="Arial"/>
        </w:rPr>
        <w:t xml:space="preserve"> prevalence </w:t>
      </w:r>
      <w:r w:rsidR="004849B6" w:rsidRPr="004458AC">
        <w:rPr>
          <w:rFonts w:ascii="Arial" w:hAnsi="Arial" w:cs="Arial"/>
        </w:rPr>
        <w:t xml:space="preserve">outbreaks </w:t>
      </w:r>
      <w:r w:rsidR="004849B6" w:rsidRPr="004458AC">
        <w:rPr>
          <w:rFonts w:ascii="Arial" w:hAnsi="Arial" w:cs="Arial"/>
          <w:bCs/>
        </w:rPr>
        <w:t>following immigration events into infection-free communities</w:t>
      </w:r>
    </w:p>
    <w:p w14:paraId="172835FD" w14:textId="6471A583" w:rsidR="00060363" w:rsidRPr="004458AC" w:rsidRDefault="00060363" w:rsidP="004849B6">
      <w:pPr>
        <w:spacing w:line="480" w:lineRule="auto"/>
      </w:pPr>
      <w:r w:rsidRPr="004458AC">
        <w:rPr>
          <w:noProof/>
          <w:lang w:eastAsia="en-GB"/>
        </w:rPr>
        <w:drawing>
          <wp:inline distT="0" distB="0" distL="0" distR="0" wp14:anchorId="630D7AAD" wp14:editId="17850F63">
            <wp:extent cx="6001275" cy="4233611"/>
            <wp:effectExtent l="0" t="0" r="0" b="0"/>
            <wp:docPr id="6" name="Picture 6" descr="C:\Users\mgbasa\OneDrive - Imperial College London\Documents\My Students\Jacob\Paper_04_Immigration\SI File-Fig. S4_JNS_09.07.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gbasa\OneDrive - Imperial College London\Documents\My Students\Jacob\Paper_04_Immigration\SI File-Fig. S4_JNS_09.07.202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697" cy="423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E347E" w14:textId="1C9D7F28" w:rsidR="00006275" w:rsidRPr="004458AC" w:rsidRDefault="003848E7" w:rsidP="002A3FC2">
      <w:pPr>
        <w:spacing w:line="360" w:lineRule="auto"/>
        <w:rPr>
          <w:rFonts w:ascii="Arial" w:hAnsi="Arial" w:cs="Arial"/>
          <w:sz w:val="22"/>
          <w:szCs w:val="22"/>
        </w:rPr>
      </w:pPr>
      <w:r w:rsidRPr="004458AC">
        <w:rPr>
          <w:rFonts w:ascii="Arial" w:hAnsi="Arial" w:cs="Arial"/>
          <w:sz w:val="22"/>
          <w:szCs w:val="22"/>
        </w:rPr>
        <w:t xml:space="preserve">The </w:t>
      </w:r>
      <w:r w:rsidR="001E751A" w:rsidRPr="004458AC">
        <w:rPr>
          <w:rFonts w:ascii="Arial" w:hAnsi="Arial" w:cs="Arial"/>
          <w:sz w:val="22"/>
          <w:szCs w:val="22"/>
        </w:rPr>
        <w:t>number of years</w:t>
      </w:r>
      <w:r w:rsidRPr="004458AC">
        <w:rPr>
          <w:rFonts w:ascii="Arial" w:hAnsi="Arial" w:cs="Arial"/>
          <w:sz w:val="22"/>
          <w:szCs w:val="22"/>
        </w:rPr>
        <w:t xml:space="preserve"> to </w:t>
      </w:r>
      <w:r w:rsidR="001E751A" w:rsidRPr="004458AC">
        <w:rPr>
          <w:rFonts w:ascii="Arial" w:hAnsi="Arial" w:cs="Arial"/>
          <w:sz w:val="22"/>
          <w:szCs w:val="22"/>
        </w:rPr>
        <w:t xml:space="preserve">reach </w:t>
      </w:r>
      <w:r w:rsidR="00323056" w:rsidRPr="004458AC">
        <w:rPr>
          <w:rFonts w:ascii="Arial" w:hAnsi="Arial" w:cs="Arial"/>
          <w:sz w:val="22"/>
          <w:szCs w:val="22"/>
        </w:rPr>
        <w:t xml:space="preserve">the </w:t>
      </w:r>
      <w:r w:rsidR="004849B6" w:rsidRPr="004458AC">
        <w:rPr>
          <w:rFonts w:ascii="Arial" w:hAnsi="Arial" w:cs="Arial"/>
          <w:sz w:val="22"/>
          <w:szCs w:val="22"/>
        </w:rPr>
        <w:t xml:space="preserve">maximum </w:t>
      </w:r>
      <w:r w:rsidRPr="004458AC">
        <w:rPr>
          <w:rFonts w:ascii="Arial" w:hAnsi="Arial" w:cs="Arial"/>
          <w:sz w:val="22"/>
          <w:szCs w:val="22"/>
        </w:rPr>
        <w:t xml:space="preserve">growth rate </w:t>
      </w:r>
      <w:r w:rsidR="004849B6" w:rsidRPr="004458AC">
        <w:rPr>
          <w:rFonts w:ascii="Arial" w:hAnsi="Arial" w:cs="Arial"/>
          <w:sz w:val="22"/>
          <w:szCs w:val="22"/>
        </w:rPr>
        <w:t>(</w:t>
      </w:r>
      <w:r w:rsidR="004849B6" w:rsidRPr="004458AC">
        <w:rPr>
          <w:rFonts w:ascii="Arial" w:hAnsi="Arial" w:cs="Arial"/>
          <w:i/>
          <w:sz w:val="22"/>
          <w:szCs w:val="22"/>
        </w:rPr>
        <w:t>y</w:t>
      </w:r>
      <w:r w:rsidR="004849B6" w:rsidRPr="004458AC">
        <w:rPr>
          <w:rFonts w:ascii="Arial" w:hAnsi="Arial" w:cs="Arial"/>
          <w:sz w:val="22"/>
          <w:szCs w:val="22"/>
        </w:rPr>
        <w:t xml:space="preserve">-axis) </w:t>
      </w:r>
      <w:r w:rsidR="005E1922" w:rsidRPr="004458AC">
        <w:rPr>
          <w:rFonts w:ascii="Arial" w:hAnsi="Arial" w:cs="Arial"/>
          <w:sz w:val="22"/>
          <w:szCs w:val="22"/>
        </w:rPr>
        <w:t xml:space="preserve">was calculated </w:t>
      </w:r>
      <w:r w:rsidRPr="004458AC">
        <w:rPr>
          <w:rFonts w:ascii="Arial" w:hAnsi="Arial" w:cs="Arial"/>
          <w:sz w:val="22"/>
          <w:szCs w:val="22"/>
        </w:rPr>
        <w:t xml:space="preserve">for each modelled population </w:t>
      </w:r>
      <w:r w:rsidR="00323056" w:rsidRPr="004458AC">
        <w:rPr>
          <w:rFonts w:ascii="Arial" w:hAnsi="Arial" w:cs="Arial"/>
          <w:sz w:val="22"/>
          <w:szCs w:val="22"/>
        </w:rPr>
        <w:t>(</w:t>
      </w:r>
      <w:r w:rsidR="00323056" w:rsidRPr="004458AC">
        <w:rPr>
          <w:rFonts w:ascii="Arial" w:hAnsi="Arial" w:cs="Arial"/>
          <w:i/>
          <w:sz w:val="22"/>
          <w:szCs w:val="22"/>
        </w:rPr>
        <w:t>N</w:t>
      </w:r>
      <w:r w:rsidR="00323056" w:rsidRPr="004458AC">
        <w:rPr>
          <w:rFonts w:ascii="Arial" w:hAnsi="Arial" w:cs="Arial"/>
          <w:sz w:val="22"/>
          <w:szCs w:val="22"/>
        </w:rPr>
        <w:t xml:space="preserve"> = 400) </w:t>
      </w:r>
      <w:r w:rsidRPr="004458AC">
        <w:rPr>
          <w:rFonts w:ascii="Arial" w:hAnsi="Arial" w:cs="Arial"/>
          <w:sz w:val="22"/>
          <w:szCs w:val="22"/>
        </w:rPr>
        <w:t xml:space="preserve">following </w:t>
      </w:r>
      <w:r w:rsidR="005E1922" w:rsidRPr="004458AC">
        <w:rPr>
          <w:rFonts w:ascii="Arial" w:hAnsi="Arial" w:cs="Arial"/>
          <w:sz w:val="22"/>
          <w:szCs w:val="22"/>
        </w:rPr>
        <w:t xml:space="preserve">the (re-)introduction of infection via immigration of individuals from an area with ongoing transmission (ABR = 10,000 bites/person/year). </w:t>
      </w:r>
      <w:r w:rsidR="00006275" w:rsidRPr="004458AC">
        <w:rPr>
          <w:rFonts w:ascii="Arial" w:hAnsi="Arial" w:cs="Arial"/>
          <w:sz w:val="22"/>
          <w:szCs w:val="22"/>
        </w:rPr>
        <w:t>For each worm burden (0-10 to 100-120) of immigrants arriving in</w:t>
      </w:r>
      <w:r w:rsidR="004B096F" w:rsidRPr="004458AC">
        <w:rPr>
          <w:rFonts w:ascii="Arial" w:hAnsi="Arial" w:cs="Arial"/>
          <w:sz w:val="22"/>
          <w:szCs w:val="22"/>
        </w:rPr>
        <w:t xml:space="preserve"> the infection-free community</w:t>
      </w:r>
      <w:r w:rsidR="00006275" w:rsidRPr="004458AC">
        <w:rPr>
          <w:rFonts w:ascii="Arial" w:hAnsi="Arial" w:cs="Arial"/>
          <w:sz w:val="22"/>
          <w:szCs w:val="22"/>
        </w:rPr>
        <w:t xml:space="preserve"> (x-axis)</w:t>
      </w:r>
      <w:r w:rsidR="004B096F" w:rsidRPr="004458AC">
        <w:rPr>
          <w:rFonts w:ascii="Arial" w:hAnsi="Arial" w:cs="Arial"/>
          <w:sz w:val="22"/>
          <w:szCs w:val="22"/>
        </w:rPr>
        <w:t>,</w:t>
      </w:r>
      <w:r w:rsidR="00006275" w:rsidRPr="004458AC">
        <w:rPr>
          <w:rFonts w:ascii="Arial" w:hAnsi="Arial" w:cs="Arial"/>
          <w:sz w:val="22"/>
          <w:szCs w:val="22"/>
        </w:rPr>
        <w:t xml:space="preserve"> 300 model repeats were performed across a range of immigration scenarios, </w:t>
      </w:r>
      <w:r w:rsidR="002A3FC2" w:rsidRPr="004458AC">
        <w:rPr>
          <w:rFonts w:ascii="Arial" w:hAnsi="Arial" w:cs="Arial"/>
          <w:sz w:val="22"/>
          <w:szCs w:val="22"/>
        </w:rPr>
        <w:t>with</w:t>
      </w:r>
      <w:r w:rsidR="00006275" w:rsidRPr="004458AC">
        <w:rPr>
          <w:rFonts w:ascii="Arial" w:hAnsi="Arial" w:cs="Arial"/>
          <w:sz w:val="22"/>
          <w:szCs w:val="22"/>
        </w:rPr>
        <w:t xml:space="preserve"> </w:t>
      </w:r>
      <w:r w:rsidR="00006275" w:rsidRPr="004458AC">
        <w:rPr>
          <w:rFonts w:ascii="Arial" w:hAnsi="Arial" w:cs="Arial"/>
          <w:i/>
          <w:sz w:val="22"/>
          <w:szCs w:val="22"/>
        </w:rPr>
        <w:t>I</w:t>
      </w:r>
      <w:r w:rsidR="00006275" w:rsidRPr="004458AC">
        <w:rPr>
          <w:rFonts w:ascii="Arial" w:hAnsi="Arial" w:cs="Arial"/>
          <w:sz w:val="22"/>
          <w:szCs w:val="22"/>
        </w:rPr>
        <w:t xml:space="preserve"> = 1 to 15 </w:t>
      </w:r>
      <w:r w:rsidR="002A3FC2" w:rsidRPr="004458AC">
        <w:rPr>
          <w:rFonts w:ascii="Arial" w:hAnsi="Arial" w:cs="Arial"/>
          <w:sz w:val="22"/>
          <w:szCs w:val="22"/>
        </w:rPr>
        <w:t xml:space="preserve">and ABR = </w:t>
      </w:r>
      <w:r w:rsidR="00323056" w:rsidRPr="004458AC">
        <w:rPr>
          <w:rFonts w:ascii="Arial" w:hAnsi="Arial" w:cs="Arial"/>
          <w:sz w:val="22"/>
          <w:szCs w:val="22"/>
        </w:rPr>
        <w:t xml:space="preserve">500 to 1000 </w:t>
      </w:r>
      <w:r w:rsidR="00006275" w:rsidRPr="004458AC">
        <w:rPr>
          <w:rFonts w:ascii="Arial" w:hAnsi="Arial" w:cs="Arial"/>
          <w:sz w:val="22"/>
          <w:szCs w:val="22"/>
        </w:rPr>
        <w:t>i</w:t>
      </w:r>
      <w:r w:rsidR="00323056" w:rsidRPr="004458AC">
        <w:rPr>
          <w:rFonts w:ascii="Arial" w:hAnsi="Arial" w:cs="Arial"/>
          <w:sz w:val="22"/>
          <w:szCs w:val="22"/>
        </w:rPr>
        <w:t xml:space="preserve">n the infection-free </w:t>
      </w:r>
      <w:r w:rsidR="002A3FC2" w:rsidRPr="004458AC">
        <w:rPr>
          <w:rFonts w:ascii="Arial" w:hAnsi="Arial" w:cs="Arial"/>
          <w:sz w:val="22"/>
          <w:szCs w:val="22"/>
        </w:rPr>
        <w:t xml:space="preserve">community. Black circles indicate the mean number of years required to attain the maximum yearly growth rate of </w:t>
      </w:r>
      <w:proofErr w:type="spellStart"/>
      <w:r w:rsidR="002A3FC2" w:rsidRPr="004458AC">
        <w:rPr>
          <w:rFonts w:ascii="Arial" w:hAnsi="Arial" w:cs="Arial"/>
          <w:sz w:val="22"/>
          <w:szCs w:val="22"/>
        </w:rPr>
        <w:t>microfilarial</w:t>
      </w:r>
      <w:proofErr w:type="spellEnd"/>
      <w:r w:rsidR="002A3FC2" w:rsidRPr="004458AC">
        <w:rPr>
          <w:rFonts w:ascii="Arial" w:hAnsi="Arial" w:cs="Arial"/>
          <w:sz w:val="22"/>
          <w:szCs w:val="22"/>
        </w:rPr>
        <w:t xml:space="preserve"> prevalence, averaged across immigration scenarios and simulation repeats; vertical bars indicate the range of model outputs.</w:t>
      </w:r>
      <w:r w:rsidR="00006275" w:rsidRPr="004458AC">
        <w:rPr>
          <w:rFonts w:ascii="Arial" w:hAnsi="Arial" w:cs="Arial"/>
          <w:sz w:val="22"/>
          <w:szCs w:val="22"/>
        </w:rPr>
        <w:t xml:space="preserve"> </w:t>
      </w:r>
    </w:p>
    <w:p w14:paraId="62496AB9" w14:textId="48E7C035" w:rsidR="002A3FC2" w:rsidRPr="004458AC" w:rsidRDefault="002A3FC2">
      <w:pPr>
        <w:rPr>
          <w:rFonts w:ascii="Arial" w:hAnsi="Arial" w:cs="Arial"/>
          <w:sz w:val="22"/>
          <w:szCs w:val="22"/>
        </w:rPr>
      </w:pPr>
      <w:r w:rsidRPr="004458AC">
        <w:rPr>
          <w:rFonts w:ascii="Arial" w:hAnsi="Arial" w:cs="Arial"/>
          <w:sz w:val="22"/>
          <w:szCs w:val="22"/>
        </w:rPr>
        <w:br w:type="page"/>
      </w:r>
    </w:p>
    <w:p w14:paraId="522BCD3B" w14:textId="5D43E450" w:rsidR="008762A1" w:rsidRPr="004458AC" w:rsidRDefault="008762A1" w:rsidP="008762A1">
      <w:pPr>
        <w:rPr>
          <w:rFonts w:ascii="Arial" w:hAnsi="Arial" w:cs="Arial"/>
          <w:b/>
          <w:bCs/>
        </w:rPr>
      </w:pPr>
      <w:r w:rsidRPr="004458AC">
        <w:rPr>
          <w:rFonts w:ascii="Arial" w:hAnsi="Arial" w:cs="Arial"/>
          <w:b/>
          <w:bCs/>
        </w:rPr>
        <w:lastRenderedPageBreak/>
        <w:t>Supplementary References</w:t>
      </w:r>
    </w:p>
    <w:p w14:paraId="71111F12" w14:textId="77777777" w:rsidR="00DE6995" w:rsidRPr="004458AC" w:rsidRDefault="00DE6995" w:rsidP="008762A1">
      <w:pPr>
        <w:rPr>
          <w:rFonts w:ascii="Arial" w:hAnsi="Arial" w:cs="Arial"/>
          <w:sz w:val="22"/>
          <w:szCs w:val="22"/>
        </w:rPr>
      </w:pPr>
    </w:p>
    <w:p w14:paraId="31BD4DD8" w14:textId="77777777" w:rsidR="002045C2" w:rsidRPr="004458AC" w:rsidRDefault="006C1C0A" w:rsidP="002045C2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458AC">
        <w:rPr>
          <w:rFonts w:ascii="Arial" w:hAnsi="Arial" w:cs="Arial"/>
          <w:sz w:val="22"/>
          <w:szCs w:val="22"/>
        </w:rPr>
        <w:t>Ramani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4458AC">
        <w:rPr>
          <w:rFonts w:ascii="Arial" w:hAnsi="Arial" w:cs="Arial"/>
          <w:sz w:val="22"/>
          <w:szCs w:val="22"/>
        </w:rPr>
        <w:t>Stapley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JN, Dixon MA, </w:t>
      </w:r>
      <w:proofErr w:type="spellStart"/>
      <w:r w:rsidRPr="004458AC">
        <w:rPr>
          <w:rFonts w:ascii="Arial" w:hAnsi="Arial" w:cs="Arial"/>
          <w:sz w:val="22"/>
          <w:szCs w:val="22"/>
        </w:rPr>
        <w:t>Hamley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JID, </w:t>
      </w:r>
      <w:proofErr w:type="spellStart"/>
      <w:r w:rsidRPr="004458AC">
        <w:rPr>
          <w:rFonts w:ascii="Arial" w:hAnsi="Arial" w:cs="Arial"/>
          <w:sz w:val="22"/>
          <w:szCs w:val="22"/>
        </w:rPr>
        <w:t>Amaral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L-J, </w:t>
      </w:r>
      <w:proofErr w:type="spellStart"/>
      <w:r w:rsidRPr="004458AC">
        <w:rPr>
          <w:rFonts w:ascii="Arial" w:hAnsi="Arial" w:cs="Arial"/>
          <w:sz w:val="22"/>
          <w:szCs w:val="22"/>
        </w:rPr>
        <w:t>Basáñez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M-G, Walker M. Modelling onchocerciasis </w:t>
      </w:r>
      <w:proofErr w:type="spellStart"/>
      <w:r w:rsidRPr="004458AC">
        <w:rPr>
          <w:rFonts w:ascii="Arial" w:hAnsi="Arial" w:cs="Arial"/>
          <w:sz w:val="22"/>
          <w:szCs w:val="22"/>
        </w:rPr>
        <w:t>seroprevalence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for control and elimination. Nature </w:t>
      </w:r>
      <w:proofErr w:type="spellStart"/>
      <w:r w:rsidRPr="004458AC">
        <w:rPr>
          <w:rFonts w:ascii="Arial" w:hAnsi="Arial" w:cs="Arial"/>
          <w:sz w:val="22"/>
          <w:szCs w:val="22"/>
        </w:rPr>
        <w:t>Comms</w:t>
      </w:r>
      <w:proofErr w:type="spellEnd"/>
      <w:r w:rsidRPr="004458AC">
        <w:rPr>
          <w:rFonts w:ascii="Arial" w:hAnsi="Arial" w:cs="Arial"/>
          <w:sz w:val="22"/>
          <w:szCs w:val="22"/>
        </w:rPr>
        <w:t>. 2025.</w:t>
      </w:r>
    </w:p>
    <w:p w14:paraId="58C90623" w14:textId="192168C7" w:rsidR="00434D54" w:rsidRPr="004458AC" w:rsidRDefault="00434D54" w:rsidP="002045C2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458AC">
        <w:rPr>
          <w:rFonts w:ascii="Arial" w:hAnsi="Arial" w:cs="Arial"/>
          <w:sz w:val="22"/>
          <w:szCs w:val="22"/>
        </w:rPr>
        <w:t>Atsame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4458AC">
        <w:rPr>
          <w:rFonts w:ascii="Arial" w:hAnsi="Arial" w:cs="Arial"/>
          <w:sz w:val="22"/>
          <w:szCs w:val="22"/>
        </w:rPr>
        <w:t>Stapley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JN, </w:t>
      </w:r>
      <w:proofErr w:type="spellStart"/>
      <w:r w:rsidRPr="004458AC">
        <w:rPr>
          <w:rFonts w:ascii="Arial" w:hAnsi="Arial" w:cs="Arial"/>
          <w:sz w:val="22"/>
          <w:szCs w:val="22"/>
        </w:rPr>
        <w:t>Ramani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4458AC">
        <w:rPr>
          <w:rFonts w:ascii="Arial" w:hAnsi="Arial" w:cs="Arial"/>
          <w:sz w:val="22"/>
          <w:szCs w:val="22"/>
        </w:rPr>
        <w:t>Mourou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R, </w:t>
      </w:r>
      <w:proofErr w:type="spellStart"/>
      <w:r w:rsidRPr="004458AC">
        <w:rPr>
          <w:rFonts w:ascii="Arial" w:hAnsi="Arial" w:cs="Arial"/>
          <w:sz w:val="22"/>
          <w:szCs w:val="22"/>
        </w:rPr>
        <w:t>Ntsame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4458AC">
        <w:rPr>
          <w:rFonts w:ascii="Arial" w:hAnsi="Arial" w:cs="Arial"/>
          <w:sz w:val="22"/>
          <w:szCs w:val="22"/>
        </w:rPr>
        <w:t>Efame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E, </w:t>
      </w:r>
      <w:proofErr w:type="spellStart"/>
      <w:r w:rsidR="00D648E0" w:rsidRPr="004458AC">
        <w:rPr>
          <w:rFonts w:ascii="Arial" w:hAnsi="Arial" w:cs="Arial"/>
          <w:sz w:val="22"/>
          <w:szCs w:val="22"/>
        </w:rPr>
        <w:t>Angue</w:t>
      </w:r>
      <w:proofErr w:type="spellEnd"/>
      <w:r w:rsidR="00D648E0" w:rsidRPr="004458AC">
        <w:rPr>
          <w:rFonts w:ascii="Arial" w:hAnsi="Arial" w:cs="Arial"/>
          <w:sz w:val="22"/>
          <w:szCs w:val="22"/>
        </w:rPr>
        <w:t xml:space="preserve"> ON, </w:t>
      </w:r>
      <w:proofErr w:type="spellStart"/>
      <w:r w:rsidR="00D648E0" w:rsidRPr="004458AC">
        <w:rPr>
          <w:rFonts w:ascii="Arial" w:hAnsi="Arial" w:cs="Arial"/>
          <w:sz w:val="22"/>
          <w:szCs w:val="22"/>
        </w:rPr>
        <w:t>Obiang</w:t>
      </w:r>
      <w:proofErr w:type="spellEnd"/>
      <w:r w:rsidR="00D648E0" w:rsidRPr="004458AC">
        <w:rPr>
          <w:rFonts w:ascii="Arial" w:hAnsi="Arial" w:cs="Arial"/>
          <w:sz w:val="22"/>
          <w:szCs w:val="22"/>
        </w:rPr>
        <w:t xml:space="preserve"> JL, </w:t>
      </w:r>
      <w:proofErr w:type="spellStart"/>
      <w:r w:rsidR="00D648E0" w:rsidRPr="004458AC">
        <w:rPr>
          <w:rFonts w:ascii="Arial" w:hAnsi="Arial" w:cs="Arial"/>
          <w:sz w:val="22"/>
          <w:szCs w:val="22"/>
        </w:rPr>
        <w:t>Pilotte</w:t>
      </w:r>
      <w:proofErr w:type="spellEnd"/>
      <w:r w:rsidR="00D648E0" w:rsidRPr="004458AC">
        <w:rPr>
          <w:rFonts w:ascii="Arial" w:hAnsi="Arial" w:cs="Arial"/>
          <w:sz w:val="22"/>
          <w:szCs w:val="22"/>
        </w:rPr>
        <w:t xml:space="preserve"> N, </w:t>
      </w:r>
      <w:proofErr w:type="spellStart"/>
      <w:r w:rsidR="00D648E0" w:rsidRPr="004458AC">
        <w:rPr>
          <w:rFonts w:ascii="Arial" w:hAnsi="Arial" w:cs="Arial"/>
          <w:sz w:val="22"/>
          <w:szCs w:val="22"/>
        </w:rPr>
        <w:t>Gass</w:t>
      </w:r>
      <w:proofErr w:type="spellEnd"/>
      <w:r w:rsidR="00D648E0" w:rsidRPr="004458AC">
        <w:rPr>
          <w:rFonts w:ascii="Arial" w:hAnsi="Arial" w:cs="Arial"/>
          <w:sz w:val="22"/>
          <w:szCs w:val="22"/>
        </w:rPr>
        <w:t xml:space="preserve"> K, </w:t>
      </w:r>
      <w:proofErr w:type="spellStart"/>
      <w:r w:rsidR="00D648E0" w:rsidRPr="004458AC">
        <w:rPr>
          <w:rFonts w:ascii="Arial" w:hAnsi="Arial" w:cs="Arial"/>
          <w:sz w:val="22"/>
          <w:szCs w:val="22"/>
        </w:rPr>
        <w:t>Basáñez</w:t>
      </w:r>
      <w:proofErr w:type="spellEnd"/>
      <w:r w:rsidR="00D648E0" w:rsidRPr="004458AC">
        <w:rPr>
          <w:rFonts w:ascii="Arial" w:hAnsi="Arial" w:cs="Arial"/>
          <w:sz w:val="22"/>
          <w:szCs w:val="22"/>
        </w:rPr>
        <w:t xml:space="preserve"> MG.</w:t>
      </w:r>
      <w:r w:rsidRPr="004458AC">
        <w:rPr>
          <w:rFonts w:ascii="Arial" w:hAnsi="Arial" w:cs="Arial"/>
          <w:sz w:val="22"/>
          <w:szCs w:val="22"/>
        </w:rPr>
        <w:t xml:space="preserve"> Comparison of diagnostic tools to assess the feasibility of programmatic use of rapid diagnostic tests for onchocerciasis: a dataset from Gabon. Data Brief. </w:t>
      </w:r>
      <w:proofErr w:type="gramStart"/>
      <w:r w:rsidRPr="004458AC">
        <w:rPr>
          <w:rFonts w:ascii="Arial" w:hAnsi="Arial" w:cs="Arial"/>
          <w:sz w:val="22"/>
          <w:szCs w:val="22"/>
        </w:rPr>
        <w:t>2024;57:110901</w:t>
      </w:r>
      <w:proofErr w:type="gramEnd"/>
      <w:r w:rsidRPr="004458AC">
        <w:rPr>
          <w:rFonts w:ascii="Arial" w:hAnsi="Arial" w:cs="Arial"/>
          <w:sz w:val="22"/>
          <w:szCs w:val="22"/>
        </w:rPr>
        <w:t>.</w:t>
      </w:r>
    </w:p>
    <w:p w14:paraId="7520908F" w14:textId="35589430" w:rsidR="00916A5D" w:rsidRPr="004458AC" w:rsidRDefault="00916A5D" w:rsidP="001706DA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458AC">
        <w:rPr>
          <w:rFonts w:ascii="Arial" w:hAnsi="Arial" w:cs="Arial"/>
          <w:sz w:val="22"/>
          <w:szCs w:val="22"/>
        </w:rPr>
        <w:t>Cama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VA, McDonald C, </w:t>
      </w:r>
      <w:proofErr w:type="spellStart"/>
      <w:r w:rsidRPr="004458AC">
        <w:rPr>
          <w:rFonts w:ascii="Arial" w:hAnsi="Arial" w:cs="Arial"/>
          <w:sz w:val="22"/>
          <w:szCs w:val="22"/>
        </w:rPr>
        <w:t>Arcury-Quandt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A, Eberhard M, Jenks MH, Smith J, </w:t>
      </w:r>
      <w:proofErr w:type="spellStart"/>
      <w:r w:rsidRPr="004458AC">
        <w:rPr>
          <w:rFonts w:ascii="Arial" w:hAnsi="Arial" w:cs="Arial"/>
          <w:sz w:val="22"/>
          <w:szCs w:val="22"/>
        </w:rPr>
        <w:t>Feleke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SM, </w:t>
      </w:r>
      <w:proofErr w:type="spellStart"/>
      <w:r w:rsidRPr="004458AC">
        <w:rPr>
          <w:rFonts w:ascii="Arial" w:hAnsi="Arial" w:cs="Arial"/>
          <w:sz w:val="22"/>
          <w:szCs w:val="22"/>
        </w:rPr>
        <w:t>Abanyie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F, Thomson L, </w:t>
      </w:r>
      <w:proofErr w:type="spellStart"/>
      <w:r w:rsidRPr="004458AC">
        <w:rPr>
          <w:rFonts w:ascii="Arial" w:hAnsi="Arial" w:cs="Arial"/>
          <w:sz w:val="22"/>
          <w:szCs w:val="22"/>
        </w:rPr>
        <w:t>Wiegand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RE, </w:t>
      </w:r>
      <w:proofErr w:type="spellStart"/>
      <w:r w:rsidRPr="004458AC">
        <w:rPr>
          <w:rFonts w:ascii="Arial" w:hAnsi="Arial" w:cs="Arial"/>
          <w:sz w:val="22"/>
          <w:szCs w:val="22"/>
        </w:rPr>
        <w:t>Cantey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PT. Evaluation of an Ov-16 IgG4 enzyme-linked immunosorbent assay in humans and its application to determine the dynamics of antibody responses in a non-human primate model of </w:t>
      </w:r>
      <w:proofErr w:type="spellStart"/>
      <w:r w:rsidRPr="004458AC">
        <w:rPr>
          <w:rFonts w:ascii="Arial" w:hAnsi="Arial" w:cs="Arial"/>
          <w:i/>
          <w:sz w:val="22"/>
          <w:szCs w:val="22"/>
        </w:rPr>
        <w:t>Onchocerca</w:t>
      </w:r>
      <w:proofErr w:type="spellEnd"/>
      <w:r w:rsidRPr="004458AC">
        <w:rPr>
          <w:rFonts w:ascii="Arial" w:hAnsi="Arial" w:cs="Arial"/>
          <w:i/>
          <w:sz w:val="22"/>
          <w:szCs w:val="22"/>
        </w:rPr>
        <w:t xml:space="preserve"> volvulus</w:t>
      </w:r>
      <w:r w:rsidRPr="004458AC">
        <w:rPr>
          <w:rFonts w:ascii="Arial" w:hAnsi="Arial" w:cs="Arial"/>
          <w:sz w:val="22"/>
          <w:szCs w:val="22"/>
        </w:rPr>
        <w:t xml:space="preserve"> infection. Am J Trop Med Hyg. </w:t>
      </w:r>
      <w:proofErr w:type="gramStart"/>
      <w:r w:rsidRPr="004458AC">
        <w:rPr>
          <w:rFonts w:ascii="Arial" w:hAnsi="Arial" w:cs="Arial"/>
          <w:sz w:val="22"/>
          <w:szCs w:val="22"/>
        </w:rPr>
        <w:t>2018;99:1041</w:t>
      </w:r>
      <w:proofErr w:type="gramEnd"/>
      <w:r w:rsidRPr="004458AC">
        <w:rPr>
          <w:rFonts w:ascii="Arial" w:hAnsi="Arial" w:cs="Arial"/>
          <w:sz w:val="22"/>
          <w:szCs w:val="22"/>
        </w:rPr>
        <w:t>–48.</w:t>
      </w:r>
    </w:p>
    <w:p w14:paraId="2239C277" w14:textId="1DEDD033" w:rsidR="000B2968" w:rsidRPr="004458AC" w:rsidRDefault="009C5FF6" w:rsidP="00F44A4C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458AC">
        <w:rPr>
          <w:rFonts w:ascii="Arial" w:hAnsi="Arial" w:cs="Arial"/>
          <w:sz w:val="22"/>
          <w:szCs w:val="22"/>
        </w:rPr>
        <w:t>Behrend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MR, </w:t>
      </w:r>
      <w:proofErr w:type="spellStart"/>
      <w:r w:rsidRPr="004458AC">
        <w:rPr>
          <w:rFonts w:ascii="Arial" w:hAnsi="Arial" w:cs="Arial"/>
          <w:sz w:val="22"/>
          <w:szCs w:val="22"/>
        </w:rPr>
        <w:t>Basáñez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MG, </w:t>
      </w:r>
      <w:proofErr w:type="spellStart"/>
      <w:r w:rsidRPr="004458AC">
        <w:rPr>
          <w:rFonts w:ascii="Arial" w:hAnsi="Arial" w:cs="Arial"/>
          <w:sz w:val="22"/>
          <w:szCs w:val="22"/>
        </w:rPr>
        <w:t>Hamley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JID, </w:t>
      </w:r>
      <w:proofErr w:type="spellStart"/>
      <w:r w:rsidRPr="004458AC">
        <w:rPr>
          <w:rFonts w:ascii="Arial" w:hAnsi="Arial" w:cs="Arial"/>
          <w:sz w:val="22"/>
          <w:szCs w:val="22"/>
        </w:rPr>
        <w:t>Porco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TC, </w:t>
      </w:r>
      <w:proofErr w:type="spellStart"/>
      <w:r w:rsidRPr="004458AC">
        <w:rPr>
          <w:rFonts w:ascii="Arial" w:hAnsi="Arial" w:cs="Arial"/>
          <w:sz w:val="22"/>
          <w:szCs w:val="22"/>
        </w:rPr>
        <w:t>Stolk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WA, Walker M, </w:t>
      </w:r>
      <w:r w:rsidR="00F44A4C" w:rsidRPr="004458AC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F44A4C" w:rsidRPr="004458AC">
        <w:rPr>
          <w:rFonts w:ascii="Arial" w:hAnsi="Arial" w:cs="Arial"/>
          <w:sz w:val="22"/>
          <w:szCs w:val="22"/>
        </w:rPr>
        <w:t>Vlas</w:t>
      </w:r>
      <w:proofErr w:type="spellEnd"/>
      <w:r w:rsidR="00F44A4C" w:rsidRPr="004458AC">
        <w:rPr>
          <w:rFonts w:ascii="Arial" w:hAnsi="Arial" w:cs="Arial"/>
          <w:sz w:val="22"/>
          <w:szCs w:val="22"/>
        </w:rPr>
        <w:t xml:space="preserve"> SJ, NTD Modelling Consortium.</w:t>
      </w:r>
      <w:r w:rsidRPr="004458AC">
        <w:rPr>
          <w:rFonts w:ascii="Arial" w:hAnsi="Arial" w:cs="Arial"/>
          <w:sz w:val="22"/>
          <w:szCs w:val="22"/>
        </w:rPr>
        <w:t xml:space="preserve"> Modelling for policy: the five principles of the Neglected Tropical Diseases Modelling Consortium. </w:t>
      </w:r>
      <w:proofErr w:type="spellStart"/>
      <w:r w:rsidRPr="004458AC">
        <w:rPr>
          <w:rFonts w:ascii="Arial" w:hAnsi="Arial" w:cs="Arial"/>
          <w:sz w:val="22"/>
          <w:szCs w:val="22"/>
        </w:rPr>
        <w:t>PLoS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8AC">
        <w:rPr>
          <w:rFonts w:ascii="Arial" w:hAnsi="Arial" w:cs="Arial"/>
          <w:sz w:val="22"/>
          <w:szCs w:val="22"/>
        </w:rPr>
        <w:t>Negl</w:t>
      </w:r>
      <w:proofErr w:type="spellEnd"/>
      <w:r w:rsidRPr="004458AC">
        <w:rPr>
          <w:rFonts w:ascii="Arial" w:hAnsi="Arial" w:cs="Arial"/>
          <w:sz w:val="22"/>
          <w:szCs w:val="22"/>
        </w:rPr>
        <w:t xml:space="preserve"> Trop Dis. 2020;</w:t>
      </w:r>
      <w:proofErr w:type="gramStart"/>
      <w:r w:rsidRPr="004458AC">
        <w:rPr>
          <w:rFonts w:ascii="Arial" w:hAnsi="Arial" w:cs="Arial"/>
          <w:sz w:val="22"/>
          <w:szCs w:val="22"/>
        </w:rPr>
        <w:t>14:e</w:t>
      </w:r>
      <w:proofErr w:type="gramEnd"/>
      <w:r w:rsidRPr="004458AC">
        <w:rPr>
          <w:rFonts w:ascii="Arial" w:hAnsi="Arial" w:cs="Arial"/>
          <w:sz w:val="22"/>
          <w:szCs w:val="22"/>
        </w:rPr>
        <w:t>0008033.</w:t>
      </w:r>
    </w:p>
    <w:p w14:paraId="51801862" w14:textId="7BAD8F0B" w:rsidR="00C85090" w:rsidRDefault="00C85090" w:rsidP="002A41A4">
      <w:pPr>
        <w:rPr>
          <w:rFonts w:ascii="Arial" w:hAnsi="Arial" w:cs="Arial"/>
          <w:sz w:val="22"/>
          <w:szCs w:val="22"/>
        </w:rPr>
      </w:pPr>
    </w:p>
    <w:sectPr w:rsidR="00C8509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3AED99A" w16cex:dateUtc="2024-11-08T09:56:00Z"/>
  <w16cex:commentExtensible w16cex:durableId="2D7ED459" w16cex:dateUtc="2024-12-10T1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5A866B7" w16cid:durableId="73AED99A"/>
  <w16cid:commentId w16cid:paraId="50AFFFFF" w16cid:durableId="2D7ED45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95EFC" w14:textId="77777777" w:rsidR="001E6651" w:rsidRDefault="001E6651" w:rsidP="00485B4B">
      <w:pPr>
        <w:spacing w:after="0" w:line="240" w:lineRule="auto"/>
      </w:pPr>
      <w:r>
        <w:separator/>
      </w:r>
    </w:p>
  </w:endnote>
  <w:endnote w:type="continuationSeparator" w:id="0">
    <w:p w14:paraId="203E68BE" w14:textId="77777777" w:rsidR="001E6651" w:rsidRDefault="001E6651" w:rsidP="0048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536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1F36D" w14:textId="7145AAD0" w:rsidR="00B25799" w:rsidRDefault="00B25799">
        <w:pPr>
          <w:pStyle w:val="Footer"/>
          <w:jc w:val="right"/>
        </w:pPr>
        <w:r w:rsidRPr="00B25799">
          <w:rPr>
            <w:rFonts w:ascii="Arial" w:hAnsi="Arial" w:cs="Arial"/>
            <w:sz w:val="22"/>
            <w:szCs w:val="22"/>
          </w:rPr>
          <w:fldChar w:fldCharType="begin"/>
        </w:r>
        <w:r w:rsidRPr="00B2579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25799">
          <w:rPr>
            <w:rFonts w:ascii="Arial" w:hAnsi="Arial" w:cs="Arial"/>
            <w:sz w:val="22"/>
            <w:szCs w:val="22"/>
          </w:rPr>
          <w:fldChar w:fldCharType="separate"/>
        </w:r>
        <w:r w:rsidR="004C370D">
          <w:rPr>
            <w:rFonts w:ascii="Arial" w:hAnsi="Arial" w:cs="Arial"/>
            <w:noProof/>
            <w:sz w:val="22"/>
            <w:szCs w:val="22"/>
          </w:rPr>
          <w:t>9</w:t>
        </w:r>
        <w:r w:rsidRPr="00B2579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010967B2" w14:textId="77777777" w:rsidR="00B25799" w:rsidRDefault="00B2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58FCE" w14:textId="77777777" w:rsidR="001E6651" w:rsidRDefault="001E6651" w:rsidP="00485B4B">
      <w:pPr>
        <w:spacing w:after="0" w:line="240" w:lineRule="auto"/>
      </w:pPr>
      <w:r>
        <w:separator/>
      </w:r>
    </w:p>
  </w:footnote>
  <w:footnote w:type="continuationSeparator" w:id="0">
    <w:p w14:paraId="6FC0424E" w14:textId="77777777" w:rsidR="001E6651" w:rsidRDefault="001E6651" w:rsidP="00485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C3B14"/>
    <w:multiLevelType w:val="hybridMultilevel"/>
    <w:tmpl w:val="419EC2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C4"/>
    <w:rsid w:val="000000BE"/>
    <w:rsid w:val="00006275"/>
    <w:rsid w:val="0000721E"/>
    <w:rsid w:val="00011A4F"/>
    <w:rsid w:val="00056C25"/>
    <w:rsid w:val="00060363"/>
    <w:rsid w:val="00066FA0"/>
    <w:rsid w:val="00082C16"/>
    <w:rsid w:val="000A2609"/>
    <w:rsid w:val="000B2968"/>
    <w:rsid w:val="000C05FE"/>
    <w:rsid w:val="000E0DB4"/>
    <w:rsid w:val="000F0014"/>
    <w:rsid w:val="000F3E6C"/>
    <w:rsid w:val="00100CD8"/>
    <w:rsid w:val="001051B5"/>
    <w:rsid w:val="00122900"/>
    <w:rsid w:val="00123022"/>
    <w:rsid w:val="001375D0"/>
    <w:rsid w:val="00146BC9"/>
    <w:rsid w:val="0015159D"/>
    <w:rsid w:val="00156550"/>
    <w:rsid w:val="0016490D"/>
    <w:rsid w:val="00165482"/>
    <w:rsid w:val="00184803"/>
    <w:rsid w:val="001B4DCE"/>
    <w:rsid w:val="001D6F98"/>
    <w:rsid w:val="001E0B9D"/>
    <w:rsid w:val="001E4909"/>
    <w:rsid w:val="001E5CCE"/>
    <w:rsid w:val="001E6651"/>
    <w:rsid w:val="001E751A"/>
    <w:rsid w:val="001F423B"/>
    <w:rsid w:val="002045C2"/>
    <w:rsid w:val="00214EC4"/>
    <w:rsid w:val="002162D1"/>
    <w:rsid w:val="002202B4"/>
    <w:rsid w:val="00224420"/>
    <w:rsid w:val="00225635"/>
    <w:rsid w:val="00253692"/>
    <w:rsid w:val="00254FE8"/>
    <w:rsid w:val="00263D74"/>
    <w:rsid w:val="00266AE3"/>
    <w:rsid w:val="00283E0D"/>
    <w:rsid w:val="00292EF6"/>
    <w:rsid w:val="002A3FC2"/>
    <w:rsid w:val="002A41A4"/>
    <w:rsid w:val="002A7B34"/>
    <w:rsid w:val="002B131D"/>
    <w:rsid w:val="002B4620"/>
    <w:rsid w:val="002D157B"/>
    <w:rsid w:val="002E6F03"/>
    <w:rsid w:val="002F7E82"/>
    <w:rsid w:val="00316486"/>
    <w:rsid w:val="00321757"/>
    <w:rsid w:val="00323056"/>
    <w:rsid w:val="0032653C"/>
    <w:rsid w:val="00342E83"/>
    <w:rsid w:val="00365D01"/>
    <w:rsid w:val="00370ABD"/>
    <w:rsid w:val="003848E7"/>
    <w:rsid w:val="003B11EC"/>
    <w:rsid w:val="003B49DD"/>
    <w:rsid w:val="003C24BD"/>
    <w:rsid w:val="0042183F"/>
    <w:rsid w:val="00432D27"/>
    <w:rsid w:val="004333C7"/>
    <w:rsid w:val="00434D54"/>
    <w:rsid w:val="0043640F"/>
    <w:rsid w:val="00444CB0"/>
    <w:rsid w:val="004458AC"/>
    <w:rsid w:val="0045109A"/>
    <w:rsid w:val="004545C0"/>
    <w:rsid w:val="00473093"/>
    <w:rsid w:val="00475FBC"/>
    <w:rsid w:val="004849B6"/>
    <w:rsid w:val="00485B4B"/>
    <w:rsid w:val="00487AEC"/>
    <w:rsid w:val="00495AF3"/>
    <w:rsid w:val="004A3D3B"/>
    <w:rsid w:val="004A6A4F"/>
    <w:rsid w:val="004B096F"/>
    <w:rsid w:val="004B1F3D"/>
    <w:rsid w:val="004B2BFE"/>
    <w:rsid w:val="004C0253"/>
    <w:rsid w:val="004C2C40"/>
    <w:rsid w:val="004C370D"/>
    <w:rsid w:val="004D57B3"/>
    <w:rsid w:val="004F429A"/>
    <w:rsid w:val="00500D93"/>
    <w:rsid w:val="005354D0"/>
    <w:rsid w:val="0054030E"/>
    <w:rsid w:val="00540FDB"/>
    <w:rsid w:val="00560567"/>
    <w:rsid w:val="00565EFF"/>
    <w:rsid w:val="00577D28"/>
    <w:rsid w:val="005A1D25"/>
    <w:rsid w:val="005A6F84"/>
    <w:rsid w:val="005D6263"/>
    <w:rsid w:val="005E08EF"/>
    <w:rsid w:val="005E1922"/>
    <w:rsid w:val="005E6425"/>
    <w:rsid w:val="00602802"/>
    <w:rsid w:val="006064A2"/>
    <w:rsid w:val="00617D2F"/>
    <w:rsid w:val="00625EC5"/>
    <w:rsid w:val="00627E2E"/>
    <w:rsid w:val="006445EC"/>
    <w:rsid w:val="00647F56"/>
    <w:rsid w:val="00655A8E"/>
    <w:rsid w:val="00657F29"/>
    <w:rsid w:val="00663809"/>
    <w:rsid w:val="0066396C"/>
    <w:rsid w:val="00674545"/>
    <w:rsid w:val="006827CA"/>
    <w:rsid w:val="00690C05"/>
    <w:rsid w:val="006A0EC4"/>
    <w:rsid w:val="006A7A3C"/>
    <w:rsid w:val="006B62F6"/>
    <w:rsid w:val="006C1C0A"/>
    <w:rsid w:val="006C54E7"/>
    <w:rsid w:val="006D1C13"/>
    <w:rsid w:val="006D5360"/>
    <w:rsid w:val="00701F92"/>
    <w:rsid w:val="00707824"/>
    <w:rsid w:val="007165B8"/>
    <w:rsid w:val="00734047"/>
    <w:rsid w:val="007367BB"/>
    <w:rsid w:val="00737678"/>
    <w:rsid w:val="00754223"/>
    <w:rsid w:val="0076162E"/>
    <w:rsid w:val="00785E92"/>
    <w:rsid w:val="0079347F"/>
    <w:rsid w:val="007B0C81"/>
    <w:rsid w:val="007B7D0F"/>
    <w:rsid w:val="007C0292"/>
    <w:rsid w:val="007C2D92"/>
    <w:rsid w:val="007C7BAC"/>
    <w:rsid w:val="007F028D"/>
    <w:rsid w:val="007F08C5"/>
    <w:rsid w:val="008204E7"/>
    <w:rsid w:val="00821D64"/>
    <w:rsid w:val="00841494"/>
    <w:rsid w:val="00863713"/>
    <w:rsid w:val="008639A0"/>
    <w:rsid w:val="00870E36"/>
    <w:rsid w:val="008762A1"/>
    <w:rsid w:val="0088213D"/>
    <w:rsid w:val="00882352"/>
    <w:rsid w:val="0089517D"/>
    <w:rsid w:val="008A5AE8"/>
    <w:rsid w:val="008B7F5C"/>
    <w:rsid w:val="008C4A40"/>
    <w:rsid w:val="008E5DD4"/>
    <w:rsid w:val="008F6A99"/>
    <w:rsid w:val="00900E28"/>
    <w:rsid w:val="00902B6D"/>
    <w:rsid w:val="00916A5D"/>
    <w:rsid w:val="0092465B"/>
    <w:rsid w:val="00924867"/>
    <w:rsid w:val="009316A3"/>
    <w:rsid w:val="00931A7C"/>
    <w:rsid w:val="00937E3F"/>
    <w:rsid w:val="00953950"/>
    <w:rsid w:val="00976937"/>
    <w:rsid w:val="009B199F"/>
    <w:rsid w:val="009B6946"/>
    <w:rsid w:val="009C07A6"/>
    <w:rsid w:val="009C5FF6"/>
    <w:rsid w:val="009D2C5C"/>
    <w:rsid w:val="009E6432"/>
    <w:rsid w:val="00A113B9"/>
    <w:rsid w:val="00A1340B"/>
    <w:rsid w:val="00A16463"/>
    <w:rsid w:val="00A26306"/>
    <w:rsid w:val="00A27D9A"/>
    <w:rsid w:val="00A32D0D"/>
    <w:rsid w:val="00A33748"/>
    <w:rsid w:val="00A3418D"/>
    <w:rsid w:val="00A537AC"/>
    <w:rsid w:val="00A87DE0"/>
    <w:rsid w:val="00A9327C"/>
    <w:rsid w:val="00AA74E3"/>
    <w:rsid w:val="00AB1438"/>
    <w:rsid w:val="00AC1DC8"/>
    <w:rsid w:val="00AD06E4"/>
    <w:rsid w:val="00AD2604"/>
    <w:rsid w:val="00AD7B3B"/>
    <w:rsid w:val="00AE67A7"/>
    <w:rsid w:val="00B00BB3"/>
    <w:rsid w:val="00B23C86"/>
    <w:rsid w:val="00B25799"/>
    <w:rsid w:val="00B31F2F"/>
    <w:rsid w:val="00B40A4A"/>
    <w:rsid w:val="00B66EC1"/>
    <w:rsid w:val="00B825E0"/>
    <w:rsid w:val="00BA00BF"/>
    <w:rsid w:val="00BA2121"/>
    <w:rsid w:val="00BA32BA"/>
    <w:rsid w:val="00BC44E6"/>
    <w:rsid w:val="00C24C20"/>
    <w:rsid w:val="00C24D77"/>
    <w:rsid w:val="00C26ADA"/>
    <w:rsid w:val="00C33093"/>
    <w:rsid w:val="00C421CB"/>
    <w:rsid w:val="00C423B3"/>
    <w:rsid w:val="00C53D80"/>
    <w:rsid w:val="00C613F8"/>
    <w:rsid w:val="00C813D9"/>
    <w:rsid w:val="00C85090"/>
    <w:rsid w:val="00C9663D"/>
    <w:rsid w:val="00CC132A"/>
    <w:rsid w:val="00CC46EE"/>
    <w:rsid w:val="00CC5915"/>
    <w:rsid w:val="00CC73A2"/>
    <w:rsid w:val="00CD4BCA"/>
    <w:rsid w:val="00CE2184"/>
    <w:rsid w:val="00D25508"/>
    <w:rsid w:val="00D30C89"/>
    <w:rsid w:val="00D326CA"/>
    <w:rsid w:val="00D47482"/>
    <w:rsid w:val="00D477F6"/>
    <w:rsid w:val="00D630C6"/>
    <w:rsid w:val="00D648E0"/>
    <w:rsid w:val="00D81FF4"/>
    <w:rsid w:val="00D914D5"/>
    <w:rsid w:val="00DB4CF8"/>
    <w:rsid w:val="00DC051E"/>
    <w:rsid w:val="00DC2361"/>
    <w:rsid w:val="00DC456D"/>
    <w:rsid w:val="00DC47AA"/>
    <w:rsid w:val="00DD00EC"/>
    <w:rsid w:val="00DD4D59"/>
    <w:rsid w:val="00DE39AA"/>
    <w:rsid w:val="00DE6606"/>
    <w:rsid w:val="00DE6995"/>
    <w:rsid w:val="00E04D56"/>
    <w:rsid w:val="00E14212"/>
    <w:rsid w:val="00E154BE"/>
    <w:rsid w:val="00E24ACE"/>
    <w:rsid w:val="00E315E7"/>
    <w:rsid w:val="00E5214D"/>
    <w:rsid w:val="00E67815"/>
    <w:rsid w:val="00E7185B"/>
    <w:rsid w:val="00E71CB9"/>
    <w:rsid w:val="00E93C0D"/>
    <w:rsid w:val="00EA5714"/>
    <w:rsid w:val="00EB265D"/>
    <w:rsid w:val="00EC5D83"/>
    <w:rsid w:val="00ED1FEA"/>
    <w:rsid w:val="00EE16CF"/>
    <w:rsid w:val="00F012D6"/>
    <w:rsid w:val="00F44A4C"/>
    <w:rsid w:val="00F5184C"/>
    <w:rsid w:val="00F579AA"/>
    <w:rsid w:val="00F95167"/>
    <w:rsid w:val="00FC58C6"/>
    <w:rsid w:val="00FC68A8"/>
    <w:rsid w:val="00FD725F"/>
    <w:rsid w:val="00FE03DD"/>
    <w:rsid w:val="00FF4AE5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D516"/>
  <w15:chartTrackingRefBased/>
  <w15:docId w15:val="{9600E220-149B-44CD-8B5B-3C0B59CB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E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B4B"/>
  </w:style>
  <w:style w:type="paragraph" w:styleId="Footer">
    <w:name w:val="footer"/>
    <w:basedOn w:val="Normal"/>
    <w:link w:val="FooterChar"/>
    <w:uiPriority w:val="99"/>
    <w:unhideWhenUsed/>
    <w:rsid w:val="00485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B4B"/>
  </w:style>
  <w:style w:type="paragraph" w:styleId="Revision">
    <w:name w:val="Revision"/>
    <w:hidden/>
    <w:uiPriority w:val="99"/>
    <w:semiHidden/>
    <w:rsid w:val="003B11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D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2D92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E7185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7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asanez@imperial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.stapley20@imperial.ac.uk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29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Stapley, Jacob N</dc:creator>
  <cp:keywords/>
  <dc:description/>
  <cp:lastModifiedBy>Maria-Gloria</cp:lastModifiedBy>
  <cp:revision>3</cp:revision>
  <dcterms:created xsi:type="dcterms:W3CDTF">2025-07-11T12:39:00Z</dcterms:created>
  <dcterms:modified xsi:type="dcterms:W3CDTF">2025-07-11T13:15:00Z</dcterms:modified>
</cp:coreProperties>
</file>