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jc w:val="center"/>
        <w:rPr>
          <w:b/>
          <w:i/>
        </w:rPr>
      </w:pPr>
      <w:r>
        <w:rPr>
          <w:b/>
          <w:rtl w:val="0"/>
        </w:rPr>
        <w:t xml:space="preserve">Self-limiting population suppression gene drive in the West Nile vector mosquito, </w:t>
      </w:r>
      <w:r>
        <w:rPr>
          <w:b/>
          <w:i/>
          <w:rtl w:val="0"/>
        </w:rPr>
        <w:t>Culex quinquefasciatus</w:t>
      </w:r>
    </w:p>
    <w:p w14:paraId="00000002">
      <w:pPr>
        <w:rPr>
          <w:b/>
          <w:i/>
          <w:sz w:val="26"/>
          <w:szCs w:val="26"/>
        </w:rPr>
      </w:pPr>
    </w:p>
    <w:p w14:paraId="00000003">
      <w:pPr>
        <w:rPr>
          <w:i/>
        </w:rPr>
      </w:pPr>
      <w:r>
        <w:rPr>
          <w:i/>
          <w:rtl w:val="0"/>
        </w:rPr>
        <w:t>Xuechun Feng</w:t>
      </w:r>
      <w:r>
        <w:rPr>
          <w:i/>
          <w:vertAlign w:val="superscript"/>
          <w:rtl w:val="0"/>
        </w:rPr>
        <w:t>1,2#*</w:t>
      </w:r>
      <w:r>
        <w:rPr>
          <w:i/>
          <w:rtl w:val="0"/>
        </w:rPr>
        <w:t>, Jinying Ding</w:t>
      </w:r>
      <w:r>
        <w:rPr>
          <w:i/>
          <w:vertAlign w:val="superscript"/>
          <w:rtl w:val="0"/>
        </w:rPr>
        <w:t>2#</w:t>
      </w:r>
      <w:r>
        <w:rPr>
          <w:i/>
          <w:rtl w:val="0"/>
        </w:rPr>
        <w:t>, Yiran Liu</w:t>
      </w:r>
      <w:r>
        <w:rPr>
          <w:i/>
          <w:vertAlign w:val="superscript"/>
          <w:rtl w:val="0"/>
        </w:rPr>
        <w:t>3</w:t>
      </w:r>
      <w:r>
        <w:rPr>
          <w:i/>
          <w:rtl w:val="0"/>
        </w:rPr>
        <w:t>, Víctor López Del Amo</w:t>
      </w:r>
      <w:r>
        <w:rPr>
          <w:i/>
          <w:vertAlign w:val="superscript"/>
          <w:rtl w:val="0"/>
        </w:rPr>
        <w:t>4</w:t>
      </w:r>
      <w:r>
        <w:rPr>
          <w:i/>
          <w:rtl w:val="0"/>
        </w:rPr>
        <w:t>, Valentino M. Gantz</w:t>
      </w:r>
      <w:r>
        <w:rPr>
          <w:i/>
          <w:vertAlign w:val="superscript"/>
          <w:rtl w:val="0"/>
        </w:rPr>
        <w:t>5</w:t>
      </w:r>
      <w:r>
        <w:rPr>
          <w:i/>
          <w:rtl w:val="0"/>
        </w:rPr>
        <w:t>, Xuexin Chen</w:t>
      </w:r>
      <w:r>
        <w:rPr>
          <w:i/>
          <w:vertAlign w:val="superscript"/>
          <w:rtl w:val="0"/>
        </w:rPr>
        <w:t>1</w:t>
      </w:r>
      <w:r>
        <w:rPr>
          <w:i/>
          <w:rtl w:val="0"/>
        </w:rPr>
        <w:t xml:space="preserve">, Jackson Champer </w:t>
      </w:r>
      <w:r>
        <w:rPr>
          <w:i/>
          <w:vertAlign w:val="superscript"/>
          <w:rtl w:val="0"/>
        </w:rPr>
        <w:t>3*</w:t>
      </w:r>
      <w:r>
        <w:rPr>
          <w:i/>
          <w:rtl w:val="0"/>
        </w:rPr>
        <w:t>, Feng Liu</w:t>
      </w:r>
      <w:r>
        <w:rPr>
          <w:i/>
          <w:vertAlign w:val="superscript"/>
          <w:rtl w:val="0"/>
        </w:rPr>
        <w:t>2,6*</w:t>
      </w:r>
      <w:r>
        <w:rPr>
          <w:i/>
          <w:rtl w:val="0"/>
        </w:rPr>
        <w:t>.</w:t>
      </w:r>
    </w:p>
    <w:p w14:paraId="00000004">
      <w:pPr>
        <w:rPr>
          <w:i/>
        </w:rPr>
      </w:pPr>
    </w:p>
    <w:p w14:paraId="00000005">
      <w:r>
        <w:rPr>
          <w:vertAlign w:val="superscript"/>
          <w:rtl w:val="0"/>
        </w:rPr>
        <w:t xml:space="preserve">1 </w:t>
      </w:r>
      <w:r>
        <w:rPr>
          <w:rtl w:val="0"/>
        </w:rPr>
        <w:t>Key Laboratory of Biology of Crop Pathogen and Insects of Zhejiang Province, College of Agricultural and Biotechnology, Zhejiang University, Hangzhou, China</w:t>
      </w:r>
    </w:p>
    <w:p w14:paraId="00000006">
      <w:r>
        <w:rPr>
          <w:vertAlign w:val="superscript"/>
          <w:rtl w:val="0"/>
        </w:rPr>
        <w:t xml:space="preserve">2 </w:t>
      </w:r>
      <w:r>
        <w:rPr>
          <w:rtl w:val="0"/>
        </w:rPr>
        <w:t>Institute of Infectious Diseases, Shenzhen Bay Laboratory, Shenzhen, China</w:t>
      </w:r>
    </w:p>
    <w:p w14:paraId="00000007">
      <w:r>
        <w:rPr>
          <w:vertAlign w:val="superscript"/>
          <w:rtl w:val="0"/>
        </w:rPr>
        <w:t>3</w:t>
      </w:r>
      <w:r>
        <w:rPr>
          <w:rtl w:val="0"/>
        </w:rPr>
        <w:t xml:space="preserve"> Center for Bioinformatics, School of Life Sciences, Center for Life Sciences, Peking University, Beijing, China</w:t>
      </w:r>
    </w:p>
    <w:p w14:paraId="00000008">
      <w:r>
        <w:rPr>
          <w:vertAlign w:val="superscript"/>
          <w:rtl w:val="0"/>
        </w:rPr>
        <w:t>4</w:t>
      </w:r>
      <w:r>
        <w:rPr>
          <w:rtl w:val="0"/>
        </w:rPr>
        <w:t xml:space="preserve"> Center for Infectious Diseases, Department of Epidemiology, Human Genetics, and Environmental Sciences, School of Public Health, University of Texas Health Science Center, Houston, TX, USA</w:t>
      </w:r>
    </w:p>
    <w:p w14:paraId="00000009">
      <w:pPr>
        <w:rPr>
          <w:vertAlign w:val="superscript"/>
        </w:rPr>
      </w:pPr>
      <w:r>
        <w:rPr>
          <w:vertAlign w:val="superscript"/>
          <w:rtl w:val="0"/>
        </w:rPr>
        <w:t>5</w:t>
      </w:r>
      <w:r>
        <w:rPr>
          <w:rtl w:val="0"/>
        </w:rPr>
        <w:t xml:space="preserve"> Section of Cell and Developmental Biology, University of California San Diego, La Jolla, CA, USA</w:t>
      </w:r>
    </w:p>
    <w:p w14:paraId="0000000A">
      <w:r>
        <w:rPr>
          <w:vertAlign w:val="superscript"/>
          <w:rtl w:val="0"/>
        </w:rPr>
        <w:t xml:space="preserve">6 </w:t>
      </w:r>
      <w:r>
        <w:rPr>
          <w:rtl w:val="0"/>
        </w:rPr>
        <w:t>Guangdong Provincial Key Laboratory of Infection Immunity and Inflammation, Shenzhen, China</w:t>
      </w:r>
    </w:p>
    <w:p w14:paraId="0000000B">
      <w:r>
        <w:rPr>
          <w:i/>
          <w:vertAlign w:val="superscript"/>
          <w:rtl w:val="0"/>
        </w:rPr>
        <w:t>#</w:t>
      </w:r>
      <w:r>
        <w:rPr>
          <w:vertAlign w:val="superscript"/>
          <w:rtl w:val="0"/>
        </w:rPr>
        <w:t xml:space="preserve"> </w:t>
      </w:r>
      <w:r>
        <w:rPr>
          <w:rtl w:val="0"/>
        </w:rPr>
        <w:t>Authors contributed equally</w:t>
      </w:r>
    </w:p>
    <w:p w14:paraId="0000000C">
      <w:pPr>
        <w:rPr>
          <w:color w:val="0000FF"/>
          <w:u w:val="single"/>
        </w:rPr>
      </w:pPr>
      <w:r>
        <w:rPr>
          <w:i/>
          <w:vertAlign w:val="superscript"/>
          <w:rtl w:val="0"/>
        </w:rPr>
        <w:t>*</w:t>
      </w:r>
      <w:r>
        <w:rPr>
          <w:vertAlign w:val="superscript"/>
          <w:rtl w:val="0"/>
        </w:rPr>
        <w:t xml:space="preserve"> </w:t>
      </w:r>
      <w:r>
        <w:rPr>
          <w:rtl w:val="0"/>
        </w:rPr>
        <w:t xml:space="preserve">Corresponding authors: </w:t>
      </w:r>
      <w:r>
        <w:fldChar w:fldCharType="begin"/>
      </w:r>
      <w:r>
        <w:instrText xml:space="preserve"> HYPERLINK "mailto:liufeng@szbl.ac.cn" \h </w:instrText>
      </w:r>
      <w:r>
        <w:fldChar w:fldCharType="separate"/>
      </w:r>
      <w:r>
        <w:rPr>
          <w:color w:val="1155CC"/>
          <w:u w:val="single"/>
          <w:rtl w:val="0"/>
        </w:rPr>
        <w:t>liufeng@szbl.ac.cn</w:t>
      </w:r>
      <w:r>
        <w:rPr>
          <w:color w:val="1155CC"/>
          <w:u w:val="single"/>
          <w:rtl w:val="0"/>
        </w:rPr>
        <w:fldChar w:fldCharType="end"/>
      </w:r>
      <w:r>
        <w:rPr>
          <w:rtl w:val="0"/>
        </w:rPr>
        <w:t xml:space="preserve">; </w:t>
      </w:r>
      <w:r>
        <w:fldChar w:fldCharType="begin"/>
      </w:r>
      <w:r>
        <w:instrText xml:space="preserve"> HYPERLINK "mailto:xfeng24@zju.edu.cn" \h </w:instrText>
      </w:r>
      <w:r>
        <w:fldChar w:fldCharType="separate"/>
      </w:r>
      <w:r>
        <w:rPr>
          <w:color w:val="1155CC"/>
          <w:u w:val="single"/>
          <w:rtl w:val="0"/>
        </w:rPr>
        <w:t>xfeng24@zju.edu.cn</w:t>
      </w:r>
      <w:r>
        <w:rPr>
          <w:color w:val="1155CC"/>
          <w:u w:val="single"/>
          <w:rtl w:val="0"/>
        </w:rPr>
        <w:fldChar w:fldCharType="end"/>
      </w:r>
      <w:r>
        <w:rPr>
          <w:rtl w:val="0"/>
        </w:rPr>
        <w:t xml:space="preserve">; </w:t>
      </w:r>
      <w:r>
        <w:rPr>
          <w:color w:val="1155CC"/>
          <w:u w:val="single"/>
          <w:rtl w:val="0"/>
        </w:rPr>
        <w:t>jchamper@pku.edu.cn</w:t>
      </w:r>
      <w:r>
        <w:rPr>
          <w:color w:val="0000FF"/>
          <w:u w:val="single"/>
          <w:rtl w:val="0"/>
        </w:rPr>
        <w:t>.</w:t>
      </w:r>
    </w:p>
    <w:p w14:paraId="0000000D">
      <w:pPr>
        <w:rPr>
          <w:sz w:val="26"/>
          <w:szCs w:val="26"/>
        </w:rPr>
      </w:pPr>
    </w:p>
    <w:p w14:paraId="0000000E">
      <w:pPr>
        <w:spacing w:line="273" w:lineRule="auto"/>
        <w:rPr>
          <w:i/>
          <w:sz w:val="26"/>
          <w:szCs w:val="26"/>
        </w:rPr>
      </w:pPr>
      <w:r>
        <w:rPr>
          <w:b/>
          <w:rtl w:val="0"/>
        </w:rPr>
        <w:t>Keywords</w:t>
      </w:r>
      <w:r>
        <w:rPr>
          <w:rtl w:val="0"/>
        </w:rPr>
        <w:t xml:space="preserve">: </w:t>
      </w:r>
      <w:r>
        <w:rPr>
          <w:i/>
          <w:rtl w:val="0"/>
        </w:rPr>
        <w:t>Culex</w:t>
      </w:r>
      <w:r>
        <w:rPr>
          <w:rtl w:val="0"/>
        </w:rPr>
        <w:t xml:space="preserve"> mosquitoes, population suppression, gene drives, </w:t>
      </w:r>
      <w:r>
        <w:rPr>
          <w:i/>
          <w:rtl w:val="0"/>
        </w:rPr>
        <w:t>doublesex</w:t>
      </w:r>
      <w:r>
        <w:rPr>
          <w:rtl w:val="0"/>
        </w:rPr>
        <w:t>, RIDD.</w:t>
      </w:r>
    </w:p>
    <w:p w14:paraId="0000000F">
      <w:pPr>
        <w:rPr>
          <w:b/>
          <w:sz w:val="26"/>
          <w:szCs w:val="26"/>
        </w:rPr>
      </w:pPr>
    </w:p>
    <w:p w14:paraId="00000010">
      <w:pPr>
        <w:rPr>
          <w:b/>
          <w:i/>
          <w:sz w:val="26"/>
          <w:szCs w:val="26"/>
        </w:rPr>
      </w:pPr>
      <w:r>
        <w:br w:type="page"/>
      </w:r>
    </w:p>
    <w:p w14:paraId="00000011">
      <w:pPr>
        <w:rPr>
          <w:b/>
        </w:rPr>
      </w:pPr>
      <w:r>
        <w:rPr>
          <w:b/>
          <w:rtl w:val="0"/>
        </w:rPr>
        <w:t>Supplementary Figures</w:t>
      </w:r>
    </w:p>
    <w:p w14:paraId="00000012">
      <w:pPr>
        <w:rPr>
          <w:rFonts w:hint="default"/>
          <w:b/>
          <w:sz w:val="26"/>
          <w:szCs w:val="26"/>
          <w:lang w:val="en-US"/>
        </w:rPr>
      </w:pPr>
      <w:r>
        <w:rPr>
          <w:rFonts w:hint="default"/>
          <w:b/>
          <w:sz w:val="26"/>
          <w:szCs w:val="26"/>
          <w:lang w:val="en-US"/>
        </w:rPr>
        <w:drawing>
          <wp:inline distT="0" distB="0" distL="114300" distR="114300">
            <wp:extent cx="5937250" cy="2628265"/>
            <wp:effectExtent l="0" t="0" r="0" b="0"/>
            <wp:docPr id="4" name="Picture 4" descr="Supplementary fig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pplementary figure-01"/>
                    <pic:cNvPicPr>
                      <a:picLocks noChangeAspect="1"/>
                    </pic:cNvPicPr>
                  </pic:nvPicPr>
                  <pic:blipFill>
                    <a:blip r:embed="rId6"/>
                    <a:stretch>
                      <a:fillRect/>
                    </a:stretch>
                  </pic:blipFill>
                  <pic:spPr>
                    <a:xfrm>
                      <a:off x="0" y="0"/>
                      <a:ext cx="5937250" cy="2628265"/>
                    </a:xfrm>
                    <a:prstGeom prst="rect">
                      <a:avLst/>
                    </a:prstGeom>
                  </pic:spPr>
                </pic:pic>
              </a:graphicData>
            </a:graphic>
          </wp:inline>
        </w:drawing>
      </w:r>
    </w:p>
    <w:p w14:paraId="00000013">
      <w:pPr>
        <w:jc w:val="both"/>
      </w:pPr>
      <w:r>
        <w:rPr>
          <w:b/>
          <w:rtl w:val="0"/>
        </w:rPr>
        <w:t>Supplementary Figure 1:</w:t>
      </w:r>
      <w:r>
        <w:rPr>
          <w:rtl w:val="0"/>
        </w:rPr>
        <w:t xml:space="preserve"> </w:t>
      </w:r>
      <w:r>
        <w:rPr>
          <w:b/>
          <w:rtl w:val="0"/>
        </w:rPr>
        <w:t xml:space="preserve">Editing outcomes at </w:t>
      </w:r>
      <w:r>
        <w:rPr>
          <w:b/>
          <w:i/>
          <w:rtl w:val="0"/>
        </w:rPr>
        <w:t>dsx</w:t>
      </w:r>
      <w:r>
        <w:rPr>
          <w:b/>
          <w:rtl w:val="0"/>
        </w:rPr>
        <w:t>-gRNA-1 target site in GD individuals</w:t>
      </w:r>
      <w:r>
        <w:rPr>
          <w:rtl w:val="0"/>
        </w:rPr>
        <w:t xml:space="preserve">. Deep sequencing analysis (Supplementary Data 3) of GD males and intersexes revealed editing outcomes at the </w:t>
      </w:r>
      <w:r>
        <w:rPr>
          <w:i/>
          <w:rtl w:val="0"/>
        </w:rPr>
        <w:t>dsx</w:t>
      </w:r>
      <w:r>
        <w:rPr>
          <w:rtl w:val="0"/>
        </w:rPr>
        <w:t>-gRNA-1 target site. The proportions of modified versus unmodified alleles are shown as pie charts (left), while the types and frequencies of observed indels are listed on the right.</w:t>
      </w:r>
    </w:p>
    <w:p w14:paraId="00000014">
      <w:pPr>
        <w:rPr>
          <w:sz w:val="26"/>
          <w:szCs w:val="26"/>
        </w:rPr>
      </w:pPr>
      <w:r>
        <w:br w:type="page"/>
      </w:r>
    </w:p>
    <w:p w14:paraId="00000015">
      <w:pPr>
        <w:rPr>
          <w:rFonts w:hint="default"/>
          <w:sz w:val="26"/>
          <w:szCs w:val="26"/>
          <w:lang w:val="en-US"/>
        </w:rPr>
      </w:pPr>
      <w:r>
        <w:rPr>
          <w:rFonts w:hint="default"/>
          <w:sz w:val="26"/>
          <w:szCs w:val="26"/>
          <w:lang w:val="en-US"/>
        </w:rPr>
        <w:drawing>
          <wp:inline distT="0" distB="0" distL="114300" distR="114300">
            <wp:extent cx="5941060" cy="1401445"/>
            <wp:effectExtent l="0" t="0" r="2540" b="0"/>
            <wp:docPr id="5" name="Picture 5" descr="Supplementary fig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pplementary figure-02"/>
                    <pic:cNvPicPr>
                      <a:picLocks noChangeAspect="1"/>
                    </pic:cNvPicPr>
                  </pic:nvPicPr>
                  <pic:blipFill>
                    <a:blip r:embed="rId7"/>
                    <a:stretch>
                      <a:fillRect/>
                    </a:stretch>
                  </pic:blipFill>
                  <pic:spPr>
                    <a:xfrm>
                      <a:off x="0" y="0"/>
                      <a:ext cx="5941060" cy="1401445"/>
                    </a:xfrm>
                    <a:prstGeom prst="rect">
                      <a:avLst/>
                    </a:prstGeom>
                  </pic:spPr>
                </pic:pic>
              </a:graphicData>
            </a:graphic>
          </wp:inline>
        </w:drawing>
      </w:r>
    </w:p>
    <w:p w14:paraId="00000016">
      <w:pPr>
        <w:jc w:val="both"/>
      </w:pPr>
      <w:r>
        <w:rPr>
          <w:b/>
          <w:rtl w:val="0"/>
        </w:rPr>
        <w:t>Supplementary Figure 2:</w:t>
      </w:r>
      <w:r>
        <w:rPr>
          <w:rtl w:val="0"/>
        </w:rPr>
        <w:t xml:space="preserve"> </w:t>
      </w:r>
      <w:r>
        <w:rPr>
          <w:b/>
          <w:rtl w:val="0"/>
        </w:rPr>
        <w:t xml:space="preserve">ICE CRISPR analysis of </w:t>
      </w:r>
      <w:r>
        <w:rPr>
          <w:b/>
          <w:i/>
          <w:rtl w:val="0"/>
        </w:rPr>
        <w:t>dsx</w:t>
      </w:r>
      <w:r>
        <w:rPr>
          <w:b/>
          <w:rtl w:val="0"/>
        </w:rPr>
        <w:t>-gNRA-1 editing in non-GD intersex individuals</w:t>
      </w:r>
      <w:r>
        <w:rPr>
          <w:rtl w:val="0"/>
        </w:rPr>
        <w:t>. Sanger sequencing traces from ten non-GD-intersex type I and one non-GD-intersex type II individuals were analyzed using ICE CRISPR. The identified non wild-type indel variants are listed.</w:t>
      </w:r>
    </w:p>
    <w:p w14:paraId="00000017">
      <w:pPr>
        <w:jc w:val="both"/>
        <w:rPr>
          <w:sz w:val="26"/>
          <w:szCs w:val="26"/>
        </w:rPr>
      </w:pPr>
      <w:r>
        <w:rPr>
          <w:sz w:val="26"/>
          <w:szCs w:val="26"/>
          <w:rtl w:val="0"/>
        </w:rPr>
        <w:t xml:space="preserve">   </w:t>
      </w:r>
      <w:r>
        <w:rPr>
          <w:rtl w:val="0"/>
        </w:rPr>
        <w:t xml:space="preserve">                      </w:t>
      </w:r>
      <w:r>
        <w:br w:type="page"/>
      </w:r>
    </w:p>
    <w:p w14:paraId="00000018">
      <w:pPr>
        <w:jc w:val="center"/>
        <w:rPr>
          <w:rFonts w:hint="default"/>
          <w:b/>
          <w:lang w:val="en-US"/>
        </w:rPr>
      </w:pPr>
      <w:r>
        <w:rPr>
          <w:rFonts w:hint="default"/>
          <w:b/>
          <w:lang w:val="en-US"/>
        </w:rPr>
        <w:drawing>
          <wp:inline distT="0" distB="0" distL="114300" distR="114300">
            <wp:extent cx="4727575" cy="1615440"/>
            <wp:effectExtent l="0" t="0" r="0" b="0"/>
            <wp:docPr id="6" name="Picture 6" descr="Supplementary figu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upplementary figure-03"/>
                    <pic:cNvPicPr>
                      <a:picLocks noChangeAspect="1"/>
                    </pic:cNvPicPr>
                  </pic:nvPicPr>
                  <pic:blipFill>
                    <a:blip r:embed="rId8"/>
                    <a:stretch>
                      <a:fillRect/>
                    </a:stretch>
                  </pic:blipFill>
                  <pic:spPr>
                    <a:xfrm>
                      <a:off x="0" y="0"/>
                      <a:ext cx="4727575" cy="1615440"/>
                    </a:xfrm>
                    <a:prstGeom prst="rect">
                      <a:avLst/>
                    </a:prstGeom>
                  </pic:spPr>
                </pic:pic>
              </a:graphicData>
            </a:graphic>
          </wp:inline>
        </w:drawing>
      </w:r>
    </w:p>
    <w:p w14:paraId="00000019">
      <w:pPr>
        <w:jc w:val="both"/>
      </w:pPr>
      <w:r>
        <w:rPr>
          <w:b/>
          <w:rtl w:val="0"/>
        </w:rPr>
        <w:t>Supplementary Figure 3:</w:t>
      </w:r>
      <w:r>
        <w:rPr>
          <w:rtl w:val="0"/>
        </w:rPr>
        <w:t xml:space="preserve"> </w:t>
      </w:r>
      <w:r>
        <w:rPr>
          <w:b/>
          <w:rtl w:val="0"/>
        </w:rPr>
        <w:t>Dissection images of non-GD intersex-I individuals with oviposition defects</w:t>
      </w:r>
      <w:r>
        <w:rPr>
          <w:rtl w:val="0"/>
        </w:rPr>
        <w:t>.</w:t>
      </w:r>
      <w:r>
        <w:rPr>
          <w:b/>
          <w:rtl w:val="0"/>
        </w:rPr>
        <w:t xml:space="preserve"> A</w:t>
      </w:r>
      <w:r>
        <w:rPr>
          <w:rtl w:val="0"/>
        </w:rPr>
        <w:t xml:space="preserve">: A dead non-GD intersex-I after blood feeding, showing retention of an undigested blood meal in the abdomen. </w:t>
      </w:r>
      <w:r>
        <w:rPr>
          <w:b/>
          <w:rtl w:val="0"/>
        </w:rPr>
        <w:t>B:</w:t>
      </w:r>
      <w:r>
        <w:rPr>
          <w:rtl w:val="0"/>
        </w:rPr>
        <w:t xml:space="preserve"> Dissected abdomen revealing underdeveloped or darkened eggs, indicating impaired oogenesis or oviposition failure.</w:t>
      </w:r>
    </w:p>
    <w:p w14:paraId="0000001A">
      <w:pPr>
        <w:jc w:val="both"/>
        <w:rPr>
          <w:sz w:val="26"/>
          <w:szCs w:val="26"/>
        </w:rPr>
      </w:pPr>
      <w:r>
        <w:br w:type="page"/>
      </w:r>
    </w:p>
    <w:p w14:paraId="0000001B">
      <w:pPr>
        <w:rPr>
          <w:b/>
        </w:rPr>
      </w:pPr>
      <w:r>
        <w:rPr>
          <w:b/>
          <w:rtl w:val="0"/>
        </w:rPr>
        <w:t>Supplementary Tables</w:t>
      </w:r>
    </w:p>
    <w:p w14:paraId="0000001C">
      <w:pPr>
        <w:rPr>
          <w:b/>
        </w:rPr>
      </w:pPr>
    </w:p>
    <w:p w14:paraId="0000001D">
      <w:pPr>
        <w:rPr>
          <w:b/>
        </w:rPr>
      </w:pPr>
      <w:r>
        <w:rPr>
          <w:b/>
          <w:rtl w:val="0"/>
        </w:rPr>
        <w:t>Supplementary Table 1-Primer List</w:t>
      </w:r>
    </w:p>
    <w:p w14:paraId="0000001E">
      <w:pPr>
        <w:rPr>
          <w:b/>
        </w:rPr>
      </w:pPr>
    </w:p>
    <w:tbl>
      <w:tblPr>
        <w:tblStyle w:val="21"/>
        <w:tblW w:w="936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100"/>
        <w:gridCol w:w="7260"/>
      </w:tblGrid>
      <w:tr w14:paraId="57AB780C">
        <w:trPr>
          <w:trHeight w:val="315" w:hRule="atLeast"/>
        </w:trPr>
        <w:tc>
          <w:tcPr>
            <w:tcBorders>
              <w:top w:val="single" w:color="000000" w:sz="6" w:space="0"/>
              <w:left w:val="single" w:color="000000" w:sz="6" w:space="0"/>
              <w:bottom w:val="single" w:color="000000" w:sz="6" w:space="0"/>
              <w:right w:val="single" w:color="000000" w:sz="6" w:space="0"/>
            </w:tcBorders>
            <w:tcMar>
              <w:top w:w="20" w:type="dxa"/>
              <w:left w:w="20" w:type="dxa"/>
              <w:bottom w:w="20" w:type="dxa"/>
              <w:right w:w="20" w:type="dxa"/>
            </w:tcMar>
          </w:tcPr>
          <w:p w14:paraId="0000001F">
            <w:pPr>
              <w:spacing w:line="273" w:lineRule="auto"/>
              <w:jc w:val="both"/>
              <w:rPr>
                <w:b/>
              </w:rPr>
            </w:pPr>
            <w:r>
              <w:rPr>
                <w:b/>
                <w:rtl w:val="0"/>
              </w:rPr>
              <w:t>Name</w:t>
            </w:r>
          </w:p>
        </w:tc>
        <w:tc>
          <w:tcPr>
            <w:tcBorders>
              <w:top w:val="single" w:color="000000" w:sz="6" w:space="0"/>
              <w:left w:val="single" w:color="000000" w:sz="6" w:space="0"/>
              <w:bottom w:val="single" w:color="000000" w:sz="6" w:space="0"/>
              <w:right w:val="single" w:color="000000" w:sz="6" w:space="0"/>
            </w:tcBorders>
            <w:tcMar>
              <w:top w:w="20" w:type="dxa"/>
              <w:left w:w="20" w:type="dxa"/>
              <w:bottom w:w="20" w:type="dxa"/>
              <w:right w:w="20" w:type="dxa"/>
            </w:tcMar>
          </w:tcPr>
          <w:p w14:paraId="00000020">
            <w:pPr>
              <w:spacing w:line="273" w:lineRule="auto"/>
              <w:jc w:val="both"/>
              <w:rPr>
                <w:b/>
              </w:rPr>
            </w:pPr>
            <w:r>
              <w:rPr>
                <w:b/>
                <w:rtl w:val="0"/>
              </w:rPr>
              <w:t>Primer</w:t>
            </w:r>
          </w:p>
        </w:tc>
      </w:tr>
      <w:tr w14:paraId="789B1E22">
        <w:trPr>
          <w:trHeight w:val="315" w:hRule="atLeast"/>
        </w:trPr>
        <w:tc>
          <w:tcPr>
            <w:gridSpan w:val="2"/>
            <w:tcBorders>
              <w:top w:val="nil"/>
              <w:left w:val="single" w:color="000000" w:sz="6" w:space="0"/>
              <w:bottom w:val="single" w:color="000000" w:sz="6" w:space="0"/>
              <w:right w:val="single" w:color="000000" w:sz="6" w:space="0"/>
            </w:tcBorders>
            <w:tcMar>
              <w:top w:w="20" w:type="dxa"/>
              <w:left w:w="20" w:type="dxa"/>
              <w:bottom w:w="20" w:type="dxa"/>
              <w:right w:w="20" w:type="dxa"/>
            </w:tcMar>
          </w:tcPr>
          <w:p w14:paraId="00000021">
            <w:pPr>
              <w:spacing w:line="273" w:lineRule="auto"/>
              <w:jc w:val="both"/>
              <w:rPr>
                <w:b/>
              </w:rPr>
            </w:pPr>
            <w:r>
              <w:rPr>
                <w:b/>
                <w:rtl w:val="0"/>
              </w:rPr>
              <w:t>Primers used for building a population suppression GD construct</w:t>
            </w:r>
          </w:p>
        </w:tc>
      </w:tr>
      <w:tr w14:paraId="008FFA2B">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3">
            <w:pPr>
              <w:spacing w:line="273" w:lineRule="auto"/>
              <w:jc w:val="both"/>
            </w:pPr>
            <w:r>
              <w:rPr>
                <w:rtl w:val="0"/>
              </w:rPr>
              <w:t>0493</w:t>
            </w:r>
          </w:p>
        </w:tc>
        <w:tc>
          <w:tcPr>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4">
            <w:pPr>
              <w:spacing w:line="273" w:lineRule="auto"/>
              <w:jc w:val="both"/>
            </w:pPr>
            <w:r>
              <w:rPr>
                <w:rtl w:val="0"/>
              </w:rPr>
              <w:t>AAGTGCAACAACTCTCGGCTCGACCAAG</w:t>
            </w:r>
          </w:p>
        </w:tc>
      </w:tr>
      <w:tr w14:paraId="66CB32C9">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5">
            <w:pPr>
              <w:spacing w:line="273" w:lineRule="auto"/>
              <w:jc w:val="both"/>
            </w:pPr>
            <w:r>
              <w:rPr>
                <w:rtl w:val="0"/>
              </w:rPr>
              <w:t>0494</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6">
            <w:pPr>
              <w:spacing w:line="273" w:lineRule="auto"/>
              <w:jc w:val="both"/>
              <w:rPr>
                <w:highlight w:val="white"/>
              </w:rPr>
            </w:pPr>
            <w:r>
              <w:rPr>
                <w:highlight w:val="white"/>
                <w:rtl w:val="0"/>
              </w:rPr>
              <w:t>ACAGTGGAGTAACGAAAAATGGCAGAG</w:t>
            </w:r>
          </w:p>
        </w:tc>
      </w:tr>
      <w:tr w14:paraId="3852ED38">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7">
            <w:pPr>
              <w:spacing w:line="273" w:lineRule="auto"/>
              <w:jc w:val="both"/>
            </w:pPr>
            <w:r>
              <w:rPr>
                <w:rtl w:val="0"/>
              </w:rPr>
              <w:t>0526</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8">
            <w:pPr>
              <w:spacing w:line="273" w:lineRule="auto"/>
              <w:jc w:val="both"/>
            </w:pPr>
            <w:r>
              <w:rPr>
                <w:rtl w:val="0"/>
              </w:rPr>
              <w:t>CATGAGTGGCATCATTTCCCAtGGaTAGTTGAGCTTCTCCAGCAGATACTGAG</w:t>
            </w:r>
          </w:p>
        </w:tc>
      </w:tr>
      <w:tr w14:paraId="17BA3674">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9">
            <w:pPr>
              <w:spacing w:line="273" w:lineRule="auto"/>
              <w:jc w:val="both"/>
            </w:pPr>
            <w:r>
              <w:rPr>
                <w:rtl w:val="0"/>
              </w:rPr>
              <w:t>0582</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A">
            <w:pPr>
              <w:spacing w:line="273" w:lineRule="auto"/>
              <w:jc w:val="both"/>
            </w:pPr>
            <w:r>
              <w:rPr>
                <w:rtl w:val="0"/>
              </w:rPr>
              <w:t>TGTACGTGATACTGAAGGGTGCCGACG</w:t>
            </w:r>
          </w:p>
        </w:tc>
      </w:tr>
      <w:tr w14:paraId="7A80B458">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B">
            <w:pPr>
              <w:spacing w:line="273" w:lineRule="auto"/>
              <w:jc w:val="both"/>
            </w:pPr>
            <w:r>
              <w:rPr>
                <w:rtl w:val="0"/>
              </w:rPr>
              <w:t>0525</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C">
            <w:pPr>
              <w:spacing w:line="273" w:lineRule="auto"/>
              <w:jc w:val="both"/>
            </w:pPr>
            <w:r>
              <w:rPr>
                <w:rtl w:val="0"/>
              </w:rPr>
              <w:t>CTCAGTATCTGCTGGAGAAGCTCAACTAtCCaTGGGAAATGATGCCACTCATG</w:t>
            </w:r>
          </w:p>
        </w:tc>
      </w:tr>
      <w:tr w14:paraId="41BB3E5F">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D">
            <w:pPr>
              <w:spacing w:line="273" w:lineRule="auto"/>
              <w:jc w:val="both"/>
            </w:pPr>
            <w:r>
              <w:rPr>
                <w:rtl w:val="0"/>
              </w:rPr>
              <w:t>0527</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E">
            <w:pPr>
              <w:spacing w:line="273" w:lineRule="auto"/>
              <w:jc w:val="both"/>
            </w:pPr>
            <w:r>
              <w:rPr>
                <w:rtl w:val="0"/>
              </w:rPr>
              <w:t>CTTGCAAGTCGTCGTCGTCGTCTGGTTGTACAATTAATCTAGTTGCATGCG</w:t>
            </w:r>
          </w:p>
        </w:tc>
      </w:tr>
      <w:tr w14:paraId="7111F7B6">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2F">
            <w:pPr>
              <w:spacing w:line="273" w:lineRule="auto"/>
              <w:jc w:val="both"/>
            </w:pPr>
            <w:r>
              <w:rPr>
                <w:rtl w:val="0"/>
              </w:rPr>
              <w:t>0522</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0">
            <w:pPr>
              <w:spacing w:line="273" w:lineRule="auto"/>
              <w:jc w:val="both"/>
            </w:pPr>
            <w:r>
              <w:rPr>
                <w:rtl w:val="0"/>
              </w:rPr>
              <w:t>GTTTTAGAGCTAtgctgGAAAcagcaTAG</w:t>
            </w:r>
          </w:p>
        </w:tc>
      </w:tr>
      <w:tr w14:paraId="1E34B3E5">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1">
            <w:pPr>
              <w:spacing w:line="273" w:lineRule="auto"/>
              <w:jc w:val="both"/>
            </w:pPr>
            <w:r>
              <w:rPr>
                <w:rtl w:val="0"/>
              </w:rPr>
              <w:t>0523</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2">
            <w:pPr>
              <w:spacing w:line="273" w:lineRule="auto"/>
              <w:jc w:val="both"/>
            </w:pPr>
            <w:r>
              <w:rPr>
                <w:rtl w:val="0"/>
              </w:rPr>
              <w:t>ACGGGTAGTTGAGCTTCTCCTCGGAGGGTGCCCTCGTTGC</w:t>
            </w:r>
          </w:p>
        </w:tc>
      </w:tr>
      <w:tr w14:paraId="0A8759F6">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3">
            <w:pPr>
              <w:spacing w:line="273" w:lineRule="auto"/>
              <w:jc w:val="both"/>
            </w:pPr>
            <w:r>
              <w:rPr>
                <w:rtl w:val="0"/>
              </w:rPr>
              <w:t>0528</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4">
            <w:pPr>
              <w:spacing w:line="273" w:lineRule="auto"/>
              <w:jc w:val="both"/>
            </w:pPr>
            <w:r>
              <w:rPr>
                <w:rtl w:val="0"/>
              </w:rPr>
              <w:t>CGCATGCAACTAGATTAATTGTACAACCAGACGACGACGACGACTTGCAAG</w:t>
            </w:r>
          </w:p>
        </w:tc>
      </w:tr>
      <w:tr w14:paraId="2BD2AFA5">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5">
            <w:pPr>
              <w:spacing w:line="273" w:lineRule="auto"/>
              <w:jc w:val="both"/>
            </w:pPr>
            <w:r>
              <w:rPr>
                <w:rtl w:val="0"/>
              </w:rPr>
              <w:t>0529</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6">
            <w:pPr>
              <w:spacing w:line="273" w:lineRule="auto"/>
              <w:jc w:val="both"/>
            </w:pPr>
            <w:r>
              <w:rPr>
                <w:rtl w:val="0"/>
              </w:rPr>
              <w:t>caaactcatcaatgtatcttaaagcttAAGGAACACCTGTTCCCTCTGCGAG</w:t>
            </w:r>
          </w:p>
        </w:tc>
      </w:tr>
      <w:tr w14:paraId="6512716E">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7">
            <w:pPr>
              <w:spacing w:line="273" w:lineRule="auto"/>
              <w:jc w:val="both"/>
            </w:pPr>
            <w:r>
              <w:rPr>
                <w:rtl w:val="0"/>
              </w:rPr>
              <w:t>0530</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8">
            <w:pPr>
              <w:spacing w:line="273" w:lineRule="auto"/>
              <w:jc w:val="both"/>
            </w:pPr>
            <w:r>
              <w:rPr>
                <w:rtl w:val="0"/>
              </w:rPr>
              <w:t>CTCGCAGAGGGAACAGGTGTTCCTTaagctttaagatacattgatgagtttg</w:t>
            </w:r>
          </w:p>
        </w:tc>
      </w:tr>
      <w:tr w14:paraId="1A080E31">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9">
            <w:pPr>
              <w:spacing w:line="273" w:lineRule="auto"/>
              <w:jc w:val="both"/>
            </w:pPr>
            <w:r>
              <w:rPr>
                <w:rtl w:val="0"/>
              </w:rPr>
              <w:t>0531</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A">
            <w:pPr>
              <w:spacing w:line="273" w:lineRule="auto"/>
              <w:jc w:val="both"/>
            </w:pPr>
            <w:r>
              <w:rPr>
                <w:rtl w:val="0"/>
              </w:rPr>
              <w:t>ACCTTATTATCTTCGTAGATTTTGAcatactcggtggcctccccaccacc</w:t>
            </w:r>
          </w:p>
        </w:tc>
      </w:tr>
      <w:tr w14:paraId="38FE0713">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B">
            <w:pPr>
              <w:spacing w:line="273" w:lineRule="auto"/>
              <w:jc w:val="both"/>
            </w:pPr>
            <w:r>
              <w:rPr>
                <w:rtl w:val="0"/>
              </w:rPr>
              <w:t>0522</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C">
            <w:pPr>
              <w:spacing w:line="273" w:lineRule="auto"/>
              <w:jc w:val="both"/>
            </w:pPr>
            <w:r>
              <w:rPr>
                <w:rtl w:val="0"/>
              </w:rPr>
              <w:t>GTTTTAGAGCTAtgctgGAAAcagcaTAG</w:t>
            </w:r>
          </w:p>
        </w:tc>
      </w:tr>
      <w:tr w14:paraId="447B5760">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D">
            <w:pPr>
              <w:spacing w:line="273" w:lineRule="auto"/>
              <w:jc w:val="both"/>
            </w:pPr>
            <w:r>
              <w:rPr>
                <w:rtl w:val="0"/>
              </w:rPr>
              <w:t>0524</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E">
            <w:pPr>
              <w:spacing w:line="273" w:lineRule="auto"/>
              <w:jc w:val="both"/>
            </w:pPr>
            <w:r>
              <w:rPr>
                <w:rtl w:val="0"/>
              </w:rPr>
              <w:t>TGATGTACGTGATACTGAAGTGTAGGGCCGGGAAAGTGCTTATATAG</w:t>
            </w:r>
          </w:p>
        </w:tc>
      </w:tr>
      <w:tr w14:paraId="59B3D148">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3F">
            <w:pPr>
              <w:spacing w:line="273" w:lineRule="auto"/>
              <w:jc w:val="both"/>
            </w:pPr>
            <w:r>
              <w:rPr>
                <w:rtl w:val="0"/>
              </w:rPr>
              <w:t>0532</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0">
            <w:pPr>
              <w:spacing w:line="273" w:lineRule="auto"/>
              <w:jc w:val="both"/>
            </w:pPr>
            <w:r>
              <w:rPr>
                <w:rtl w:val="0"/>
              </w:rPr>
              <w:t>ggtggtggggaggccaccgagtatgTCAAAATCTACGAAGATAATAAGGT</w:t>
            </w:r>
          </w:p>
        </w:tc>
      </w:tr>
      <w:tr w14:paraId="30CF081B">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1">
            <w:pPr>
              <w:spacing w:line="273" w:lineRule="auto"/>
              <w:jc w:val="both"/>
            </w:pPr>
            <w:r>
              <w:rPr>
                <w:rtl w:val="0"/>
              </w:rPr>
              <w:t>0583</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2">
            <w:pPr>
              <w:spacing w:line="273" w:lineRule="auto"/>
              <w:jc w:val="both"/>
            </w:pPr>
            <w:r>
              <w:rPr>
                <w:rtl w:val="0"/>
              </w:rPr>
              <w:t>CGTCGGCACCCTTCAGTATCACGTACAAAAAAAAAAGCACCGACTCGGTGCCAC</w:t>
            </w:r>
          </w:p>
        </w:tc>
      </w:tr>
      <w:tr w14:paraId="33725DC6">
        <w:trPr>
          <w:trHeight w:val="315" w:hRule="atLeast"/>
        </w:trPr>
        <w:tc>
          <w:tcPr>
            <w:gridSpan w:val="2"/>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3">
            <w:pPr>
              <w:spacing w:line="273" w:lineRule="auto"/>
              <w:jc w:val="both"/>
            </w:pPr>
            <w:r>
              <w:rPr>
                <w:rtl w:val="0"/>
              </w:rPr>
              <w:t>Primers used for PCR-based verification of correct transgenesis</w:t>
            </w:r>
          </w:p>
        </w:tc>
      </w:tr>
      <w:tr w14:paraId="76B0CEF5">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5">
            <w:pPr>
              <w:spacing w:line="273" w:lineRule="auto"/>
              <w:jc w:val="both"/>
            </w:pPr>
            <w:r>
              <w:rPr>
                <w:rtl w:val="0"/>
              </w:rPr>
              <w:t>X155</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6">
            <w:pPr>
              <w:spacing w:line="273" w:lineRule="auto"/>
              <w:jc w:val="both"/>
              <w:rPr>
                <w:highlight w:val="white"/>
              </w:rPr>
            </w:pPr>
            <w:r>
              <w:rPr>
                <w:highlight w:val="white"/>
                <w:rtl w:val="0"/>
              </w:rPr>
              <w:t>CGCGAGTCAATATATCATTCGTG</w:t>
            </w:r>
          </w:p>
        </w:tc>
      </w:tr>
      <w:tr w14:paraId="479A75FC">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7">
            <w:pPr>
              <w:spacing w:line="273" w:lineRule="auto"/>
              <w:jc w:val="both"/>
            </w:pPr>
            <w:r>
              <w:rPr>
                <w:rtl w:val="0"/>
              </w:rPr>
              <w:t>X301</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8">
            <w:pPr>
              <w:spacing w:line="273" w:lineRule="auto"/>
              <w:jc w:val="both"/>
              <w:rPr>
                <w:highlight w:val="white"/>
              </w:rPr>
            </w:pPr>
            <w:r>
              <w:rPr>
                <w:highlight w:val="white"/>
                <w:rtl w:val="0"/>
              </w:rPr>
              <w:t>ATGGTGCGCTCCTCCAAGAAC</w:t>
            </w:r>
          </w:p>
        </w:tc>
      </w:tr>
      <w:tr w14:paraId="4FA05EB9">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9">
            <w:pPr>
              <w:spacing w:line="273" w:lineRule="auto"/>
              <w:jc w:val="both"/>
            </w:pPr>
            <w:r>
              <w:rPr>
                <w:rtl w:val="0"/>
              </w:rPr>
              <w:t>X309</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A">
            <w:pPr>
              <w:spacing w:line="273" w:lineRule="auto"/>
              <w:jc w:val="both"/>
              <w:rPr>
                <w:highlight w:val="white"/>
              </w:rPr>
            </w:pPr>
            <w:r>
              <w:rPr>
                <w:highlight w:val="white"/>
                <w:rtl w:val="0"/>
              </w:rPr>
              <w:t>TGAACTCCTTGATGACGTTCTTGGAGGAGCG</w:t>
            </w:r>
          </w:p>
        </w:tc>
      </w:tr>
      <w:tr w14:paraId="4578B946">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B">
            <w:pPr>
              <w:spacing w:line="273" w:lineRule="auto"/>
              <w:jc w:val="both"/>
            </w:pPr>
            <w:r>
              <w:rPr>
                <w:rtl w:val="0"/>
              </w:rPr>
              <w:t>X310</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C">
            <w:pPr>
              <w:spacing w:line="273" w:lineRule="auto"/>
              <w:jc w:val="both"/>
              <w:rPr>
                <w:highlight w:val="white"/>
              </w:rPr>
            </w:pPr>
            <w:r>
              <w:rPr>
                <w:highlight w:val="white"/>
                <w:rtl w:val="0"/>
              </w:rPr>
              <w:t>GGTTCGCCGAAGAAGAAGCGCAAGGTGTAAAATTG</w:t>
            </w:r>
          </w:p>
        </w:tc>
      </w:tr>
      <w:tr w14:paraId="6A5E952F">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D">
            <w:pPr>
              <w:spacing w:line="273" w:lineRule="auto"/>
              <w:jc w:val="both"/>
            </w:pPr>
            <w:r>
              <w:rPr>
                <w:rtl w:val="0"/>
              </w:rPr>
              <w:t>X304</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E">
            <w:pPr>
              <w:spacing w:line="273" w:lineRule="auto"/>
              <w:jc w:val="both"/>
              <w:rPr>
                <w:highlight w:val="white"/>
              </w:rPr>
            </w:pPr>
            <w:r>
              <w:rPr>
                <w:highlight w:val="white"/>
                <w:rtl w:val="0"/>
              </w:rPr>
              <w:t>ACAGTATaAAAAGTGCGTTAAAAAAACAAG</w:t>
            </w:r>
          </w:p>
        </w:tc>
      </w:tr>
      <w:tr w14:paraId="43EAC2BA">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4F">
            <w:pPr>
              <w:spacing w:line="273" w:lineRule="auto"/>
              <w:jc w:val="both"/>
            </w:pPr>
            <w:r>
              <w:rPr>
                <w:rtl w:val="0"/>
              </w:rPr>
              <w:t>X51</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0">
            <w:pPr>
              <w:spacing w:line="273" w:lineRule="auto"/>
              <w:jc w:val="both"/>
              <w:rPr>
                <w:highlight w:val="white"/>
              </w:rPr>
            </w:pPr>
            <w:r>
              <w:rPr>
                <w:highlight w:val="white"/>
                <w:rtl w:val="0"/>
              </w:rPr>
              <w:t>ATGGATAAGAAGTACTCGATCGG</w:t>
            </w:r>
          </w:p>
        </w:tc>
      </w:tr>
      <w:tr w14:paraId="03635B3D">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1">
            <w:pPr>
              <w:spacing w:line="273" w:lineRule="auto"/>
              <w:jc w:val="both"/>
            </w:pPr>
            <w:r>
              <w:rPr>
                <w:rtl w:val="0"/>
              </w:rPr>
              <w:t>X314</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2">
            <w:pPr>
              <w:spacing w:line="273" w:lineRule="auto"/>
              <w:jc w:val="both"/>
              <w:rPr>
                <w:highlight w:val="white"/>
              </w:rPr>
            </w:pPr>
            <w:r>
              <w:rPr>
                <w:highlight w:val="white"/>
                <w:rtl w:val="0"/>
              </w:rPr>
              <w:t>TGGAAGAACGAATCATCCACCTTGGCCATC</w:t>
            </w:r>
          </w:p>
        </w:tc>
      </w:tr>
      <w:tr w14:paraId="5348C62C">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3">
            <w:pPr>
              <w:spacing w:line="273" w:lineRule="auto"/>
              <w:jc w:val="both"/>
            </w:pPr>
            <w:r>
              <w:rPr>
                <w:rtl w:val="0"/>
              </w:rPr>
              <w:t>X312</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4">
            <w:pPr>
              <w:spacing w:line="273" w:lineRule="auto"/>
              <w:jc w:val="both"/>
              <w:rPr>
                <w:highlight w:val="white"/>
              </w:rPr>
            </w:pPr>
            <w:r>
              <w:rPr>
                <w:highlight w:val="white"/>
                <w:rtl w:val="0"/>
              </w:rPr>
              <w:t>AAAAATTTCACACCGTTCACGCAAGGCACTG</w:t>
            </w:r>
          </w:p>
        </w:tc>
      </w:tr>
      <w:tr w14:paraId="3924A5DB">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5">
            <w:pPr>
              <w:spacing w:line="273" w:lineRule="auto"/>
              <w:jc w:val="both"/>
            </w:pPr>
            <w:r>
              <w:rPr>
                <w:rtl w:val="0"/>
              </w:rPr>
              <w:t>X313</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6">
            <w:pPr>
              <w:spacing w:line="273" w:lineRule="auto"/>
              <w:jc w:val="both"/>
              <w:rPr>
                <w:highlight w:val="white"/>
              </w:rPr>
            </w:pPr>
            <w:r>
              <w:rPr>
                <w:highlight w:val="white"/>
                <w:rtl w:val="0"/>
              </w:rPr>
              <w:t>ACGTTATGTTCCTCCCAGTTCTGGCTGG</w:t>
            </w:r>
          </w:p>
        </w:tc>
      </w:tr>
      <w:tr w14:paraId="6E258783">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7">
            <w:pPr>
              <w:spacing w:line="273" w:lineRule="auto"/>
              <w:jc w:val="both"/>
            </w:pPr>
            <w:r>
              <w:rPr>
                <w:rtl w:val="0"/>
              </w:rPr>
              <w:t>X157</w:t>
            </w:r>
          </w:p>
        </w:tc>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8">
            <w:pPr>
              <w:spacing w:line="273" w:lineRule="auto"/>
              <w:jc w:val="both"/>
              <w:rPr>
                <w:highlight w:val="white"/>
              </w:rPr>
            </w:pPr>
            <w:r>
              <w:rPr>
                <w:highlight w:val="white"/>
                <w:rtl w:val="0"/>
              </w:rPr>
              <w:t>TGACCCAGGTCATGATCAACGACGACC</w:t>
            </w:r>
          </w:p>
        </w:tc>
      </w:tr>
      <w:tr w14:paraId="47BDE16D">
        <w:trPr>
          <w:trHeight w:val="315" w:hRule="atLeast"/>
        </w:trPr>
        <w:tc>
          <w:tcPr>
            <w:gridSpan w:val="2"/>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9">
            <w:pPr>
              <w:spacing w:line="273" w:lineRule="auto"/>
              <w:jc w:val="both"/>
            </w:pPr>
            <w:r>
              <w:rPr>
                <w:rtl w:val="0"/>
              </w:rPr>
              <w:t xml:space="preserve">Primers used for </w:t>
            </w:r>
            <w:r>
              <w:rPr>
                <w:i/>
                <w:rtl w:val="0"/>
              </w:rPr>
              <w:t xml:space="preserve">dsx-1 </w:t>
            </w:r>
            <w:r>
              <w:rPr>
                <w:rtl w:val="0"/>
              </w:rPr>
              <w:t xml:space="preserve">and </w:t>
            </w:r>
            <w:r>
              <w:rPr>
                <w:i/>
                <w:rtl w:val="0"/>
              </w:rPr>
              <w:t>dsx</w:t>
            </w:r>
            <w:r>
              <w:rPr>
                <w:rtl w:val="0"/>
              </w:rPr>
              <w:t>-2 Deep sequencing analysis</w:t>
            </w:r>
          </w:p>
        </w:tc>
      </w:tr>
      <w:tr w14:paraId="3FA591FC">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B">
            <w:pPr>
              <w:spacing w:line="273" w:lineRule="auto"/>
              <w:jc w:val="both"/>
            </w:pPr>
            <w:r>
              <w:rPr>
                <w:rtl w:val="0"/>
              </w:rPr>
              <w:t>X01</w:t>
            </w:r>
          </w:p>
        </w:tc>
        <w:tc>
          <w:tcPr>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C">
            <w:pPr>
              <w:spacing w:line="273" w:lineRule="auto"/>
              <w:jc w:val="both"/>
            </w:pPr>
            <w:r>
              <w:rPr>
                <w:rtl w:val="0"/>
              </w:rPr>
              <w:t>GCTCAAAATAAACCTGATACGGGTG</w:t>
            </w:r>
          </w:p>
        </w:tc>
      </w:tr>
      <w:tr w14:paraId="788D1E04">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D">
            <w:pPr>
              <w:spacing w:line="273" w:lineRule="auto"/>
              <w:jc w:val="both"/>
            </w:pPr>
            <w:r>
              <w:rPr>
                <w:rtl w:val="0"/>
              </w:rPr>
              <w:t>X237</w:t>
            </w:r>
          </w:p>
        </w:tc>
        <w:tc>
          <w:tcPr>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E">
            <w:pPr>
              <w:spacing w:line="273" w:lineRule="auto"/>
              <w:jc w:val="both"/>
            </w:pPr>
            <w:r>
              <w:rPr>
                <w:rtl w:val="0"/>
              </w:rPr>
              <w:t>GATCCAACCGCCACCGTTCCGTACC</w:t>
            </w:r>
          </w:p>
        </w:tc>
      </w:tr>
      <w:tr w14:paraId="069AC807">
        <w:trPr>
          <w:trHeight w:val="315" w:hRule="atLeast"/>
        </w:trPr>
        <w:tc>
          <w:tcPr>
            <w:gridSpan w:val="2"/>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5F">
            <w:pPr>
              <w:spacing w:line="273" w:lineRule="auto"/>
              <w:jc w:val="both"/>
              <w:rPr>
                <w:b/>
              </w:rPr>
            </w:pPr>
            <w:r>
              <w:rPr>
                <w:rtl w:val="0"/>
              </w:rPr>
              <w:t xml:space="preserve">Primers used for RT-PCR amplification of </w:t>
            </w:r>
            <w:r>
              <w:rPr>
                <w:i/>
                <w:rtl w:val="0"/>
              </w:rPr>
              <w:t>dsxM</w:t>
            </w:r>
            <w:r>
              <w:rPr>
                <w:rtl w:val="0"/>
              </w:rPr>
              <w:t xml:space="preserve">, </w:t>
            </w:r>
            <w:r>
              <w:rPr>
                <w:i/>
                <w:rtl w:val="0"/>
              </w:rPr>
              <w:t>dsxF</w:t>
            </w:r>
            <w:r>
              <w:rPr>
                <w:rtl w:val="0"/>
              </w:rPr>
              <w:t xml:space="preserve"> and </w:t>
            </w:r>
            <w:r>
              <w:rPr>
                <w:i/>
                <w:rtl w:val="0"/>
              </w:rPr>
              <w:t>dsxM</w:t>
            </w:r>
            <w:r>
              <w:rPr>
                <w:rtl w:val="0"/>
              </w:rPr>
              <w:t xml:space="preserve">-recoded transcript fragments </w:t>
            </w:r>
          </w:p>
        </w:tc>
      </w:tr>
      <w:tr w14:paraId="2CED07BB">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61">
            <w:pPr>
              <w:spacing w:line="273" w:lineRule="auto"/>
              <w:jc w:val="both"/>
            </w:pPr>
            <w:r>
              <w:rPr>
                <w:rtl w:val="0"/>
              </w:rPr>
              <w:t>Com_F</w:t>
            </w:r>
          </w:p>
        </w:tc>
        <w:tc>
          <w:tcPr>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62">
            <w:pPr>
              <w:spacing w:line="273" w:lineRule="auto"/>
              <w:jc w:val="both"/>
            </w:pPr>
            <w:r>
              <w:rPr>
                <w:rtl w:val="0"/>
              </w:rPr>
              <w:t>X281-ATGGTTTCGCAAGATACCTGGATGG</w:t>
            </w:r>
          </w:p>
        </w:tc>
      </w:tr>
      <w:tr w14:paraId="6398A943">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63">
            <w:pPr>
              <w:spacing w:line="273" w:lineRule="auto"/>
              <w:jc w:val="both"/>
            </w:pPr>
            <w:r>
              <w:rPr>
                <w:i/>
                <w:rtl w:val="0"/>
              </w:rPr>
              <w:t>dsxF</w:t>
            </w:r>
            <w:r>
              <w:rPr>
                <w:rtl w:val="0"/>
              </w:rPr>
              <w:t>_R</w:t>
            </w:r>
          </w:p>
        </w:tc>
        <w:tc>
          <w:tcPr>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64">
            <w:pPr>
              <w:spacing w:line="273" w:lineRule="auto"/>
              <w:jc w:val="both"/>
            </w:pPr>
            <w:r>
              <w:rPr>
                <w:rtl w:val="0"/>
              </w:rPr>
              <w:t>X315-CGTTTGTTTGCTCTCGGCAATAAAC</w:t>
            </w:r>
          </w:p>
        </w:tc>
      </w:tr>
      <w:tr w14:paraId="014AF11B">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65">
            <w:pPr>
              <w:spacing w:line="273" w:lineRule="auto"/>
              <w:jc w:val="both"/>
            </w:pPr>
            <w:r>
              <w:rPr>
                <w:i/>
                <w:rtl w:val="0"/>
              </w:rPr>
              <w:t>dsxM</w:t>
            </w:r>
            <w:r>
              <w:rPr>
                <w:rtl w:val="0"/>
              </w:rPr>
              <w:t>_R</w:t>
            </w:r>
          </w:p>
        </w:tc>
        <w:tc>
          <w:tcPr>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66">
            <w:pPr>
              <w:spacing w:line="273" w:lineRule="auto"/>
              <w:jc w:val="both"/>
            </w:pPr>
            <w:r>
              <w:rPr>
                <w:rtl w:val="0"/>
              </w:rPr>
              <w:t>X283-</w:t>
            </w:r>
            <w:r>
              <w:rPr>
                <w:shd w:val="clear" w:fill="F5F7FA"/>
                <w:rtl w:val="0"/>
              </w:rPr>
              <w:t>TCAGCGGATGGGGTGGATCACTACC</w:t>
            </w:r>
          </w:p>
        </w:tc>
      </w:tr>
      <w:tr w14:paraId="6DAA23C0">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67">
            <w:pPr>
              <w:spacing w:line="273" w:lineRule="auto"/>
              <w:jc w:val="both"/>
            </w:pPr>
            <w:r>
              <w:rPr>
                <w:i/>
                <w:rtl w:val="0"/>
              </w:rPr>
              <w:t>dsxM</w:t>
            </w:r>
            <w:r>
              <w:rPr>
                <w:rtl w:val="0"/>
              </w:rPr>
              <w:t>.rec_R</w:t>
            </w:r>
          </w:p>
        </w:tc>
        <w:tc>
          <w:tcPr>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68">
            <w:pPr>
              <w:spacing w:line="273" w:lineRule="auto"/>
              <w:jc w:val="both"/>
            </w:pPr>
            <w:r>
              <w:rPr>
                <w:rtl w:val="0"/>
              </w:rPr>
              <w:t>X298-</w:t>
            </w:r>
            <w:r>
              <w:rPr>
                <w:shd w:val="clear" w:fill="F5F7FA"/>
                <w:rtl w:val="0"/>
              </w:rPr>
              <w:t>GAGTGGATGTGGTGGGTCCGAACCGC</w:t>
            </w:r>
          </w:p>
        </w:tc>
      </w:tr>
      <w:tr w14:paraId="47C314C7">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69">
            <w:pPr>
              <w:spacing w:line="273" w:lineRule="auto"/>
              <w:jc w:val="both"/>
            </w:pPr>
            <w:r>
              <w:rPr>
                <w:i/>
                <w:rtl w:val="0"/>
              </w:rPr>
              <w:t>Actin5C-</w:t>
            </w:r>
            <w:r>
              <w:rPr>
                <w:rtl w:val="0"/>
              </w:rPr>
              <w:t>F</w:t>
            </w:r>
          </w:p>
        </w:tc>
        <w:tc>
          <w:tcPr>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6A">
            <w:pPr>
              <w:spacing w:line="273" w:lineRule="auto"/>
              <w:jc w:val="both"/>
            </w:pPr>
            <w:r>
              <w:rPr>
                <w:rtl w:val="0"/>
              </w:rPr>
              <w:t>GTCGACAATGGATCCGGTATGTGCAAG</w:t>
            </w:r>
          </w:p>
        </w:tc>
      </w:tr>
      <w:tr w14:paraId="76D36C3F">
        <w:trPr>
          <w:trHeight w:val="315" w:hRule="atLeast"/>
        </w:trPr>
        <w:tc>
          <w:tcPr>
            <w:tcBorders>
              <w:top w:val="nil"/>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6B">
            <w:pPr>
              <w:spacing w:line="273" w:lineRule="auto"/>
              <w:jc w:val="both"/>
              <w:rPr>
                <w:i/>
              </w:rPr>
            </w:pPr>
            <w:r>
              <w:rPr>
                <w:i/>
                <w:rtl w:val="0"/>
              </w:rPr>
              <w:t>Actin5C-</w:t>
            </w:r>
            <w:r>
              <w:rPr>
                <w:rtl w:val="0"/>
              </w:rPr>
              <w:t>R</w:t>
            </w:r>
          </w:p>
        </w:tc>
        <w:tc>
          <w:tcPr>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20" w:type="dxa"/>
              <w:right w:w="20" w:type="dxa"/>
            </w:tcMar>
          </w:tcPr>
          <w:p w14:paraId="0000006C">
            <w:pPr>
              <w:spacing w:line="273" w:lineRule="auto"/>
              <w:jc w:val="both"/>
            </w:pPr>
            <w:r>
              <w:rPr>
                <w:rtl w:val="0"/>
              </w:rPr>
              <w:t>GAAGCACTTTCGGTGGACGATGGAC</w:t>
            </w:r>
          </w:p>
        </w:tc>
      </w:tr>
    </w:tbl>
    <w:p w14:paraId="0000006D">
      <w:pPr>
        <w:rPr>
          <w:b/>
          <w:sz w:val="26"/>
          <w:szCs w:val="26"/>
        </w:rPr>
      </w:pPr>
      <w:r>
        <w:br w:type="page"/>
      </w:r>
    </w:p>
    <w:p w14:paraId="0000006E">
      <w:pPr>
        <w:jc w:val="both"/>
        <w:rPr>
          <w:b/>
        </w:rPr>
      </w:pPr>
      <w:r>
        <w:rPr>
          <w:b/>
          <w:rtl w:val="0"/>
        </w:rPr>
        <w:t>Supplementary Data</w:t>
      </w:r>
    </w:p>
    <w:p w14:paraId="0000006F">
      <w:pPr>
        <w:jc w:val="both"/>
        <w:rPr>
          <w:b/>
        </w:rPr>
      </w:pPr>
    </w:p>
    <w:p w14:paraId="00000070">
      <w:pPr>
        <w:jc w:val="both"/>
        <w:rPr>
          <w:b/>
        </w:rPr>
      </w:pPr>
      <w:r>
        <w:rPr>
          <w:b/>
          <w:rtl w:val="0"/>
        </w:rPr>
        <w:t>Supplementary Data 1- Microinjection and transgenesis data for the population suppression gene drive</w:t>
      </w:r>
    </w:p>
    <w:p w14:paraId="00000071">
      <w:pPr>
        <w:jc w:val="both"/>
        <w:rPr>
          <w:b/>
        </w:rPr>
      </w:pPr>
    </w:p>
    <w:p w14:paraId="00000072">
      <w:pPr>
        <w:jc w:val="both"/>
      </w:pPr>
      <w:r>
        <w:rPr>
          <w:rtl w:val="0"/>
        </w:rPr>
        <w:t>This table represents raw counting data based on the presence of the DsRed fluorescent marker, indicating successful transgenesis. All hatched G0 individuals were sexed and pooled by sex, then crossed with wild-type individuals of the opposite sex. Egg rafts from each pool were hatched collectively, and the resulting offspring were screened and counted in pooled batches.</w:t>
      </w:r>
    </w:p>
    <w:p w14:paraId="00000073">
      <w:pPr>
        <w:rPr>
          <w:sz w:val="26"/>
          <w:szCs w:val="26"/>
        </w:rPr>
      </w:pPr>
    </w:p>
    <w:p w14:paraId="00000074">
      <w:pPr>
        <w:rPr>
          <w:b/>
        </w:rPr>
      </w:pPr>
      <w:r>
        <w:rPr>
          <w:b/>
          <w:rtl w:val="0"/>
        </w:rPr>
        <w:t>Supplementary Data 2- Deep sequencing analysis</w:t>
      </w:r>
    </w:p>
    <w:p w14:paraId="00000075"/>
    <w:p w14:paraId="00000076">
      <w:pPr>
        <w:jc w:val="both"/>
      </w:pPr>
      <w:r>
        <w:rPr>
          <w:rtl w:val="0"/>
        </w:rPr>
        <w:t xml:space="preserve">Summary of the CRISPRessp2 batch analysis of allele editing frequencies based on deep sequencing data from categorized samples collected in GD experiments. The calculated allele editing frequencies are presented in </w:t>
      </w:r>
      <w:r>
        <w:rPr>
          <w:b/>
          <w:rtl w:val="0"/>
        </w:rPr>
        <w:t>Fig. 2C</w:t>
      </w:r>
      <w:r>
        <w:rPr>
          <w:rtl w:val="0"/>
        </w:rPr>
        <w:t xml:space="preserve"> and </w:t>
      </w:r>
      <w:r>
        <w:rPr>
          <w:b/>
          <w:rtl w:val="0"/>
        </w:rPr>
        <w:t>Supplementary Fig 1</w:t>
      </w:r>
      <w:r>
        <w:rPr>
          <w:rtl w:val="0"/>
        </w:rPr>
        <w:t>. The data are organized into the following file tabs:</w:t>
      </w:r>
    </w:p>
    <w:p w14:paraId="00000077"/>
    <w:p w14:paraId="00000078">
      <w:pPr>
        <w:numPr>
          <w:ilvl w:val="0"/>
          <w:numId w:val="1"/>
        </w:numPr>
        <w:ind w:left="720" w:hanging="360"/>
      </w:pPr>
      <w:r>
        <w:rPr>
          <w:rtl w:val="0"/>
        </w:rPr>
        <w:t xml:space="preserve">Allele type and frequency at </w:t>
      </w:r>
      <w:r>
        <w:rPr>
          <w:i/>
          <w:rtl w:val="0"/>
        </w:rPr>
        <w:t>dsx</w:t>
      </w:r>
      <w:r>
        <w:rPr>
          <w:rtl w:val="0"/>
        </w:rPr>
        <w:t>-gRNA-1 editing site</w:t>
      </w:r>
    </w:p>
    <w:p w14:paraId="00000079">
      <w:pPr>
        <w:numPr>
          <w:ilvl w:val="0"/>
          <w:numId w:val="1"/>
        </w:numPr>
        <w:ind w:left="720" w:hanging="360"/>
      </w:pPr>
      <w:r>
        <w:rPr>
          <w:rtl w:val="0"/>
        </w:rPr>
        <w:t xml:space="preserve">Allele type and frequency at </w:t>
      </w:r>
      <w:r>
        <w:rPr>
          <w:i/>
          <w:rtl w:val="0"/>
        </w:rPr>
        <w:t>dsx</w:t>
      </w:r>
      <w:r>
        <w:rPr>
          <w:rtl w:val="0"/>
        </w:rPr>
        <w:t>-gRNA-2 editing site</w:t>
      </w:r>
    </w:p>
    <w:p w14:paraId="0000007A">
      <w:pPr>
        <w:rPr>
          <w:sz w:val="26"/>
          <w:szCs w:val="26"/>
          <w:shd w:val="clear" w:fill="FFF2CC"/>
        </w:rPr>
      </w:pPr>
    </w:p>
    <w:p w14:paraId="0000007B">
      <w:pPr>
        <w:rPr>
          <w:b/>
        </w:rPr>
      </w:pPr>
      <w:r>
        <w:rPr>
          <w:b/>
          <w:rtl w:val="0"/>
        </w:rPr>
        <w:t>Supplementary Data 3- Suppression gene drive data</w:t>
      </w:r>
    </w:p>
    <w:p w14:paraId="0000007C">
      <w:pPr>
        <w:jc w:val="both"/>
        <w:rPr>
          <w:b/>
        </w:rPr>
      </w:pPr>
    </w:p>
    <w:p w14:paraId="0000007D">
      <w:pPr>
        <w:jc w:val="both"/>
      </w:pPr>
      <w:r>
        <w:rPr>
          <w:rtl w:val="0"/>
        </w:rPr>
        <w:t>This dataset contains raw counts of G2 progeny with phenotypic scoring for DsRed+ males, DsRed+ intersexes, non-fluorescent males, females and intersexes. Inheritance of the gene drive element was tracked using DsRed fluorescence. Two independent batches of gene drive experiments were conducted at different times, and the resulting data were pooled for analysis. Transgene inheritance rates were calculated for each single-pair cross with mean values and standard deviations summarized in the table. Data were analyzed using a “batch effect” approach in R, employing a generalized linear mixed model fitted by maximum likelihood to account for variance between cross batches. These results are presented in</w:t>
      </w:r>
      <w:r>
        <w:rPr>
          <w:b/>
          <w:rtl w:val="0"/>
        </w:rPr>
        <w:t xml:space="preserve"> Fig 2B</w:t>
      </w:r>
      <w:r>
        <w:rPr>
          <w:rtl w:val="0"/>
        </w:rPr>
        <w:t>.</w:t>
      </w:r>
    </w:p>
    <w:p w14:paraId="0000007E">
      <w:pPr>
        <w:rPr>
          <w:sz w:val="26"/>
          <w:szCs w:val="26"/>
        </w:rPr>
      </w:pPr>
    </w:p>
    <w:p w14:paraId="0000007F">
      <w:pPr>
        <w:rPr>
          <w:b/>
        </w:rPr>
      </w:pPr>
      <w:r>
        <w:rPr>
          <w:b/>
          <w:rtl w:val="0"/>
        </w:rPr>
        <w:t>Supplementary Data 4- Raw data on the fitness costs of gene drive and non-gene drive intersexes</w:t>
      </w:r>
    </w:p>
    <w:p w14:paraId="00000080">
      <w:pPr>
        <w:rPr>
          <w:b/>
        </w:rPr>
      </w:pPr>
    </w:p>
    <w:p w14:paraId="00000081">
      <w:r>
        <w:rPr>
          <w:rtl w:val="0"/>
        </w:rPr>
        <w:t>This dataset includes raw measurements of adult survival, female blood-feeding behavior, egg laying performance, and hatch rates per egg raft from various genetic crosses. The summarized results are shown in Fig. 4A-C. Each tab corresponds to a specific cross scheme as follows:</w:t>
      </w:r>
    </w:p>
    <w:p w14:paraId="00000082">
      <w:pPr>
        <w:rPr>
          <w:b/>
        </w:rPr>
      </w:pPr>
    </w:p>
    <w:p w14:paraId="00000083">
      <w:pPr>
        <w:numPr>
          <w:ilvl w:val="0"/>
          <w:numId w:val="2"/>
        </w:numPr>
        <w:ind w:left="720" w:hanging="360"/>
      </w:pPr>
      <w:r>
        <w:rPr>
          <w:b/>
          <w:rtl w:val="0"/>
        </w:rPr>
        <w:t>Control group</w:t>
      </w:r>
      <w:r>
        <w:rPr>
          <w:rtl w:val="0"/>
        </w:rPr>
        <w:t>- 10 wild-type males X 10 wild-type female</w:t>
      </w:r>
    </w:p>
    <w:p w14:paraId="00000084">
      <w:pPr>
        <w:numPr>
          <w:ilvl w:val="0"/>
          <w:numId w:val="2"/>
        </w:numPr>
        <w:ind w:left="720" w:hanging="360"/>
      </w:pPr>
      <w:r>
        <w:rPr>
          <w:b/>
          <w:rtl w:val="0"/>
        </w:rPr>
        <w:t>GD♂ × WT♀</w:t>
      </w:r>
      <w:r>
        <w:rPr>
          <w:rtl w:val="0"/>
        </w:rPr>
        <w:t>- 10 gene drive (GD) males X 10 wild-type females</w:t>
      </w:r>
    </w:p>
    <w:p w14:paraId="00000085">
      <w:pPr>
        <w:numPr>
          <w:ilvl w:val="0"/>
          <w:numId w:val="2"/>
        </w:numPr>
        <w:ind w:left="720" w:hanging="360"/>
      </w:pPr>
      <w:r>
        <w:rPr>
          <w:b/>
          <w:rtl w:val="0"/>
        </w:rPr>
        <w:t>GD intersexes × WT♂</w:t>
      </w:r>
      <w:r>
        <w:rPr>
          <w:rtl w:val="0"/>
        </w:rPr>
        <w:t>-10 GD intersexes X 10 wild-type males</w:t>
      </w:r>
    </w:p>
    <w:p w14:paraId="00000086">
      <w:pPr>
        <w:numPr>
          <w:ilvl w:val="0"/>
          <w:numId w:val="2"/>
        </w:numPr>
        <w:ind w:left="720" w:hanging="360"/>
      </w:pPr>
      <w:r>
        <w:rPr>
          <w:b/>
          <w:rtl w:val="0"/>
        </w:rPr>
        <w:t>Non-GD intersexes × WT♂</w:t>
      </w:r>
      <w:r>
        <w:rPr>
          <w:rtl w:val="0"/>
        </w:rPr>
        <w:t>- 10 non-GD intersexes X 10 wild-type males (two biological replicates).</w:t>
      </w:r>
    </w:p>
    <w:p w14:paraId="00000087">
      <w:pPr>
        <w:numPr>
          <w:ilvl w:val="0"/>
          <w:numId w:val="2"/>
        </w:numPr>
        <w:ind w:left="720" w:hanging="360"/>
      </w:pPr>
      <w:r>
        <w:rPr>
          <w:rtl w:val="0"/>
        </w:rPr>
        <w:t>Statistical analysis details</w:t>
      </w:r>
    </w:p>
    <w:p w14:paraId="00000088">
      <w:pPr>
        <w:rPr>
          <w:sz w:val="26"/>
          <w:szCs w:val="26"/>
        </w:rPr>
      </w:pPr>
    </w:p>
    <w:p w14:paraId="00000089">
      <w:pPr>
        <w:rPr>
          <w:b/>
        </w:rPr>
      </w:pPr>
      <w:r>
        <w:rPr>
          <w:b/>
          <w:rtl w:val="0"/>
        </w:rPr>
        <w:t>Supplementary Data 5-Mating competition between gene drive (GD) males and wild-type males</w:t>
      </w:r>
    </w:p>
    <w:p w14:paraId="0000008A">
      <w:pPr>
        <w:rPr>
          <w:b/>
        </w:rPr>
      </w:pPr>
    </w:p>
    <w:p w14:paraId="0000008B">
      <w:pPr>
        <w:jc w:val="both"/>
      </w:pPr>
      <w:r>
        <w:rPr>
          <w:rtl w:val="0"/>
        </w:rPr>
        <w:t>This table presents the results of mating competition assays between GD and wild-type males. Ten newly emerged GD males and 10 wild-type males w</w:t>
      </w:r>
      <w:bookmarkStart w:id="0" w:name="_GoBack"/>
      <w:bookmarkEnd w:id="0"/>
      <w:r>
        <w:rPr>
          <w:rtl w:val="0"/>
        </w:rPr>
        <w:t>ere pooled together with 10 virgin wild-type females. After 3 days of cohabitation, females were blood fed, and oviposition was induced 3 days post-feeding. Egg rafts were collected and hatched individually. Fourth instar larvae were screened under a fluorescence microscope, and the presence of DsRed+ marker was recorded to evaluate successful mating.</w:t>
      </w:r>
      <w:r>
        <w:br w:type="page"/>
      </w:r>
    </w:p>
    <w:p w14:paraId="0000008C">
      <w:pPr>
        <w:jc w:val="both"/>
        <w:rPr>
          <w:b/>
        </w:rPr>
      </w:pPr>
      <w:r>
        <w:rPr>
          <w:b/>
          <w:rtl w:val="0"/>
        </w:rPr>
        <w:t xml:space="preserve">Supplementary method </w:t>
      </w:r>
    </w:p>
    <w:p w14:paraId="0000008D"/>
    <w:p w14:paraId="0000008E">
      <w:pPr>
        <w:spacing w:after="220" w:line="273" w:lineRule="auto"/>
        <w:jc w:val="both"/>
        <w:rPr>
          <w:b/>
        </w:rPr>
      </w:pPr>
      <w:r>
        <w:rPr>
          <w:b/>
          <w:rtl w:val="0"/>
        </w:rPr>
        <w:t>Cloning details for the plasmid constructs</w:t>
      </w:r>
    </w:p>
    <w:p w14:paraId="0000008F">
      <w:pPr>
        <w:spacing w:after="220" w:line="273" w:lineRule="auto"/>
        <w:jc w:val="both"/>
        <w:rPr>
          <w:b/>
        </w:rPr>
      </w:pPr>
      <w:r>
        <w:rPr>
          <w:b/>
          <w:rtl w:val="0"/>
        </w:rPr>
        <w:t>P69</w:t>
      </w:r>
      <w:r>
        <w:rPr>
          <w:rtl w:val="0"/>
        </w:rPr>
        <w:t>_</w:t>
      </w:r>
      <w:r>
        <w:rPr>
          <w:b/>
          <w:i/>
          <w:rtl w:val="0"/>
        </w:rPr>
        <w:t xml:space="preserve">Culex.q </w:t>
      </w:r>
      <w:r>
        <w:rPr>
          <w:b/>
          <w:rtl w:val="0"/>
        </w:rPr>
        <w:t>population suppression gene drive (GD) construct</w:t>
      </w:r>
    </w:p>
    <w:p w14:paraId="00000090">
      <w:pPr>
        <w:spacing w:after="220" w:line="273" w:lineRule="auto"/>
        <w:jc w:val="both"/>
      </w:pPr>
      <w:r>
        <w:rPr>
          <w:rtl w:val="0"/>
        </w:rPr>
        <w:t xml:space="preserve">The homology arms were amplified from </w:t>
      </w:r>
      <w:r>
        <w:rPr>
          <w:i/>
          <w:rtl w:val="0"/>
        </w:rPr>
        <w:t>Culex quinquefasciatus doublesex</w:t>
      </w:r>
      <w:r>
        <w:rPr>
          <w:rtl w:val="0"/>
        </w:rPr>
        <w:t xml:space="preserve"> gene using genomic DNA and cloned into a TOPO vector to serve as the backbone for the GD construct. The recoded </w:t>
      </w:r>
      <w:r>
        <w:rPr>
          <w:i/>
          <w:rtl w:val="0"/>
        </w:rPr>
        <w:t>dsxM</w:t>
      </w:r>
      <w:r>
        <w:rPr>
          <w:rtl w:val="0"/>
        </w:rPr>
        <w:t xml:space="preserve"> fragment was synthesized by GenScript, incorporating an </w:t>
      </w:r>
      <w:r>
        <w:rPr>
          <w:i/>
          <w:rtl w:val="0"/>
        </w:rPr>
        <w:t>Anopheles gambiae</w:t>
      </w:r>
      <w:r>
        <w:rPr>
          <w:rtl w:val="0"/>
        </w:rPr>
        <w:t xml:space="preserve"> </w:t>
      </w:r>
      <w:r>
        <w:rPr>
          <w:i/>
          <w:rtl w:val="0"/>
        </w:rPr>
        <w:t>Kh</w:t>
      </w:r>
      <w:r>
        <w:rPr>
          <w:rtl w:val="0"/>
        </w:rPr>
        <w:t xml:space="preserve"> 3’UTR. The </w:t>
      </w:r>
      <w:r>
        <w:rPr>
          <w:i/>
          <w:rtl w:val="0"/>
        </w:rPr>
        <w:t>nanos</w:t>
      </w:r>
      <w:r>
        <w:rPr>
          <w:rtl w:val="0"/>
        </w:rPr>
        <w:t xml:space="preserve">-Cas9 fragment was amplified from the plasmid pVMG0212 (Addgene #169348). The </w:t>
      </w:r>
      <w:r>
        <w:rPr>
          <w:i/>
          <w:rtl w:val="0"/>
        </w:rPr>
        <w:t>U6:1</w:t>
      </w:r>
      <w:r>
        <w:rPr>
          <w:rtl w:val="0"/>
        </w:rPr>
        <w:t>_</w:t>
      </w:r>
      <w:r>
        <w:rPr>
          <w:i/>
          <w:rtl w:val="0"/>
        </w:rPr>
        <w:t>dsx</w:t>
      </w:r>
      <w:r>
        <w:rPr>
          <w:rtl w:val="0"/>
        </w:rPr>
        <w:t>-gRNA-1 fragment was amplified from the Cq_</w:t>
      </w:r>
      <w:r>
        <w:rPr>
          <w:i/>
          <w:rtl w:val="0"/>
        </w:rPr>
        <w:t>U6:1</w:t>
      </w:r>
      <w:r>
        <w:rPr>
          <w:rtl w:val="0"/>
        </w:rPr>
        <w:t>_</w:t>
      </w:r>
      <w:r>
        <w:rPr>
          <w:i/>
          <w:rtl w:val="0"/>
        </w:rPr>
        <w:t>dsx</w:t>
      </w:r>
      <w:r>
        <w:rPr>
          <w:rFonts w:ascii="Arial" w:hAnsi="Arial" w:eastAsia="Arial" w:cs="Arial"/>
          <w:rtl w:val="0"/>
        </w:rPr>
        <w:t>-gRNA-1-LOOP plasmid modified from pVMG0302</w:t>
      </w:r>
      <w:r>
        <w:rPr>
          <w:rtl w:val="0"/>
        </w:rPr>
        <w:t xml:space="preserve"> (</w:t>
      </w:r>
      <w:r>
        <w:rPr>
          <w:rFonts w:ascii="Arial" w:hAnsi="Arial" w:eastAsia="Arial" w:cs="Arial"/>
          <w:rtl w:val="0"/>
        </w:rPr>
        <w:t xml:space="preserve">Addgene #169369). The </w:t>
      </w:r>
      <w:r>
        <w:rPr>
          <w:i/>
          <w:rtl w:val="0"/>
        </w:rPr>
        <w:t>U6:6</w:t>
      </w:r>
      <w:r>
        <w:rPr>
          <w:rtl w:val="0"/>
        </w:rPr>
        <w:t>_</w:t>
      </w:r>
      <w:r>
        <w:rPr>
          <w:i/>
          <w:rtl w:val="0"/>
        </w:rPr>
        <w:t>dsx</w:t>
      </w:r>
      <w:r>
        <w:rPr>
          <w:rtl w:val="0"/>
        </w:rPr>
        <w:t xml:space="preserve">-gRNA-2 fragment was amplified from the </w:t>
      </w:r>
      <w:r>
        <w:rPr>
          <w:i/>
          <w:rtl w:val="0"/>
        </w:rPr>
        <w:t>Cq</w:t>
      </w:r>
      <w:r>
        <w:rPr>
          <w:rtl w:val="0"/>
        </w:rPr>
        <w:t>_</w:t>
      </w:r>
      <w:r>
        <w:rPr>
          <w:i/>
          <w:rtl w:val="0"/>
        </w:rPr>
        <w:t>U6:6</w:t>
      </w:r>
      <w:r>
        <w:rPr>
          <w:rtl w:val="0"/>
        </w:rPr>
        <w:t>_</w:t>
      </w:r>
      <w:r>
        <w:rPr>
          <w:i/>
          <w:rtl w:val="0"/>
        </w:rPr>
        <w:t>dsx</w:t>
      </w:r>
      <w:r>
        <w:rPr>
          <w:rFonts w:ascii="Arial" w:hAnsi="Arial" w:eastAsia="Arial" w:cs="Arial"/>
          <w:rtl w:val="0"/>
        </w:rPr>
        <w:t>-gRNA-2-LOOP plasmid modified from pVMG0303</w:t>
      </w:r>
      <w:r>
        <w:rPr>
          <w:rtl w:val="0"/>
        </w:rPr>
        <w:t xml:space="preserve"> (</w:t>
      </w:r>
      <w:r>
        <w:rPr>
          <w:rFonts w:ascii="Arial" w:hAnsi="Arial" w:eastAsia="Arial" w:cs="Arial"/>
          <w:rtl w:val="0"/>
        </w:rPr>
        <w:t xml:space="preserve">Addgene #169370). The </w:t>
      </w:r>
      <w:r>
        <w:rPr>
          <w:i/>
          <w:rtl w:val="0"/>
        </w:rPr>
        <w:t>Opie2</w:t>
      </w:r>
      <w:r>
        <w:rPr>
          <w:rtl w:val="0"/>
        </w:rPr>
        <w:t xml:space="preserve">-DsRed-SV40_3’UTR fragment was amplified from pVMG0252 (NCBI accession # MW925705) and assembled with other components using Gibson Assembly. All primers used in this construct are listed in Supplementary Table 1. </w:t>
      </w:r>
    </w:p>
    <w:p w14:paraId="00000091">
      <w:pPr>
        <w:spacing w:after="220" w:line="273" w:lineRule="auto"/>
        <w:jc w:val="both"/>
        <w:rPr>
          <w:b/>
        </w:rPr>
      </w:pPr>
      <w:r>
        <w:rPr>
          <w:b/>
          <w:rtl w:val="0"/>
        </w:rPr>
        <w:t>Plasmid sequences and availability:</w:t>
      </w:r>
    </w:p>
    <w:p w14:paraId="00000092">
      <w:pPr>
        <w:spacing w:line="273" w:lineRule="auto"/>
        <w:jc w:val="both"/>
        <w:rPr>
          <w:shd w:val="clear" w:fill="FFF2CC"/>
        </w:rPr>
      </w:pPr>
      <w:r>
        <w:rPr>
          <w:rtl w:val="0"/>
        </w:rPr>
        <w:t xml:space="preserve">The plasmid sequence of the </w:t>
      </w:r>
      <w:r>
        <w:rPr>
          <w:i/>
          <w:rtl w:val="0"/>
        </w:rPr>
        <w:t>Culex quinquefasciatus</w:t>
      </w:r>
      <w:r>
        <w:rPr>
          <w:rtl w:val="0"/>
        </w:rPr>
        <w:t xml:space="preserve"> population suppression gene drive (GD) construct generated in this study has been deposited in the GenBank database with accession number </w:t>
      </w:r>
      <w:r>
        <w:rPr>
          <w:highlight w:val="white"/>
          <w:rtl w:val="0"/>
        </w:rPr>
        <w:t>PV864762</w:t>
      </w:r>
      <w:r>
        <w:rPr>
          <w:rtl w:val="0"/>
        </w:rPr>
        <w:t>.</w:t>
      </w:r>
    </w:p>
    <w:p w14:paraId="00000093">
      <w:pPr>
        <w:rPr>
          <w:sz w:val="26"/>
          <w:szCs w:val="26"/>
        </w:rPr>
      </w:pPr>
    </w:p>
    <w:p w14:paraId="00000094">
      <w:pPr>
        <w:rPr>
          <w:sz w:val="26"/>
          <w:szCs w:val="26"/>
        </w:rPr>
      </w:pPr>
    </w:p>
    <w:sectPr>
      <w:pgSz w:w="12240" w:h="15840"/>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黑体">
    <w:altName w:val="汉仪中黑KW"/>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rial">
    <w:panose1 w:val="020B0704020202020204"/>
    <w:charset w:val="86"/>
    <w:family w:val="swiss"/>
    <w:pitch w:val="default"/>
    <w:sig w:usb0="E0002AFF" w:usb1="C0007843" w:usb2="00000009" w:usb3="00000000" w:csb0="400001FF" w:csb1="FFFF0000"/>
  </w:font>
  <w:font w:name="Segoe UI">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BF02D3"/>
    <w:multiLevelType w:val="multilevel"/>
    <w:tmpl w:val="F9BF02D3"/>
    <w:lvl w:ilvl="0" w:tentative="0">
      <w:start w:val="1"/>
      <w:numFmt w:val="decimal"/>
      <w:lvlText w:val="%1."/>
      <w:lvlJc w:val="left"/>
      <w:pPr>
        <w:ind w:left="720" w:hanging="360"/>
      </w:pPr>
      <w:rPr>
        <w:rFonts w:ascii="Arial" w:hAnsi="Arial" w:eastAsia="Arial" w:cs="Arial"/>
        <w:b/>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
    <w:nsid w:val="727F49CE"/>
    <w:multiLevelType w:val="multilevel"/>
    <w:tmpl w:val="727F49C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85"/>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3FDF267A"/>
    <w:rsid w:val="7BF74429"/>
    <w:rsid w:val="AFAFEDC3"/>
    <w:rsid w:val="FF7E68BE"/>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276" w:lineRule="auto"/>
    </w:pPr>
    <w:rPr>
      <w:rFonts w:ascii="Arial" w:hAnsi="Arial" w:eastAsia="Arial" w:cs="Arial"/>
      <w:sz w:val="22"/>
      <w:szCs w:val="22"/>
      <w:lang w:val="en"/>
    </w:rPr>
  </w:style>
  <w:style w:type="paragraph" w:styleId="2">
    <w:name w:val="heading 1"/>
    <w:basedOn w:val="1"/>
    <w:next w:val="1"/>
    <w:uiPriority w:val="0"/>
    <w:pPr>
      <w:keepNext/>
      <w:keepLines/>
      <w:spacing w:before="400" w:after="120"/>
    </w:pPr>
    <w:rPr>
      <w:sz w:val="40"/>
      <w:szCs w:val="40"/>
    </w:rPr>
  </w:style>
  <w:style w:type="paragraph" w:styleId="3">
    <w:name w:val="heading 2"/>
    <w:basedOn w:val="1"/>
    <w:next w:val="1"/>
    <w:uiPriority w:val="0"/>
    <w:pPr>
      <w:keepNext/>
      <w:keepLines/>
      <w:spacing w:before="360" w:after="120"/>
    </w:pPr>
    <w:rPr>
      <w:sz w:val="32"/>
      <w:szCs w:val="32"/>
    </w:rPr>
  </w:style>
  <w:style w:type="paragraph" w:styleId="4">
    <w:name w:val="heading 3"/>
    <w:basedOn w:val="1"/>
    <w:next w:val="1"/>
    <w:uiPriority w:val="0"/>
    <w:pPr>
      <w:keepNext/>
      <w:keepLines/>
      <w:spacing w:before="320" w:after="80"/>
    </w:pPr>
    <w:rPr>
      <w:color w:val="434343"/>
      <w:sz w:val="28"/>
      <w:szCs w:val="28"/>
    </w:rPr>
  </w:style>
  <w:style w:type="paragraph" w:styleId="5">
    <w:name w:val="heading 4"/>
    <w:basedOn w:val="1"/>
    <w:next w:val="1"/>
    <w:uiPriority w:val="0"/>
    <w:pPr>
      <w:keepNext/>
      <w:keepLines/>
      <w:spacing w:before="280" w:after="80"/>
    </w:pPr>
    <w:rPr>
      <w:color w:val="666666"/>
      <w:sz w:val="24"/>
      <w:szCs w:val="24"/>
    </w:rPr>
  </w:style>
  <w:style w:type="paragraph" w:styleId="6">
    <w:name w:val="heading 5"/>
    <w:basedOn w:val="1"/>
    <w:next w:val="1"/>
    <w:uiPriority w:val="0"/>
    <w:pPr>
      <w:keepNext/>
      <w:keepLines/>
      <w:spacing w:before="240" w:after="80"/>
    </w:pPr>
    <w:rPr>
      <w:color w:val="666666"/>
    </w:rPr>
  </w:style>
  <w:style w:type="paragraph" w:styleId="7">
    <w:name w:val="heading 6"/>
    <w:basedOn w:val="1"/>
    <w:next w:val="1"/>
    <w:uiPriority w:val="0"/>
    <w:pPr>
      <w:keepNext/>
      <w:keepLines/>
      <w:spacing w:before="240" w:after="80"/>
    </w:pPr>
    <w:rPr>
      <w:i/>
      <w:color w:val="666666"/>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link w:val="19"/>
    <w:uiPriority w:val="0"/>
    <w:pPr>
      <w:spacing w:line="240" w:lineRule="auto"/>
    </w:pPr>
    <w:rPr>
      <w:rFonts w:ascii="Segoe UI" w:hAnsi="Segoe UI" w:eastAsia="Arial" w:cs="Segoe UI"/>
      <w:sz w:val="18"/>
      <w:szCs w:val="18"/>
      <w:lang w:val="en"/>
    </w:rPr>
  </w:style>
  <w:style w:type="character" w:styleId="11">
    <w:name w:val="annotation reference"/>
    <w:basedOn w:val="8"/>
    <w:uiPriority w:val="0"/>
    <w:rPr>
      <w:sz w:val="16"/>
      <w:szCs w:val="16"/>
    </w:rPr>
  </w:style>
  <w:style w:type="paragraph" w:styleId="12">
    <w:name w:val="annotation text"/>
    <w:link w:val="18"/>
    <w:uiPriority w:val="0"/>
    <w:pPr>
      <w:spacing w:line="240" w:lineRule="auto"/>
    </w:pPr>
    <w:rPr>
      <w:rFonts w:ascii="Arial" w:hAnsi="Arial" w:eastAsia="Arial" w:cs="Arial"/>
      <w:sz w:val="20"/>
      <w:szCs w:val="20"/>
      <w:lang w:val="en"/>
    </w:rPr>
  </w:style>
  <w:style w:type="paragraph" w:styleId="13">
    <w:name w:val="annotation subject"/>
    <w:basedOn w:val="12"/>
    <w:next w:val="12"/>
    <w:link w:val="20"/>
    <w:uiPriority w:val="0"/>
    <w:rPr>
      <w:b/>
      <w:bCs/>
    </w:rPr>
  </w:style>
  <w:style w:type="paragraph" w:styleId="14">
    <w:name w:val="Subtitle"/>
    <w:basedOn w:val="1"/>
    <w:next w:val="1"/>
    <w:uiPriority w:val="0"/>
    <w:pPr>
      <w:keepNext/>
      <w:keepLines/>
      <w:spacing w:after="320"/>
    </w:pPr>
    <w:rPr>
      <w:color w:val="666666"/>
      <w:sz w:val="30"/>
      <w:szCs w:val="30"/>
    </w:rPr>
  </w:style>
  <w:style w:type="paragraph" w:styleId="15">
    <w:name w:val="Title"/>
    <w:basedOn w:val="1"/>
    <w:next w:val="1"/>
    <w:uiPriority w:val="0"/>
    <w:pPr>
      <w:keepNext/>
      <w:keepLines/>
      <w:spacing w:after="60"/>
    </w:pPr>
    <w:rPr>
      <w:sz w:val="52"/>
      <w:szCs w:val="52"/>
    </w:rPr>
  </w:style>
  <w:style w:type="table" w:customStyle="1" w:styleId="16">
    <w:name w:val="TableNormal"/>
    <w:uiPriority w:val="0"/>
    <w:tblPr>
      <w:tblCellMar>
        <w:top w:w="0" w:type="dxa"/>
        <w:left w:w="0" w:type="dxa"/>
        <w:bottom w:w="0" w:type="dxa"/>
        <w:right w:w="0" w:type="dxa"/>
      </w:tblCellMar>
    </w:tblPr>
  </w:style>
  <w:style w:type="table" w:customStyle="1" w:styleId="17">
    <w:name w:val="_Style 10"/>
    <w:basedOn w:val="16"/>
    <w:uiPriority w:val="0"/>
    <w:tblPr>
      <w:tblCellMar>
        <w:top w:w="100" w:type="dxa"/>
        <w:left w:w="100" w:type="dxa"/>
        <w:bottom w:w="100" w:type="dxa"/>
        <w:right w:w="100" w:type="dxa"/>
      </w:tblCellMar>
    </w:tblPr>
  </w:style>
  <w:style w:type="character" w:customStyle="1" w:styleId="18">
    <w:name w:val="Comment Text Char"/>
    <w:basedOn w:val="8"/>
    <w:link w:val="12"/>
    <w:uiPriority w:val="0"/>
    <w:rPr>
      <w:lang w:val="en"/>
    </w:rPr>
  </w:style>
  <w:style w:type="character" w:customStyle="1" w:styleId="19">
    <w:name w:val="Balloon Text Char"/>
    <w:basedOn w:val="8"/>
    <w:link w:val="10"/>
    <w:uiPriority w:val="0"/>
    <w:rPr>
      <w:rFonts w:ascii="Segoe UI" w:hAnsi="Segoe UI" w:cs="Segoe UI"/>
      <w:sz w:val="18"/>
      <w:szCs w:val="18"/>
      <w:lang w:val="en"/>
    </w:rPr>
  </w:style>
  <w:style w:type="character" w:customStyle="1" w:styleId="20">
    <w:name w:val="Comment Subject Char"/>
    <w:basedOn w:val="18"/>
    <w:link w:val="13"/>
    <w:uiPriority w:val="0"/>
    <w:rPr>
      <w:rFonts w:eastAsia="Arial"/>
      <w:b/>
      <w:bCs/>
      <w:lang w:val="en"/>
    </w:rPr>
  </w:style>
  <w:style w:type="table" w:customStyle="1" w:styleId="21">
    <w:name w:val="_Style 22"/>
    <w:basedOn w:val="16"/>
    <w:uiPriority w:val="0"/>
    <w:tblPr>
      <w:tblCellMar>
        <w:top w:w="100" w:type="dxa"/>
        <w:left w:w="100" w:type="dxa"/>
        <w:bottom w:w="100" w:type="dxa"/>
        <w:right w:w="100" w:type="dxa"/>
      </w:tblCellMar>
    </w:tblPr>
  </w:style>
  <w:style w:type="table" w:customStyle="1" w:styleId="22">
    <w:name w:val="_Style 24"/>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jKeCRFz0EKdn8ZzrE0t5dBudBXkw==">CgMxLjA4AGpICjVzdWdnZXN0SWRJbXBvcnRmNDViYzUyOC00NTBmLTQ5ZWUtOTk4NC0yZDc2NTEyYTkxYWFfMRIPSmFja3NvbiBDaGFtcGVyciExR1RmcHluUVRsMTlkOC1mQmdYY3J6UVh0MFdjaUNGWXA=</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9</Pages>
  <TotalTime>0</TotalTime>
  <ScaleCrop>false</ScaleCrop>
  <LinksUpToDate>false</LinksUpToDate>
  <Application>WPS Office_7.2.2.8955_F1E327BC-269C-435d-A152-05C5408002CA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2025-07-01T11:59:00Z</dcterms:created>
  <dc:creator>Data</dc:creator>
  <cp:lastModifiedBy>冯雪春</cp:lastModifiedBy>
  <dcterms:modified xsi:type="dcterms:W3CDTF">2025-07-14T16:00:01Z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1033-7.2.2.8955</vt:lpwstr>
  </property>
  <property fmtid="{D5CDD505-2E9C-101B-9397-08002B2CF9AE}" pid="3" name="ICV">
    <vt:lpwstr>50DF9D469D5B4554072B616839D6B642_42</vt:lpwstr>
  </property>
</Properties>
</file>