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5971" w14:textId="77777777" w:rsidR="00F1319B" w:rsidRDefault="00F1319B" w:rsidP="00F1319B">
      <w:pPr>
        <w:spacing w:line="276" w:lineRule="auto"/>
        <w:rPr>
          <w:rFonts w:cs="Tahoma"/>
          <w:b/>
        </w:rPr>
      </w:pPr>
      <w:r>
        <w:rPr>
          <w:rFonts w:cs="Tahoma"/>
          <w:b/>
        </w:rPr>
        <w:t>Table 1:  PICOS framework</w:t>
      </w:r>
    </w:p>
    <w:tbl>
      <w:tblPr>
        <w:tblW w:w="9669" w:type="dxa"/>
        <w:tblInd w:w="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398"/>
      </w:tblGrid>
      <w:tr w:rsidR="00F1319B" w14:paraId="41A10E2E" w14:textId="77777777" w:rsidTr="00954B1C">
        <w:trPr>
          <w:trHeight w:val="460"/>
        </w:trPr>
        <w:tc>
          <w:tcPr>
            <w:tcW w:w="9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F3C8" w14:textId="09C8A2AC" w:rsidR="00F1319B" w:rsidRDefault="00F1319B" w:rsidP="00954B1C">
            <w:pPr>
              <w:spacing w:after="0" w:line="480" w:lineRule="auto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Review Question: What are the published</w:t>
            </w:r>
            <w:r w:rsidRPr="3B9A2EE6">
              <w:rPr>
                <w:sz w:val="18"/>
                <w:szCs w:val="18"/>
              </w:rPr>
              <w:t xml:space="preserve"> randomised controlled </w:t>
            </w:r>
            <w:r w:rsidR="00802DC6" w:rsidRPr="3B9A2EE6">
              <w:rPr>
                <w:sz w:val="18"/>
                <w:szCs w:val="18"/>
              </w:rPr>
              <w:t xml:space="preserve">trials </w:t>
            </w:r>
            <w:r w:rsidR="00802DC6">
              <w:rPr>
                <w:kern w:val="0"/>
                <w:sz w:val="18"/>
                <w:szCs w:val="18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systemic treatments for advanced and metastatic gastric cancer</w:t>
            </w:r>
            <w:r>
              <w:rPr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in the second- or later-line setting?</w:t>
            </w:r>
          </w:p>
        </w:tc>
      </w:tr>
      <w:tr w:rsidR="00F1319B" w14:paraId="7FE7A476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E256" w14:textId="77777777" w:rsidR="00F1319B" w:rsidRDefault="00F1319B" w:rsidP="00954B1C">
            <w:pPr>
              <w:spacing w:after="0" w:line="480" w:lineRule="auto"/>
            </w:pPr>
            <w:r>
              <w:rPr>
                <w:rFonts w:cs="Tahoma"/>
                <w:kern w:val="0"/>
                <w:sz w:val="18"/>
                <w:szCs w:val="18"/>
              </w:rPr>
              <w:t>Population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DF19" w14:textId="77777777" w:rsidR="00F1319B" w:rsidRDefault="00F1319B" w:rsidP="00954B1C">
            <w:pPr>
              <w:spacing w:after="0" w:line="480" w:lineRule="auto"/>
            </w:pPr>
            <w:r>
              <w:rPr>
                <w:iCs/>
                <w:color w:val="000000"/>
                <w:kern w:val="0"/>
                <w:sz w:val="18"/>
                <w:szCs w:val="18"/>
              </w:rPr>
              <w:t>Individuals with a diagnosis</w:t>
            </w:r>
            <w:r>
              <w:rPr>
                <w:iCs/>
                <w:kern w:val="0"/>
                <w:sz w:val="18"/>
                <w:szCs w:val="18"/>
              </w:rPr>
              <w:t xml:space="preserve"> of advanced or metastatic gastric cancer</w:t>
            </w:r>
            <w:r>
              <w:rPr>
                <w:kern w:val="0"/>
                <w:sz w:val="18"/>
                <w:szCs w:val="18"/>
              </w:rPr>
              <w:t xml:space="preserve"> in the second- or later-line setting.</w:t>
            </w:r>
          </w:p>
        </w:tc>
      </w:tr>
      <w:tr w:rsidR="00F1319B" w14:paraId="7113A73D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2FA9" w14:textId="77777777" w:rsidR="00F1319B" w:rsidRDefault="00F1319B" w:rsidP="00954B1C">
            <w:pPr>
              <w:spacing w:after="0" w:line="480" w:lineRule="auto"/>
              <w:rPr>
                <w:iCs/>
                <w:kern w:val="0"/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</w:rPr>
              <w:t>Intervention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5CB5" w14:textId="77777777" w:rsidR="00F1319B" w:rsidRDefault="00F1319B" w:rsidP="00954B1C">
            <w:pPr>
              <w:spacing w:after="0" w:line="480" w:lineRule="auto"/>
              <w:rPr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</w:rPr>
              <w:t xml:space="preserve">All systemic treatments approved by both </w:t>
            </w:r>
            <w:r w:rsidRPr="0078722C">
              <w:rPr>
                <w:iCs/>
                <w:kern w:val="0"/>
                <w:sz w:val="18"/>
                <w:szCs w:val="18"/>
              </w:rPr>
              <w:t>ESMO (</w:t>
            </w:r>
            <w:proofErr w:type="spellStart"/>
            <w:r w:rsidRPr="0078722C">
              <w:rPr>
                <w:iCs/>
                <w:kern w:val="0"/>
                <w:sz w:val="18"/>
                <w:szCs w:val="18"/>
              </w:rPr>
              <w:t>Lordick</w:t>
            </w:r>
            <w:proofErr w:type="spellEnd"/>
            <w:r w:rsidRPr="0078722C">
              <w:rPr>
                <w:iCs/>
                <w:kern w:val="0"/>
                <w:sz w:val="18"/>
                <w:szCs w:val="18"/>
              </w:rPr>
              <w:t xml:space="preserve"> et al., 2022) and NCCN </w:t>
            </w:r>
            <w:r w:rsidRPr="14663A94">
              <w:rPr>
                <w:kern w:val="0"/>
                <w:sz w:val="18"/>
                <w:szCs w:val="18"/>
              </w:rPr>
              <w:t>Guidelines</w:t>
            </w:r>
            <w:r w:rsidRPr="0078722C">
              <w:rPr>
                <w:iCs/>
                <w:kern w:val="0"/>
                <w:sz w:val="18"/>
                <w:szCs w:val="18"/>
              </w:rPr>
              <w:t xml:space="preserve"> (Ajani et al., </w:t>
            </w:r>
            <w:r w:rsidRPr="3B9A2EE6">
              <w:rPr>
                <w:kern w:val="0"/>
                <w:sz w:val="18"/>
                <w:szCs w:val="18"/>
              </w:rPr>
              <w:t xml:space="preserve">2022) and that are also aligned with Expert Clinical opinion. </w:t>
            </w:r>
          </w:p>
          <w:p w14:paraId="53035E66" w14:textId="77777777" w:rsidR="00F1319B" w:rsidRDefault="00F1319B" w:rsidP="00954B1C">
            <w:pPr>
              <w:spacing w:after="0" w:line="480" w:lineRule="auto"/>
              <w:rPr>
                <w:iCs/>
                <w:kern w:val="0"/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</w:rPr>
              <w:t>Studies evaluating at least one of the following treatments:</w:t>
            </w:r>
          </w:p>
          <w:p w14:paraId="4349564E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Paclitaxel</w:t>
            </w:r>
          </w:p>
          <w:p w14:paraId="6F80D3B6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Docetaxel</w:t>
            </w:r>
          </w:p>
          <w:p w14:paraId="3C46E41B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Irinotecan</w:t>
            </w:r>
          </w:p>
          <w:p w14:paraId="06A9A45F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FOLFIRI</w:t>
            </w:r>
          </w:p>
          <w:p w14:paraId="35138BB5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Ramucirumab</w:t>
            </w:r>
          </w:p>
          <w:p w14:paraId="49E36543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Ramucirumab + Paclitaxel</w:t>
            </w:r>
          </w:p>
          <w:p w14:paraId="33B09242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bookmarkStart w:id="0" w:name="_Hlk169862358"/>
            <w:r>
              <w:rPr>
                <w:rFonts w:ascii="Times New Roman" w:hAnsi="Times New Roman"/>
                <w:iCs/>
                <w:sz w:val="18"/>
                <w:szCs w:val="18"/>
              </w:rPr>
              <w:t>Pembrolizumab</w:t>
            </w:r>
          </w:p>
          <w:p w14:paraId="17E7BC6E" w14:textId="77777777" w:rsidR="00F1319B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Trastuzumab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</w:rPr>
              <w:t>deruxtecan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(for HER2 overexpression-positive adenocarcinoma)</w:t>
            </w:r>
          </w:p>
          <w:p w14:paraId="30348242" w14:textId="77777777" w:rsidR="00F1319B" w:rsidRPr="009C422D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</w:rPr>
              <w:t>Dostarlimab</w:t>
            </w:r>
            <w:r w:rsidRPr="009C422D">
              <w:rPr>
                <w:rFonts w:ascii="Times New Roman" w:hAnsi="Times New Roman"/>
                <w:iCs/>
                <w:sz w:val="18"/>
                <w:szCs w:val="18"/>
              </w:rPr>
              <w:t>Entrectinib</w:t>
            </w:r>
            <w:proofErr w:type="spellEnd"/>
          </w:p>
          <w:p w14:paraId="6975DD97" w14:textId="77777777" w:rsidR="00F1319B" w:rsidRPr="003C067A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 w:rsidRPr="003C067A">
              <w:rPr>
                <w:rFonts w:ascii="Times New Roman" w:hAnsi="Times New Roman"/>
                <w:iCs/>
                <w:sz w:val="18"/>
                <w:szCs w:val="18"/>
              </w:rPr>
              <w:t>trifluridine-</w:t>
            </w:r>
            <w:proofErr w:type="spellStart"/>
            <w:r w:rsidRPr="003C067A">
              <w:rPr>
                <w:rFonts w:ascii="Times New Roman" w:hAnsi="Times New Roman"/>
                <w:iCs/>
                <w:sz w:val="18"/>
                <w:szCs w:val="18"/>
              </w:rPr>
              <w:t>tipiracil</w:t>
            </w:r>
            <w:proofErr w:type="spellEnd"/>
          </w:p>
          <w:p w14:paraId="69C2CBDC" w14:textId="77777777" w:rsidR="00F1319B" w:rsidRPr="00C2310D" w:rsidRDefault="00F1319B" w:rsidP="00954B1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textAlignment w:val="baseline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Best supportive car</w:t>
            </w:r>
            <w:bookmarkEnd w:id="0"/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e </w:t>
            </w:r>
          </w:p>
        </w:tc>
      </w:tr>
      <w:tr w:rsidR="00F1319B" w14:paraId="26D423FB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B3B7" w14:textId="77777777" w:rsidR="00F1319B" w:rsidRDefault="00F1319B" w:rsidP="00954B1C">
            <w:pPr>
              <w:spacing w:after="0" w:line="480" w:lineRule="auto"/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/>
                <w:kern w:val="0"/>
                <w:sz w:val="18"/>
                <w:szCs w:val="18"/>
              </w:rPr>
              <w:t>Comparator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4455" w14:textId="77777777" w:rsidR="00F1319B" w:rsidRDefault="00F1319B" w:rsidP="00954B1C">
            <w:pPr>
              <w:widowControl w:val="0"/>
              <w:spacing w:after="0" w:line="480" w:lineRule="auto"/>
              <w:jc w:val="both"/>
              <w:textAlignment w:val="baseline"/>
              <w:rPr>
                <w:iCs/>
                <w:kern w:val="0"/>
                <w:sz w:val="18"/>
                <w:szCs w:val="18"/>
              </w:rPr>
            </w:pPr>
            <w:r>
              <w:rPr>
                <w:iCs/>
                <w:kern w:val="0"/>
                <w:sz w:val="18"/>
                <w:szCs w:val="18"/>
              </w:rPr>
              <w:t>Unrestricted</w:t>
            </w:r>
          </w:p>
        </w:tc>
      </w:tr>
      <w:tr w:rsidR="00F1319B" w14:paraId="7F3C785C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2961" w14:textId="77777777" w:rsidR="00F1319B" w:rsidRDefault="00F1319B" w:rsidP="00954B1C">
            <w:pPr>
              <w:spacing w:after="0" w:line="480" w:lineRule="auto"/>
            </w:pPr>
            <w:r>
              <w:rPr>
                <w:rFonts w:cs="Tahoma"/>
                <w:kern w:val="0"/>
                <w:sz w:val="18"/>
                <w:szCs w:val="18"/>
              </w:rPr>
              <w:t>Outcomes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35DF" w14:textId="77777777" w:rsidR="00F1319B" w:rsidRDefault="00F1319B" w:rsidP="00954B1C">
            <w:pPr>
              <w:spacing w:after="0" w:line="480" w:lineRule="auto"/>
            </w:pPr>
            <w:r w:rsidRPr="10FDD58E">
              <w:rPr>
                <w:kern w:val="0"/>
                <w:sz w:val="18"/>
                <w:szCs w:val="18"/>
              </w:rPr>
              <w:t>Overall</w:t>
            </w:r>
            <w:r>
              <w:rPr>
                <w:iCs/>
                <w:kern w:val="0"/>
                <w:sz w:val="18"/>
                <w:szCs w:val="18"/>
              </w:rPr>
              <w:t xml:space="preserve"> survival, progression-free survival, overall response rate, </w:t>
            </w:r>
            <w:r w:rsidRPr="10FDD58E">
              <w:rPr>
                <w:kern w:val="0"/>
                <w:sz w:val="18"/>
                <w:szCs w:val="18"/>
              </w:rPr>
              <w:t>Grade ≥ 3 T</w:t>
            </w:r>
            <w:r>
              <w:rPr>
                <w:iCs/>
                <w:kern w:val="0"/>
                <w:sz w:val="18"/>
                <w:szCs w:val="18"/>
              </w:rPr>
              <w:t xml:space="preserve">reatment-related adverse events </w:t>
            </w:r>
          </w:p>
        </w:tc>
      </w:tr>
      <w:tr w:rsidR="00F1319B" w14:paraId="53F9841A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6525" w14:textId="77777777" w:rsidR="00F1319B" w:rsidRDefault="00F1319B" w:rsidP="00954B1C">
            <w:pPr>
              <w:spacing w:after="0" w:line="480" w:lineRule="auto"/>
              <w:rPr>
                <w:rFonts w:cs="Tahoma"/>
                <w:color w:val="000000"/>
                <w:kern w:val="0"/>
                <w:sz w:val="18"/>
                <w:szCs w:val="18"/>
              </w:rPr>
            </w:pPr>
            <w:r>
              <w:rPr>
                <w:rFonts w:cs="Tahoma"/>
                <w:color w:val="000000"/>
                <w:kern w:val="0"/>
                <w:sz w:val="18"/>
                <w:szCs w:val="18"/>
              </w:rPr>
              <w:t>Study design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22DF" w14:textId="77777777" w:rsidR="00F1319B" w:rsidRDefault="00F1319B" w:rsidP="00954B1C">
            <w:pPr>
              <w:autoSpaceDE w:val="0"/>
              <w:spacing w:after="0" w:line="480" w:lineRule="auto"/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randomised controlled trials</w:t>
            </w:r>
          </w:p>
        </w:tc>
      </w:tr>
      <w:tr w:rsidR="00F1319B" w14:paraId="0011A738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B10A" w14:textId="77777777" w:rsidR="00F1319B" w:rsidRDefault="00F1319B" w:rsidP="00954B1C">
            <w:pPr>
              <w:spacing w:after="0" w:line="480" w:lineRule="auto"/>
              <w:rPr>
                <w:rFonts w:cs="Tahoma"/>
                <w:color w:val="000000"/>
                <w:kern w:val="0"/>
                <w:sz w:val="18"/>
                <w:szCs w:val="18"/>
              </w:rPr>
            </w:pPr>
            <w:r>
              <w:rPr>
                <w:rFonts w:cs="Tahoma"/>
                <w:color w:val="000000"/>
                <w:kern w:val="0"/>
                <w:sz w:val="18"/>
                <w:szCs w:val="18"/>
              </w:rPr>
              <w:t>Exclusion criteria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988A" w14:textId="77777777" w:rsidR="00F1319B" w:rsidRDefault="00F1319B" w:rsidP="00954B1C">
            <w:pPr>
              <w:autoSpaceDE w:val="0"/>
              <w:spacing w:after="0" w:line="480" w:lineRule="auto"/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Studies in first-line treatment for advanced and metastatic gastric cancer, conference papers, commentaries, abstracts, and letters, where the full paper was unobtainable.</w:t>
            </w:r>
          </w:p>
          <w:p w14:paraId="0C2199B0" w14:textId="77777777" w:rsidR="00F1319B" w:rsidRDefault="00F1319B" w:rsidP="00954B1C">
            <w:pPr>
              <w:autoSpaceDE w:val="0"/>
              <w:spacing w:after="0" w:line="480" w:lineRule="auto"/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Subgroup, exploratory and post-hoc analysis of original trials.</w:t>
            </w:r>
          </w:p>
        </w:tc>
      </w:tr>
      <w:tr w:rsidR="00F1319B" w14:paraId="34B16010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BE40" w14:textId="77777777" w:rsidR="00F1319B" w:rsidRDefault="00F1319B" w:rsidP="00954B1C">
            <w:pPr>
              <w:spacing w:after="0" w:line="48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Language 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6BDA" w14:textId="77777777" w:rsidR="00F1319B" w:rsidRDefault="00F1319B" w:rsidP="00954B1C">
            <w:pPr>
              <w:autoSpaceDE w:val="0"/>
              <w:spacing w:after="0" w:line="480" w:lineRule="auto"/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English only</w:t>
            </w:r>
          </w:p>
        </w:tc>
      </w:tr>
      <w:tr w:rsidR="00F1319B" w14:paraId="24699D08" w14:textId="77777777" w:rsidTr="00954B1C">
        <w:trPr>
          <w:trHeight w:val="46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25CC" w14:textId="77777777" w:rsidR="00F1319B" w:rsidRDefault="00F1319B" w:rsidP="00954B1C">
            <w:pPr>
              <w:spacing w:after="0" w:line="48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Time period</w:t>
            </w:r>
          </w:p>
        </w:tc>
        <w:tc>
          <w:tcPr>
            <w:tcW w:w="8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D0BD" w14:textId="77777777" w:rsidR="00F1319B" w:rsidRDefault="00F1319B" w:rsidP="00954B1C">
            <w:pPr>
              <w:autoSpaceDE w:val="0"/>
              <w:spacing w:after="0" w:line="480" w:lineRule="auto"/>
              <w:jc w:val="both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2009 to 29 May 2024</w:t>
            </w:r>
          </w:p>
        </w:tc>
      </w:tr>
    </w:tbl>
    <w:p w14:paraId="02BA027E" w14:textId="77777777" w:rsidR="00F1319B" w:rsidRDefault="00F1319B" w:rsidP="00F1319B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cs="Tahoma"/>
        </w:rPr>
        <w:t xml:space="preserve">*ESMO: </w:t>
      </w:r>
      <w:r w:rsidRPr="00861EDF">
        <w:rPr>
          <w:rFonts w:ascii="Times New Roman" w:hAnsi="Times New Roman"/>
          <w:sz w:val="20"/>
          <w:szCs w:val="20"/>
        </w:rPr>
        <w:t>European Society for Medical Oncology</w:t>
      </w:r>
      <w:r>
        <w:rPr>
          <w:rFonts w:ascii="Times New Roman" w:hAnsi="Times New Roman"/>
          <w:sz w:val="20"/>
          <w:szCs w:val="20"/>
        </w:rPr>
        <w:t>; NCCN:</w:t>
      </w:r>
      <w:r w:rsidRPr="00861EDF">
        <w:rPr>
          <w:rFonts w:ascii="Times New Roman" w:hAnsi="Times New Roman"/>
          <w:sz w:val="20"/>
          <w:szCs w:val="20"/>
        </w:rPr>
        <w:t xml:space="preserve"> National Comprehensive Cancer Network</w:t>
      </w:r>
    </w:p>
    <w:p w14:paraId="012D2A21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292A35A8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1FB76F42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76A6FCE8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06214929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197D7AFE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356A92A9" w14:textId="77777777" w:rsidR="00A360B7" w:rsidRDefault="00A360B7" w:rsidP="00A360B7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34FE534C" w14:textId="7DE42BA0" w:rsidR="00F1319B" w:rsidRPr="00A360B7" w:rsidRDefault="00A360B7" w:rsidP="00A360B7">
      <w:pPr>
        <w:rPr>
          <w:rFonts w:cs="Calibri"/>
          <w:b/>
          <w:bCs/>
          <w:color w:val="000000"/>
          <w:shd w:val="clear" w:color="auto" w:fill="FFFFFF"/>
          <w:lang w:val="en-GB"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  <w:lastRenderedPageBreak/>
        <w:t>Fig 1: PRISMA flow chart</w:t>
      </w:r>
    </w:p>
    <w:p w14:paraId="1BCE54F1" w14:textId="77777777" w:rsidR="00F1319B" w:rsidRDefault="00F1319B" w:rsidP="00F1319B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2342C4E" wp14:editId="06949E75">
            <wp:extent cx="5731510" cy="7200900"/>
            <wp:effectExtent l="0" t="0" r="0" b="0"/>
            <wp:docPr id="316979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796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2B19" w14:textId="77777777" w:rsidR="00F1319B" w:rsidRPr="0045175C" w:rsidRDefault="00F1319B" w:rsidP="00F1319B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E90C685" w14:textId="77777777" w:rsidR="00F1319B" w:rsidRDefault="00F1319B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5B37FFBC" w14:textId="77777777" w:rsidR="00F1319B" w:rsidRDefault="00F1319B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47D80CB9" w14:textId="77777777" w:rsidR="00F1319B" w:rsidRDefault="00F1319B">
      <w:pPr>
        <w:rPr>
          <w:rStyle w:val="normaltextrun"/>
          <w:rFonts w:cs="Calibri"/>
          <w:b/>
          <w:bCs/>
          <w:color w:val="000000"/>
          <w:shd w:val="clear" w:color="auto" w:fill="FFFFFF"/>
          <w:lang w:val="en-GB"/>
        </w:rPr>
      </w:pPr>
    </w:p>
    <w:p w14:paraId="0D0DA32E" w14:textId="1CB60F74" w:rsidR="0049294C" w:rsidRDefault="00A360B7">
      <w:r>
        <w:lastRenderedPageBreak/>
        <w:t xml:space="preserve">Fig 2: </w:t>
      </w:r>
      <w:r>
        <w:rPr>
          <w:lang w:val="en-US"/>
        </w:rPr>
        <w:t xml:space="preserve">Bayesian Network Meta-Analysis of </w:t>
      </w:r>
      <w:r>
        <w:t>Overall Survival </w:t>
      </w:r>
    </w:p>
    <w:p w14:paraId="0D0DA32F" w14:textId="2C4CC835" w:rsidR="0049294C" w:rsidRPr="008949B6" w:rsidRDefault="00F1319B" w:rsidP="008949B6">
      <w:pPr>
        <w:jc w:val="both"/>
        <w:rPr>
          <w:rFonts w:cs="Calibri"/>
        </w:rPr>
      </w:pPr>
      <w:r>
        <w:rPr>
          <w:noProof/>
        </w:rPr>
        <w:drawing>
          <wp:inline distT="0" distB="0" distL="0" distR="0" wp14:anchorId="0D0DA32E" wp14:editId="0D0DA32F">
            <wp:extent cx="5731514" cy="3540757"/>
            <wp:effectExtent l="0" t="0" r="2536" b="2543"/>
            <wp:docPr id="142951445" name="Picture 2" descr="Picture 1, 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5407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  <w:r w:rsidR="008949B6">
        <w:rPr>
          <w:rFonts w:cs="Calibri"/>
        </w:rPr>
        <w:t xml:space="preserve">Fig 3: </w:t>
      </w:r>
      <w:r w:rsidR="008949B6">
        <w:rPr>
          <w:lang w:val="en-US"/>
        </w:rPr>
        <w:t>Bayesian Network Meta-Analysis</w:t>
      </w:r>
      <w:r w:rsidR="008949B6">
        <w:rPr>
          <w:rFonts w:cs="Calibri"/>
          <w:lang w:val="en-US"/>
        </w:rPr>
        <w:t xml:space="preserve"> of </w:t>
      </w:r>
      <w:r w:rsidR="008949B6">
        <w:rPr>
          <w:rFonts w:cs="Calibri"/>
        </w:rPr>
        <w:t>Progression Free Survival</w:t>
      </w:r>
    </w:p>
    <w:p w14:paraId="0D0DA330" w14:textId="77777777" w:rsidR="0049294C" w:rsidRDefault="00F1319B">
      <w:r>
        <w:rPr>
          <w:noProof/>
        </w:rPr>
        <w:drawing>
          <wp:inline distT="0" distB="0" distL="0" distR="0" wp14:anchorId="0D0DA330" wp14:editId="0D0DA331">
            <wp:extent cx="5731514" cy="3742053"/>
            <wp:effectExtent l="0" t="0" r="2536" b="0"/>
            <wp:docPr id="120297884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742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0F4D46" w14:textId="77777777" w:rsidR="008949B6" w:rsidRDefault="008949B6"/>
    <w:p w14:paraId="29707BA3" w14:textId="77777777" w:rsidR="008949B6" w:rsidRDefault="008949B6" w:rsidP="008949B6">
      <w:pPr>
        <w:jc w:val="both"/>
        <w:rPr>
          <w:rFonts w:cs="Calibri"/>
        </w:rPr>
      </w:pPr>
    </w:p>
    <w:p w14:paraId="579CBBC4" w14:textId="77777777" w:rsidR="008949B6" w:rsidRDefault="008949B6" w:rsidP="008949B6">
      <w:pPr>
        <w:jc w:val="both"/>
        <w:rPr>
          <w:rFonts w:cs="Calibri"/>
        </w:rPr>
      </w:pPr>
    </w:p>
    <w:p w14:paraId="37933B3F" w14:textId="6C84C4E5" w:rsidR="00A360B7" w:rsidRPr="008949B6" w:rsidRDefault="008949B6" w:rsidP="00A360B7">
      <w:pPr>
        <w:jc w:val="both"/>
      </w:pPr>
      <w:r>
        <w:rPr>
          <w:rFonts w:cs="Calibri"/>
        </w:rPr>
        <w:lastRenderedPageBreak/>
        <w:t xml:space="preserve">Fig 4: </w:t>
      </w:r>
      <w:r>
        <w:rPr>
          <w:lang w:val="en-US"/>
        </w:rPr>
        <w:t xml:space="preserve">Bayesian Network Meta-Analysis </w:t>
      </w:r>
      <w:r>
        <w:rPr>
          <w:rFonts w:cs="Calibri"/>
          <w:lang w:val="en-US"/>
        </w:rPr>
        <w:t xml:space="preserve">of </w:t>
      </w:r>
      <w:r>
        <w:rPr>
          <w:rFonts w:cs="Calibri"/>
        </w:rPr>
        <w:t>Objective Response Rate</w:t>
      </w:r>
    </w:p>
    <w:p w14:paraId="10F20C8F" w14:textId="0996C0DA" w:rsidR="00A360B7" w:rsidRDefault="00A360B7" w:rsidP="00A360B7">
      <w:pPr>
        <w:jc w:val="both"/>
      </w:pPr>
      <w:r>
        <w:rPr>
          <w:noProof/>
        </w:rPr>
        <w:drawing>
          <wp:inline distT="0" distB="0" distL="0" distR="0" wp14:anchorId="777129FB" wp14:editId="40217151">
            <wp:extent cx="5731510" cy="3669030"/>
            <wp:effectExtent l="0" t="0" r="2540" b="7620"/>
            <wp:docPr id="50065847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9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D22ED6" w14:textId="77777777" w:rsidR="008949B6" w:rsidRDefault="008949B6" w:rsidP="008949B6">
      <w:pPr>
        <w:jc w:val="both"/>
        <w:rPr>
          <w:rFonts w:cs="Calibri"/>
          <w:lang w:val="en-US"/>
        </w:rPr>
      </w:pPr>
      <w:r>
        <w:rPr>
          <w:rFonts w:cs="Calibri"/>
          <w:lang w:val="en-US"/>
        </w:rPr>
        <w:t>Fig 5: Bayesian Network Meta-Analysis of Grade ≥ 3 TRAEs</w:t>
      </w:r>
    </w:p>
    <w:p w14:paraId="7839D99D" w14:textId="3D0B17B4" w:rsidR="008949B6" w:rsidRDefault="008949B6" w:rsidP="008949B6">
      <w:pPr>
        <w:jc w:val="both"/>
        <w:rPr>
          <w:rFonts w:cs="Calibri"/>
          <w:lang w:val="en-US"/>
        </w:rPr>
      </w:pPr>
      <w:r>
        <w:rPr>
          <w:noProof/>
        </w:rPr>
        <w:drawing>
          <wp:inline distT="0" distB="0" distL="0" distR="0" wp14:anchorId="6D993831" wp14:editId="59A62862">
            <wp:extent cx="5731510" cy="3744595"/>
            <wp:effectExtent l="0" t="0" r="2540" b="8255"/>
            <wp:docPr id="97507744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4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159668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1D3937B6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4D6E4598" w14:textId="2037F185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>Fig 6: Flow chart depicting the process of exclusion and final inclusion of studies in the OS network</w:t>
      </w:r>
    </w:p>
    <w:p w14:paraId="4689DC73" w14:textId="3EE88CD4" w:rsidR="008949B6" w:rsidRDefault="008949B6" w:rsidP="008949B6">
      <w:pPr>
        <w:jc w:val="both"/>
        <w:rPr>
          <w:rFonts w:cs="Calibri"/>
        </w:rPr>
      </w:pPr>
      <w:r>
        <w:rPr>
          <w:noProof/>
        </w:rPr>
        <w:drawing>
          <wp:inline distT="0" distB="0" distL="0" distR="0" wp14:anchorId="7A6F8471" wp14:editId="2338E4AE">
            <wp:extent cx="5133975" cy="7524750"/>
            <wp:effectExtent l="0" t="0" r="9525" b="0"/>
            <wp:docPr id="1980869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693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17E1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28496AA0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59ED34D9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23F39A17" w14:textId="238C56DD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 xml:space="preserve">Fig 7: Flow chart depicting the process of exclusion and final inclusion of studies in the PFS network </w:t>
      </w:r>
    </w:p>
    <w:p w14:paraId="22368EBF" w14:textId="51E5F4DB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noProof/>
        </w:rPr>
        <w:drawing>
          <wp:inline distT="0" distB="0" distL="0" distR="0" wp14:anchorId="7DEF5F94" wp14:editId="6332B1CA">
            <wp:extent cx="5210175" cy="7486650"/>
            <wp:effectExtent l="0" t="0" r="9525" b="0"/>
            <wp:docPr id="183328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830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A6FE6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00FA460A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4F4AFD39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10A7870B" w14:textId="1C5DA336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 xml:space="preserve">Fig 8: Flow chart depicting the process of exclusion and final inclusion of studies in the ORR network </w:t>
      </w:r>
    </w:p>
    <w:p w14:paraId="4220F4AB" w14:textId="26B61F6F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noProof/>
        </w:rPr>
        <w:drawing>
          <wp:inline distT="0" distB="0" distL="0" distR="0" wp14:anchorId="33E0B74C" wp14:editId="4EE4AD82">
            <wp:extent cx="5038725" cy="7534275"/>
            <wp:effectExtent l="0" t="0" r="9525" b="9525"/>
            <wp:docPr id="989277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7712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9CC7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190A627D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1126E15F" w14:textId="77777777" w:rsidR="008949B6" w:rsidRDefault="008949B6" w:rsidP="008949B6">
      <w:pPr>
        <w:jc w:val="both"/>
        <w:rPr>
          <w:rFonts w:cs="Calibri"/>
          <w:b/>
          <w:bCs/>
          <w:lang w:val="en-GB"/>
        </w:rPr>
      </w:pPr>
    </w:p>
    <w:p w14:paraId="0ECD6F4C" w14:textId="3E710703" w:rsidR="008949B6" w:rsidRDefault="008949B6" w:rsidP="008949B6">
      <w:pPr>
        <w:jc w:val="both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 xml:space="preserve">Fig 9: Flow chart depicting the process of exclusion and final inclusion of studies in the Grade ≥ TRAEs network </w:t>
      </w:r>
    </w:p>
    <w:p w14:paraId="1E9BF2EC" w14:textId="05730930" w:rsidR="00CE0996" w:rsidRDefault="00CE0996" w:rsidP="008949B6">
      <w:pPr>
        <w:jc w:val="both"/>
        <w:rPr>
          <w:rFonts w:cs="Calibri"/>
          <w:b/>
          <w:bCs/>
          <w:lang w:val="en-GB"/>
        </w:rPr>
      </w:pPr>
      <w:r>
        <w:rPr>
          <w:noProof/>
        </w:rPr>
        <w:drawing>
          <wp:inline distT="0" distB="0" distL="0" distR="0" wp14:anchorId="29343933" wp14:editId="53832D4C">
            <wp:extent cx="5048250" cy="7505700"/>
            <wp:effectExtent l="0" t="0" r="0" b="0"/>
            <wp:docPr id="342860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6082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A334" w14:textId="5D51616F" w:rsidR="0049294C" w:rsidRDefault="0049294C">
      <w:pPr>
        <w:pageBreakBefore/>
      </w:pPr>
    </w:p>
    <w:p w14:paraId="0D0DA336" w14:textId="2A248596" w:rsidR="0049294C" w:rsidRDefault="0049294C">
      <w:pPr>
        <w:jc w:val="both"/>
      </w:pPr>
    </w:p>
    <w:p w14:paraId="0396C145" w14:textId="597B4C56" w:rsidR="00696B95" w:rsidRDefault="00696B95">
      <w:pPr>
        <w:jc w:val="both"/>
        <w:rPr>
          <w:rFonts w:cs="Calibri"/>
          <w:lang w:val="en-US"/>
        </w:rPr>
      </w:pPr>
    </w:p>
    <w:p w14:paraId="0D0DA339" w14:textId="77777777" w:rsidR="0049294C" w:rsidRDefault="0049294C">
      <w:pPr>
        <w:rPr>
          <w:rFonts w:ascii="Times New Roman" w:eastAsia="Times New Roman" w:hAnsi="Times New Roman"/>
          <w:kern w:val="0"/>
          <w:sz w:val="16"/>
          <w:szCs w:val="16"/>
          <w:lang w:val="en-US" w:eastAsia="en-IE"/>
        </w:rPr>
      </w:pPr>
    </w:p>
    <w:p w14:paraId="0D0DA33A" w14:textId="77777777" w:rsidR="0049294C" w:rsidRDefault="0049294C">
      <w:pPr>
        <w:rPr>
          <w:rFonts w:ascii="Times New Roman" w:eastAsia="Times New Roman" w:hAnsi="Times New Roman"/>
          <w:kern w:val="0"/>
          <w:sz w:val="16"/>
          <w:szCs w:val="16"/>
          <w:lang w:val="en-US" w:eastAsia="en-IE"/>
        </w:rPr>
      </w:pPr>
    </w:p>
    <w:p w14:paraId="0D0DA33B" w14:textId="5F16118C" w:rsidR="0049294C" w:rsidRDefault="0049294C">
      <w:pPr>
        <w:pageBreakBefore/>
      </w:pPr>
    </w:p>
    <w:p w14:paraId="0D0DA33C" w14:textId="7CAECB8A" w:rsidR="0049294C" w:rsidRDefault="0049294C">
      <w:pPr>
        <w:jc w:val="both"/>
        <w:rPr>
          <w:rFonts w:cs="Calibri"/>
          <w:b/>
          <w:bCs/>
          <w:lang w:val="en-GB"/>
        </w:rPr>
      </w:pPr>
    </w:p>
    <w:p w14:paraId="0D0DA33D" w14:textId="5BF74961" w:rsidR="0049294C" w:rsidRDefault="0049294C">
      <w:pPr>
        <w:pageBreakBefore/>
        <w:suppressAutoHyphens w:val="0"/>
      </w:pPr>
    </w:p>
    <w:p w14:paraId="0D0DA33F" w14:textId="77777777" w:rsidR="0049294C" w:rsidRDefault="0049294C">
      <w:pPr>
        <w:jc w:val="both"/>
        <w:rPr>
          <w:rFonts w:cs="Calibri"/>
          <w:b/>
          <w:bCs/>
          <w:lang w:val="en-GB"/>
        </w:rPr>
      </w:pPr>
      <w:bookmarkStart w:id="1" w:name="_Hlk197523019"/>
    </w:p>
    <w:p w14:paraId="0D0DA340" w14:textId="77777777" w:rsidR="0049294C" w:rsidRDefault="0049294C">
      <w:pPr>
        <w:jc w:val="both"/>
        <w:rPr>
          <w:rFonts w:cs="Calibri"/>
          <w:b/>
          <w:bCs/>
          <w:lang w:val="en-GB"/>
        </w:rPr>
      </w:pPr>
    </w:p>
    <w:p w14:paraId="0D0DA341" w14:textId="77777777" w:rsidR="0049294C" w:rsidRDefault="0049294C">
      <w:pPr>
        <w:jc w:val="both"/>
        <w:rPr>
          <w:rFonts w:cs="Calibri"/>
          <w:b/>
          <w:bCs/>
          <w:lang w:val="en-GB"/>
        </w:rPr>
      </w:pPr>
    </w:p>
    <w:p w14:paraId="0D0DA342" w14:textId="1ED2148D" w:rsidR="0049294C" w:rsidRDefault="0049294C">
      <w:pPr>
        <w:jc w:val="both"/>
      </w:pPr>
    </w:p>
    <w:p w14:paraId="1C36A1DC" w14:textId="0D5FE7B9" w:rsidR="00F1319B" w:rsidRDefault="00F1319B">
      <w:pPr>
        <w:jc w:val="both"/>
        <w:rPr>
          <w:rFonts w:cs="Calibri"/>
          <w:b/>
          <w:bCs/>
          <w:lang w:val="en-GB"/>
        </w:rPr>
      </w:pPr>
    </w:p>
    <w:p w14:paraId="7BB240F8" w14:textId="77777777" w:rsidR="006C0393" w:rsidRDefault="006C0393">
      <w:pPr>
        <w:jc w:val="both"/>
        <w:rPr>
          <w:rFonts w:cs="Calibri"/>
          <w:b/>
          <w:bCs/>
          <w:lang w:val="en-GB"/>
        </w:rPr>
      </w:pPr>
    </w:p>
    <w:p w14:paraId="0CD7E57D" w14:textId="77777777" w:rsidR="00F1319B" w:rsidRDefault="00F1319B">
      <w:pPr>
        <w:jc w:val="both"/>
        <w:rPr>
          <w:rFonts w:cs="Calibri"/>
          <w:b/>
          <w:bCs/>
          <w:lang w:val="en-GB"/>
        </w:rPr>
      </w:pPr>
    </w:p>
    <w:bookmarkEnd w:id="1"/>
    <w:p w14:paraId="0D0DA344" w14:textId="2413D988" w:rsidR="0049294C" w:rsidRDefault="0049294C"/>
    <w:p w14:paraId="0D0DA346" w14:textId="32F7C553" w:rsidR="0049294C" w:rsidRDefault="0049294C"/>
    <w:p w14:paraId="0D0DA348" w14:textId="77777777" w:rsidR="0049294C" w:rsidRDefault="0049294C"/>
    <w:sectPr w:rsidR="0049294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566" w14:textId="77777777" w:rsidR="00972F2E" w:rsidRDefault="00972F2E">
      <w:pPr>
        <w:spacing w:after="0" w:line="240" w:lineRule="auto"/>
      </w:pPr>
      <w:r>
        <w:separator/>
      </w:r>
    </w:p>
  </w:endnote>
  <w:endnote w:type="continuationSeparator" w:id="0">
    <w:p w14:paraId="371D760F" w14:textId="77777777" w:rsidR="00972F2E" w:rsidRDefault="0097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8711" w14:textId="77777777" w:rsidR="00972F2E" w:rsidRDefault="00972F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4C5F3C" w14:textId="77777777" w:rsidR="00972F2E" w:rsidRDefault="0097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6180"/>
    <w:multiLevelType w:val="multilevel"/>
    <w:tmpl w:val="58B222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2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4C"/>
    <w:rsid w:val="00303362"/>
    <w:rsid w:val="0040213B"/>
    <w:rsid w:val="00466799"/>
    <w:rsid w:val="0049294C"/>
    <w:rsid w:val="00696B95"/>
    <w:rsid w:val="006C0393"/>
    <w:rsid w:val="00745BD0"/>
    <w:rsid w:val="007944F0"/>
    <w:rsid w:val="00802DC6"/>
    <w:rsid w:val="008949B6"/>
    <w:rsid w:val="00972F2E"/>
    <w:rsid w:val="009B5CAB"/>
    <w:rsid w:val="00A320C3"/>
    <w:rsid w:val="00A360B7"/>
    <w:rsid w:val="00AB44F6"/>
    <w:rsid w:val="00C810C8"/>
    <w:rsid w:val="00CE0996"/>
    <w:rsid w:val="00D170F8"/>
    <w:rsid w:val="00E916DF"/>
    <w:rsid w:val="00F1319B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A32E"/>
  <w15:docId w15:val="{1F8C5BE4-9987-4F97-BF35-1842266B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50F1-2EBE-488B-A966-8F0774DF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Sharma</dc:creator>
  <dc:description/>
  <cp:lastModifiedBy>Shikha Sharma</cp:lastModifiedBy>
  <cp:revision>3</cp:revision>
  <dcterms:created xsi:type="dcterms:W3CDTF">2025-07-11T10:59:00Z</dcterms:created>
  <dcterms:modified xsi:type="dcterms:W3CDTF">2025-07-11T11:00:00Z</dcterms:modified>
</cp:coreProperties>
</file>