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media/image1.jpg" ContentType="image/jpg"/>
  <Override PartName="/word/media/image2.jpg" ContentType="image/jpg"/>
  <Override PartName="/word/media/image3.jpg" ContentType="image/jpg"/>
  <Override PartName="/word/media/image4.jpg" ContentType="image/jpg"/>
  <Override PartName="/word/media/image5.jpg" ContentType="image/jpg"/>
  <Override PartName="/word/media/image6.jpg" ContentType="image/jpg"/>
  <Override PartName="/word/media/image7.jpg" ContentType="image/jpg"/>
  <Override PartName="/word/media/image8.jpg" ContentType="image/jp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body>
    <w:p>
      <w:pPr>
        <w:spacing w:before="0" w:after="0" w:line="240" w:lineRule="auto"/>
        <w:ind w:right="0" w:left="0" w:firstLine="0"/>
        <w:jc w:val="left"/>
        <w:textAlignment w:val="baseline"/>
        <w:rPr>
          <w:rFonts w:ascii="Times New Roman" w:hAnsi="Times New Roman" w:eastAsia="Times New Roman"/>
          <w:color w:val="000000"/>
          <w:w w:val="100"/>
          <w:sz w:val="24"/>
          <w:vertAlign w:val="baseline"/>
          <w:lang w:val="en-US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41.35pt;height:440.85pt;z-index:-1;margin-left:29.75pt;margin-top:70.65pt;mso-wrap-distance-left:0pt;mso-wrap-distance-right:0pt;mso-position-horizontal-relative:page;mso-position-vertical-relative:page">
            <w10:wrap type="square"/>
            <v:fill opacity="1" o:opacity2="1" recolor="f" rotate="f" type="solid"/>
            <v:textbox inset="0pt, 0pt, 0pt, 0pt">
              <w:txbxContent/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738pt;height:435.85pt;z-index:-1;margin-left:33.1pt;margin-top:74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0" w:after="0" w:line="240" w:lineRule="auto"/>
                    <w:ind w:right="0" w:left="0"/>
                    <w:jc w:val="left"/>
                    <w:textAlignment w:val="baseline"/>
                  </w:pPr>
                  <w:r>
                    <w:drawing>
                      <wp:inline>
                        <wp:extent cx="9372600" cy="5535295"/>
                        <wp:docPr name="Picture" id="1"/>
                        <a:graphic>
                          <a:graphicData uri="http://schemas.openxmlformats.org/drawingml/2006/picture">
                            <pic:pic>
                              <pic:nvPicPr>
                                <pic:cNvPr id="1" name="Picture"/>
                                <pic:cNvPicPr preferRelativeResize="false"/>
                              </pic:nvPicPr>
                              <pic:blipFill>
                                <a:blip r:embed="prId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72600" cy="5535295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153.1pt;height:15.8pt;z-index:-1;margin-left:33.85pt;margin-top:70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abs>
                      <w:tab w:val="right" w:leader="none" w:pos="3096"/>
                    </w:tabs>
                    <w:spacing w:before="36" w:after="34" w:line="245" w:lineRule="exact"/>
                    <w:ind w:right="0" w:left="0" w:firstLine="0"/>
                    <w:jc w:val="left"/>
                    <w:textAlignment w:val="baseline"/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</w:pPr>
                  <w:r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  <w:t xml:space="preserve">1	</w:t>
                  </w:r>
                  <w:r>
                    <w:rPr>
                      <w:rFonts w:ascii="Calibri" w:hAnsi="Calibri" w:eastAsia="Calibri"/>
                      <w:b w:val="true"/>
                      <w:color w:val="000000"/>
                      <w:spacing w:val="0"/>
                      <w:w w:val="100"/>
                      <w:sz w:val="24"/>
                      <w:vertAlign w:val="baseline"/>
                      <w:lang w:val="en-US"/>
                    </w:rPr>
                    <w:t xml:space="preserve">Supplemental information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5.05pt;height:22.45pt;z-index:-1;margin-left:33.1pt;margin-top:420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26" w:after="0" w:line="218" w:lineRule="exact"/>
                    <w:ind w:right="0" w:left="0" w:firstLine="0"/>
                    <w:jc w:val="left"/>
                    <w:textAlignment w:val="baseline"/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</w:pPr>
                  <w:r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738pt;height:46.8pt;z-index:-1;margin-left:33.1pt;margin-top:442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abs>
                      <w:tab w:val="left" w:leader="none" w:pos="504"/>
                    </w:tabs>
                    <w:spacing w:before="5" w:after="0" w:line="229" w:lineRule="exact"/>
                    <w:ind w:right="0" w:left="0" w:firstLine="0"/>
                    <w:jc w:val="left"/>
                    <w:textAlignment w:val="baseline"/>
                    <w:rPr>
                      <w:rFonts w:ascii="Calibri" w:hAnsi="Calibri" w:eastAsia="Calibri"/>
                      <w:color w:val="000000"/>
                      <w:spacing w:val="-4"/>
                      <w:w w:val="100"/>
                      <w:sz w:val="22"/>
                      <w:vertAlign w:val="baseline"/>
                      <w:lang w:val="en-US"/>
                    </w:rPr>
                  </w:pPr>
                  <w:r>
                    <w:rPr>
                      <w:rFonts w:ascii="Calibri" w:hAnsi="Calibri" w:eastAsia="Calibri"/>
                      <w:color w:val="000000"/>
                      <w:spacing w:val="-4"/>
                      <w:w w:val="100"/>
                      <w:sz w:val="22"/>
                      <w:vertAlign w:val="baseline"/>
                      <w:lang w:val="en-US"/>
                    </w:rPr>
                    <w:t xml:space="preserve">3	</w:t>
                  </w:r>
                  <w:r>
                    <w:rPr>
                      <w:rFonts w:ascii="Calibri" w:hAnsi="Calibri" w:eastAsia="Calibri"/>
                      <w:b w:val="true"/>
                      <w:color w:val="000000"/>
                      <w:spacing w:val="-4"/>
                      <w:w w:val="100"/>
                      <w:sz w:val="23"/>
                      <w:vertAlign w:val="baseline"/>
                      <w:lang w:val="en-US"/>
                    </w:rPr>
                    <w:t xml:space="preserve">Figure S1. Neutralizing titers against recently circulating SARS-CoV-2 variants</w:t>
                  </w:r>
                </w:p>
                <w:p>
                  <w:pPr>
                    <w:tabs>
                      <w:tab w:val="left" w:leader="none" w:pos="504"/>
                    </w:tabs>
                    <w:spacing w:before="217" w:after="0" w:line="224" w:lineRule="exact"/>
                    <w:ind w:right="0" w:left="0" w:firstLine="0"/>
                    <w:jc w:val="left"/>
                    <w:textAlignment w:val="baseline"/>
                    <w:rPr>
                      <w:rFonts w:ascii="Calibri" w:hAnsi="Calibri" w:eastAsia="Calibri"/>
                      <w:color w:val="000000"/>
                      <w:spacing w:val="-2"/>
                      <w:w w:val="100"/>
                      <w:sz w:val="22"/>
                      <w:vertAlign w:val="baseline"/>
                      <w:lang w:val="en-US"/>
                    </w:rPr>
                  </w:pPr>
                  <w:r>
                    <w:rPr>
                      <w:rFonts w:ascii="Calibri" w:hAnsi="Calibri" w:eastAsia="Calibri"/>
                      <w:color w:val="000000"/>
                      <w:spacing w:val="-2"/>
                      <w:w w:val="100"/>
                      <w:sz w:val="22"/>
                      <w:vertAlign w:val="baseline"/>
                      <w:lang w:val="en-US"/>
                    </w:rPr>
                    <w:t xml:space="preserve">4	</w:t>
                  </w:r>
                  <w:r>
                    <w:rPr>
                      <w:rFonts w:ascii="Calibri" w:hAnsi="Calibri" w:eastAsia="Calibri"/>
                      <w:b w:val="true"/>
                      <w:color w:val="000000"/>
                      <w:spacing w:val="-2"/>
                      <w:w w:val="100"/>
                      <w:sz w:val="23"/>
                      <w:vertAlign w:val="baseline"/>
                      <w:lang w:val="en-US"/>
                    </w:rPr>
                    <w:t xml:space="preserve">(A) </w:t>
                  </w:r>
                  <w:r>
                    <w:rPr>
                      <w:rFonts w:ascii="Calibri" w:hAnsi="Calibri" w:eastAsia="Calibri"/>
                      <w:color w:val="000000"/>
                      <w:spacing w:val="-2"/>
                      <w:w w:val="100"/>
                      <w:sz w:val="22"/>
                      <w:vertAlign w:val="baseline"/>
                      <w:lang w:val="en-US"/>
                    </w:rPr>
                    <w:t xml:space="preserve">JN.1, </w:t>
                  </w:r>
                  <w:r>
                    <w:rPr>
                      <w:rFonts w:ascii="Calibri" w:hAnsi="Calibri" w:eastAsia="Calibri"/>
                      <w:b w:val="true"/>
                      <w:color w:val="000000"/>
                      <w:spacing w:val="-2"/>
                      <w:w w:val="100"/>
                      <w:sz w:val="23"/>
                      <w:vertAlign w:val="baseline"/>
                      <w:lang w:val="en-US"/>
                    </w:rPr>
                    <w:t xml:space="preserve">(B) </w:t>
                  </w:r>
                  <w:r>
                    <w:rPr>
                      <w:rFonts w:ascii="Calibri" w:hAnsi="Calibri" w:eastAsia="Calibri"/>
                      <w:color w:val="000000"/>
                      <w:spacing w:val="-2"/>
                      <w:w w:val="100"/>
                      <w:sz w:val="22"/>
                      <w:vertAlign w:val="baseline"/>
                      <w:lang w:val="en-US"/>
                    </w:rPr>
                    <w:t xml:space="preserve">KP.2, </w:t>
                  </w:r>
                  <w:r>
                    <w:rPr>
                      <w:rFonts w:ascii="Calibri" w:hAnsi="Calibri" w:eastAsia="Calibri"/>
                      <w:b w:val="true"/>
                      <w:color w:val="000000"/>
                      <w:spacing w:val="-2"/>
                      <w:w w:val="100"/>
                      <w:sz w:val="23"/>
                      <w:vertAlign w:val="baseline"/>
                      <w:lang w:val="en-US"/>
                    </w:rPr>
                    <w:t xml:space="preserve">(C) </w:t>
                  </w:r>
                  <w:r>
                    <w:rPr>
                      <w:rFonts w:ascii="Calibri" w:hAnsi="Calibri" w:eastAsia="Calibri"/>
                      <w:color w:val="000000"/>
                      <w:spacing w:val="-2"/>
                      <w:w w:val="100"/>
                      <w:sz w:val="22"/>
                      <w:vertAlign w:val="baseline"/>
                      <w:lang w:val="en-US"/>
                    </w:rPr>
                    <w:t xml:space="preserve">KP.3.1.1, </w:t>
                  </w:r>
                  <w:r>
                    <w:rPr>
                      <w:rFonts w:ascii="Calibri" w:hAnsi="Calibri" w:eastAsia="Calibri"/>
                      <w:b w:val="true"/>
                      <w:color w:val="000000"/>
                      <w:spacing w:val="-2"/>
                      <w:w w:val="100"/>
                      <w:sz w:val="23"/>
                      <w:vertAlign w:val="baseline"/>
                      <w:lang w:val="en-US"/>
                    </w:rPr>
                    <w:t xml:space="preserve">(D) </w:t>
                  </w:r>
                  <w:r>
                    <w:rPr>
                      <w:rFonts w:ascii="Calibri" w:hAnsi="Calibri" w:eastAsia="Calibri"/>
                      <w:color w:val="000000"/>
                      <w:spacing w:val="-2"/>
                      <w:w w:val="100"/>
                      <w:sz w:val="22"/>
                      <w:vertAlign w:val="baseline"/>
                      <w:lang w:val="en-US"/>
                    </w:rPr>
                    <w:t xml:space="preserve">XEC and </w:t>
                  </w:r>
                  <w:r>
                    <w:rPr>
                      <w:rFonts w:ascii="Calibri" w:hAnsi="Calibri" w:eastAsia="Calibri"/>
                      <w:b w:val="true"/>
                      <w:color w:val="000000"/>
                      <w:spacing w:val="-2"/>
                      <w:w w:val="100"/>
                      <w:sz w:val="23"/>
                      <w:vertAlign w:val="baseline"/>
                      <w:lang w:val="en-US"/>
                    </w:rPr>
                    <w:t xml:space="preserve">(E) </w:t>
                  </w:r>
                  <w:r>
                    <w:rPr>
                      <w:rFonts w:ascii="Calibri" w:hAnsi="Calibri" w:eastAsia="Calibri"/>
                      <w:color w:val="000000"/>
                      <w:spacing w:val="-2"/>
                      <w:w w:val="100"/>
                      <w:sz w:val="22"/>
                      <w:vertAlign w:val="baseline"/>
                      <w:lang w:val="en-US"/>
                    </w:rPr>
                    <w:t xml:space="preserve">LP.8.1 FRNT</w:t>
                  </w:r>
                  <w:r>
                    <w:rPr>
                      <w:rFonts w:ascii="Calibri" w:hAnsi="Calibri" w:eastAsia="Calibri"/>
                      <w:color w:val="000000"/>
                      <w:spacing w:val="-2"/>
                      <w:w w:val="100"/>
                      <w:sz w:val="14"/>
                      <w:vertAlign w:val="baseline"/>
                      <w:lang w:val="en-US"/>
                    </w:rPr>
                    <w:t xml:space="preserve">50 </w:t>
                  </w:r>
                  <w:r>
                    <w:rPr>
                      <w:rFonts w:ascii="Calibri" w:hAnsi="Calibri" w:eastAsia="Calibri"/>
                      <w:color w:val="000000"/>
                      <w:spacing w:val="-2"/>
                      <w:w w:val="100"/>
                      <w:sz w:val="22"/>
                      <w:vertAlign w:val="baseline"/>
                      <w:lang w:val="en-US"/>
                    </w:rPr>
                    <w:t xml:space="preserve">neutralizing antibody titers were tested in hamster sera generated against viruses indicated on the X-</w:t>
                  </w:r>
                  <w:r>
                    <w:rPr>
                      <w:rFonts w:ascii="Calibri" w:hAnsi="Calibri" w:eastAsia="Calibri"/>
                      <w:color w:val="000000"/>
                      <w:w w:val="100"/>
                      <w:sz w:val="24"/>
                      <w:vertAlign w:val="baseline"/>
                      <w:lang w:val="en-US"/>
                    </w:rPr>
                    <w:t xml:space="preserve">
</w:t>
                  </w:r>
                </w:p>
                <w:p>
                  <w:pPr>
                    <w:tabs>
                      <w:tab w:val="left" w:leader="none" w:pos="504"/>
                    </w:tabs>
                    <w:spacing w:before="72" w:after="5" w:line="221" w:lineRule="exact"/>
                    <w:ind w:right="0" w:left="0" w:firstLine="0"/>
                    <w:jc w:val="left"/>
                    <w:textAlignment w:val="baseline"/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</w:pPr>
                  <w:r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  <w:t xml:space="preserve">5	</w:t>
                  </w:r>
                  <w:r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  <w:t xml:space="preserve">axis. Geometric mean titers with 95% CI are shown and indicated above. The dotted line represents the lower limit of detection.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11.75pt;height:12.2pt;z-index:-1;margin-left:29.75pt;margin-top:499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26" w:after="0" w:line="212" w:lineRule="exact"/>
                    <w:ind w:right="0" w:left="0" w:firstLine="0"/>
                    <w:jc w:val="left"/>
                    <w:textAlignment w:val="baseline"/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</w:pPr>
                  <w:r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  <w:t xml:space="preserve">6</w:t>
                  </w:r>
                </w:p>
              </w:txbxContent>
            </v:textbox>
          </v:shape>
        </w:pict>
      </w:r>
    </w:p>
    <w:p>
      <w:pPr>
        <w:sectPr>
          <w:type w:val="nextPage"/>
          <w:pgSz w:w="16838" w:h="11909" w:orient="landscape"/>
          <w:pgMar w:bottom="324" w:top="0" w:right="1440" w:left="1440" w:header="720" w:footer="720"/>
          <w:titlePg w:val="false"/>
          <w:textDirection w:val="lrTb"/>
        </w:sectPr>
      </w:pPr>
    </w:p>
    <w:p>
      <w:pPr>
        <w:spacing w:before="10" w:after="175" w:line="240" w:lineRule="auto"/>
        <w:ind w:right="16" w:left="0"/>
        <w:jc w:val="left"/>
        <w:textAlignment w:val="baseline"/>
      </w:pP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11.75pt;height:12.35pt;z-index:-1;margin-left:44.15pt;margin-top:516.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26" w:after="0" w:line="211" w:lineRule="exact"/>
                    <w:ind w:right="0" w:left="0" w:firstLine="0"/>
                    <w:jc w:val="left"/>
                    <w:textAlignment w:val="baseline"/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</w:pPr>
                  <w:r>
                    <w:rPr>
                      <w:rFonts w:ascii="Calibri" w:hAnsi="Calibri" w:eastAsia="Calibri"/>
                      <w:color w:val="000000"/>
                      <w:spacing w:val="0"/>
                      <w:w w:val="100"/>
                      <w:sz w:val="22"/>
                      <w:vertAlign w:val="baseline"/>
                      <w:lang w:val="en-US"/>
                    </w:rPr>
                    <w:t xml:space="preserve">7</w:t>
                  </w:r>
                </w:p>
              </w:txbxContent>
            </v:textbox>
          </v:shape>
        </w:pict>
      </w:r>
      <w:r>
        <w:drawing>
          <wp:inline>
            <wp:extent cx="5958840" cy="5782310"/>
            <wp:docPr name="Picture" id="2"/>
            <a:graphic>
              <a:graphicData uri="http://schemas.openxmlformats.org/drawingml/2006/picture">
                <pic:pic>
                  <pic:nvPicPr>
                    <pic:cNvPr id="2" name="Picture"/>
                    <pic:cNvPicPr preferRelativeResize="false"/>
                  </pic:nvPicPr>
                  <pic:blipFill>
                    <a:blip r:embed="prId2"/>
                    <a:stretch>
                      <a:fillRect/>
                    </a:stretch>
                  </pic:blipFill>
                  <pic:spPr>
                    <a:xfrm>
                      <a:off x="0" y="0"/>
                      <a:ext cx="5958840" cy="57823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before="10" w:after="175" w:line="240" w:lineRule="auto"/>
        <w:sectPr>
          <w:type w:val="nextPage"/>
          <w:pgSz w:w="11909" w:h="16838" w:orient="portrait"/>
          <w:pgMar w:bottom="3562" w:top="1420" w:right="1079" w:left="1430" w:header="720" w:footer="720"/>
          <w:titlePg w:val="false"/>
          <w:textDirection w:val="lrTb"/>
        </w:sectPr>
      </w:pPr>
    </w:p>
    <w:p>
      <w:pPr>
        <w:tabs>
          <w:tab w:val="right" w:leader="none" w:pos="216"/>
          <w:tab w:val="left" w:leader="none" w:pos="576"/>
        </w:tabs>
        <w:spacing w:before="33" w:after="0" w:line="229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ab/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8	</w:t>
      </w:r>
      <w:r>
        <w:rPr>
          <w:rFonts w:ascii="Calibri" w:hAnsi="Calibri" w:eastAsia="Calibri"/>
          <w:b w:val="true"/>
          <w:color w:val="000000"/>
          <w:spacing w:val="0"/>
          <w:w w:val="100"/>
          <w:sz w:val="23"/>
          <w:vertAlign w:val="baseline"/>
          <w:lang w:val="en-US"/>
        </w:rPr>
        <w:t xml:space="preserve">Figure S2. Antigenic map validation and 3D projection</w:t>
      </w:r>
    </w:p>
    <w:p>
      <w:pPr>
        <w:tabs>
          <w:tab w:val="right" w:leader="none" w:pos="216"/>
          <w:tab w:val="left" w:leader="none" w:pos="576"/>
        </w:tabs>
        <w:spacing w:before="222" w:after="0" w:line="224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ab/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9	</w:t>
      </w:r>
      <w:r>
        <w:rPr>
          <w:rFonts w:ascii="Calibri" w:hAnsi="Calibri" w:eastAsia="Calibri"/>
          <w:b w:val="true"/>
          <w:color w:val="000000"/>
          <w:spacing w:val="0"/>
          <w:w w:val="100"/>
          <w:sz w:val="23"/>
          <w:vertAlign w:val="baseline"/>
          <w:lang w:val="en-US"/>
        </w:rPr>
        <w:t xml:space="preserve">(A) 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Antigenic map from Figure 1, whereby each region (triangulation blob) represents the space</w:t>
      </w:r>
    </w:p>
    <w:p>
      <w:pPr>
        <w:tabs>
          <w:tab w:val="right" w:leader="none" w:pos="216"/>
          <w:tab w:val="left" w:leader="none" w:pos="576"/>
        </w:tabs>
        <w:spacing w:before="64" w:after="0" w:line="224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ab/>
      </w: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 xml:space="preserve">10	</w:t>
      </w: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 xml:space="preserve">where each serum and variant can position without increasing map stress by more than one unit. </w:t>
      </w:r>
      <w:r>
        <w:rPr>
          <w:rFonts w:ascii="Calibri" w:hAnsi="Calibri" w:eastAsia="Calibri"/>
          <w:b w:val="true"/>
          <w:color w:val="000000"/>
          <w:spacing w:val="-1"/>
          <w:w w:val="100"/>
          <w:sz w:val="23"/>
          <w:vertAlign w:val="baseline"/>
          <w:lang w:val="en-US"/>
        </w:rPr>
        <w:t xml:space="preserve">(B)</w:t>
      </w:r>
    </w:p>
    <w:p>
      <w:pPr>
        <w:tabs>
          <w:tab w:val="right" w:leader="none" w:pos="216"/>
          <w:tab w:val="left" w:leader="none" w:pos="576"/>
        </w:tabs>
        <w:spacing w:before="64" w:after="0" w:line="224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ab/>
      </w: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11	</w:t>
      </w: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Correlation between Table distance (obtained from FRNT) and Map distance. </w:t>
      </w:r>
      <w:r>
        <w:rPr>
          <w:rFonts w:ascii="Calibri" w:hAnsi="Calibri" w:eastAsia="Calibri"/>
          <w:b w:val="true"/>
          <w:color w:val="000000"/>
          <w:spacing w:val="-2"/>
          <w:w w:val="100"/>
          <w:sz w:val="23"/>
          <w:vertAlign w:val="baseline"/>
          <w:lang w:val="en-US"/>
        </w:rPr>
        <w:t xml:space="preserve">(C-D) </w:t>
      </w: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Three-dimensional</w:t>
      </w:r>
    </w:p>
    <w:p>
      <w:pPr>
        <w:tabs>
          <w:tab w:val="right" w:leader="none" w:pos="216"/>
          <w:tab w:val="left" w:leader="none" w:pos="576"/>
        </w:tabs>
        <w:spacing w:before="69" w:after="0" w:line="224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ab/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12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view of the antigenic map shown from two different perspectives. </w:t>
      </w:r>
      <w:r>
        <w:rPr>
          <w:rFonts w:ascii="Calibri" w:hAnsi="Calibri" w:eastAsia="Calibri"/>
          <w:b w:val="true"/>
          <w:color w:val="000000"/>
          <w:spacing w:val="0"/>
          <w:w w:val="100"/>
          <w:sz w:val="23"/>
          <w:vertAlign w:val="baseline"/>
          <w:lang w:val="en-US"/>
        </w:rPr>
        <w:t xml:space="preserve">(E) 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Dimensionality test indicating</w:t>
      </w:r>
    </w:p>
    <w:p>
      <w:pPr>
        <w:tabs>
          <w:tab w:val="right" w:leader="none" w:pos="216"/>
          <w:tab w:val="left" w:leader="none" w:pos="576"/>
        </w:tabs>
        <w:spacing w:before="64" w:after="0" w:line="224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ab/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13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the mean root mean square error (RMSE) of detectable neutralizing titers. </w:t>
      </w:r>
      <w:r>
        <w:rPr>
          <w:rFonts w:ascii="Calibri" w:hAnsi="Calibri" w:eastAsia="Calibri"/>
          <w:b w:val="true"/>
          <w:color w:val="000000"/>
          <w:spacing w:val="0"/>
          <w:w w:val="100"/>
          <w:sz w:val="23"/>
          <w:vertAlign w:val="baseline"/>
          <w:lang w:val="en-US"/>
        </w:rPr>
        <w:t xml:space="preserve">(F) 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A 3D antigenic map</w:t>
      </w:r>
    </w:p>
    <w:p>
      <w:pPr>
        <w:tabs>
          <w:tab w:val="right" w:leader="none" w:pos="216"/>
          <w:tab w:val="left" w:leader="none" w:pos="576"/>
        </w:tabs>
        <w:spacing w:before="71" w:after="0" w:line="222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ab/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14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connecting the positions of antigen and antisera to a two-dimensional plane.</w:t>
      </w:r>
    </w:p>
    <w:p>
      <w:pPr>
        <w:sectPr>
          <w:type w:val="continuous"/>
          <w:pgSz w:w="11909" w:h="16838" w:orient="portrait"/>
          <w:pgMar w:bottom="3562" w:top="1420" w:right="1435" w:left="854" w:header="720" w:footer="720"/>
          <w:titlePg w:val="false"/>
          <w:textDirection w:val="lrTb"/>
        </w:sectPr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679"/>
        <w:gridCol w:w="9921"/>
      </w:tblGrid>
      <w:tr>
        <w:trPr>
          <w:trHeight w:val="4395" w:hRule="exact"/>
        </w:trPr>
        <w:tc>
          <w:tcPr>
            <w:tcW w:w="679" w:type="dxa"/>
            <w:tcBorders>
              <w:top w:val="none"/>
              <w:left w:val="none"/>
              <w:bottom w:val="none"/>
              <w:right w:val="none"/>
            </w:tcBorders>
            <w:textDirection w:val="lrTb"/>
            <w:vAlign w:val="bottom"/>
          </w:tcPr>
          <w:p>
            <w:pPr>
              <w:spacing w:before="4195" w:after="0" w:line="188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  <w:t xml:space="preserve">15</w:t>
            </w:r>
          </w:p>
        </w:tc>
        <w:tc>
          <w:tcPr>
            <w:tcW w:w="9921" w:type="dxa"/>
            <w:tcBorders>
              <w:top w:val="none"/>
              <w:left w:val="none"/>
              <w:bottom w:val="none"/>
              <w:right w:val="none"/>
            </w:tcBorders>
            <w:textDirection w:val="lrTb"/>
            <w:vAlign w:val="top"/>
          </w:tcPr>
          <w:p>
            <w:pPr>
              <w:spacing w:before="10" w:after="12" w:line="240" w:lineRule="auto"/>
              <w:ind w:right="4" w:left="0"/>
              <w:jc w:val="center"/>
              <w:textAlignment w:val="baseline"/>
            </w:pPr>
            <w:r>
              <w:drawing>
                <wp:inline>
                  <wp:extent cx="6297295" cy="2764790"/>
                  <wp:docPr name="Picture" id="3"/>
                  <a:graphic>
                    <a:graphicData uri="http://schemas.openxmlformats.org/drawingml/2006/picture">
                      <pic:pic>
                        <pic:nvPicPr>
                          <pic:cNvPr id="3" name="Picture"/>
                          <pic:cNvPicPr preferRelativeResize="false"/>
                        </pic:nvPicPr>
                        <pic:blipFill>
                          <a:blip r:embed="prId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7295" cy="276479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0" w:after="124" w:line="20" w:lineRule="exact"/>
      </w:pPr>
    </w:p>
    <w:p>
      <w:pPr>
        <w:tabs>
          <w:tab w:val="left" w:leader="none" w:pos="720"/>
        </w:tabs>
        <w:spacing w:before="26" w:after="0" w:line="26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 xml:space="preserve">16	</w:t>
      </w:r>
      <w:r>
        <w:rPr>
          <w:rFonts w:ascii="Calibri" w:hAnsi="Calibri" w:eastAsia="Calibri"/>
          <w:b w:val="true"/>
          <w:color w:val="000000"/>
          <w:spacing w:val="-1"/>
          <w:w w:val="100"/>
          <w:sz w:val="22"/>
          <w:vertAlign w:val="baseline"/>
          <w:lang w:val="en-US"/>
        </w:rPr>
        <w:t xml:space="preserve">Figure S3. JN.1 vaccine-induced effects </w:t>
      </w:r>
      <w:r>
        <w:rPr>
          <w:rFonts w:ascii="Calibri" w:hAnsi="Calibri" w:eastAsia="Calibri"/>
          <w:b w:val="true"/>
          <w:i w:val="true"/>
          <w:color w:val="000000"/>
          <w:spacing w:val="-1"/>
          <w:w w:val="100"/>
          <w:sz w:val="22"/>
          <w:vertAlign w:val="baseline"/>
          <w:lang w:val="en-US"/>
        </w:rPr>
        <w:t xml:space="preserve">in vivo</w:t>
      </w:r>
    </w:p>
    <w:p>
      <w:pPr>
        <w:tabs>
          <w:tab w:val="left" w:leader="none" w:pos="720"/>
        </w:tabs>
        <w:spacing w:before="209" w:after="0" w:line="223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17	</w:t>
      </w:r>
      <w:r>
        <w:rPr>
          <w:rFonts w:ascii="Calibri" w:hAnsi="Calibri" w:eastAsia="Calibri"/>
          <w:b w:val="true"/>
          <w:color w:val="000000"/>
          <w:spacing w:val="0"/>
          <w:w w:val="100"/>
          <w:sz w:val="22"/>
          <w:vertAlign w:val="baseline"/>
          <w:lang w:val="en-US"/>
        </w:rPr>
        <w:t xml:space="preserve">(A) 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Progression of relative body weight over a course of 14 dpi. Dotted line indicates the humane</w:t>
      </w:r>
    </w:p>
    <w:p>
      <w:pPr>
        <w:tabs>
          <w:tab w:val="left" w:leader="none" w:pos="720"/>
        </w:tabs>
        <w:spacing w:before="70" w:after="0" w:line="223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18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endpoint of maximum body weight loss. </w:t>
      </w:r>
      <w:r>
        <w:rPr>
          <w:rFonts w:ascii="Calibri" w:hAnsi="Calibri" w:eastAsia="Calibri"/>
          <w:b w:val="true"/>
          <w:color w:val="000000"/>
          <w:spacing w:val="0"/>
          <w:w w:val="100"/>
          <w:sz w:val="22"/>
          <w:vertAlign w:val="baseline"/>
          <w:lang w:val="en-US"/>
        </w:rPr>
        <w:t xml:space="preserve">(B) 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qRT-PCR results of bulk fecal samples that were collected</w:t>
      </w:r>
    </w:p>
    <w:p>
      <w:pPr>
        <w:tabs>
          <w:tab w:val="left" w:leader="none" w:pos="720"/>
        </w:tabs>
        <w:spacing w:before="65" w:after="0" w:line="222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19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for each cage. Results are depicted in PFUeq./ml. Statistical significant differences were measured by</w:t>
      </w:r>
    </w:p>
    <w:p>
      <w:pPr>
        <w:tabs>
          <w:tab w:val="left" w:leader="none" w:pos="720"/>
        </w:tabs>
        <w:spacing w:before="66" w:after="0" w:line="222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20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Mann-Whitney test with multiple comparisons according to the Holm-Šídák method. Error bars</w:t>
      </w:r>
    </w:p>
    <w:p>
      <w:pPr>
        <w:tabs>
          <w:tab w:val="left" w:leader="none" w:pos="720"/>
        </w:tabs>
        <w:spacing w:before="71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21	</w:t>
      </w: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represent interquartile range.</w:t>
      </w:r>
    </w:p>
    <w:p>
      <w:pPr>
        <w:spacing w:before="225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22</w:t>
      </w:r>
    </w:p>
    <w:p>
      <w:pPr>
        <w:sectPr>
          <w:type w:val="nextPage"/>
          <w:pgSz w:w="11909" w:h="16838" w:orient="portrait"/>
          <w:pgMar w:bottom="8142" w:top="1420" w:right="558" w:left="751" w:header="720" w:footer="720"/>
          <w:titlePg w:val="false"/>
          <w:textDirection w:val="lrTb"/>
        </w:sectPr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600"/>
        <w:gridCol w:w="9020"/>
      </w:tblGrid>
      <w:tr>
        <w:trPr>
          <w:trHeight w:val="8513" w:hRule="exact"/>
        </w:trPr>
        <w:tc>
          <w:tcPr>
            <w:tcW w:w="600" w:type="dxa"/>
            <w:tcBorders>
              <w:top w:val="none"/>
              <w:left w:val="none"/>
              <w:bottom w:val="none"/>
              <w:right w:val="none"/>
            </w:tcBorders>
            <w:textDirection w:val="lrTb"/>
            <w:vAlign w:val="bottom"/>
          </w:tcPr>
          <w:p>
            <w:pPr>
              <w:spacing w:before="8309" w:after="0" w:line="192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  <w:t xml:space="preserve">23</w:t>
            </w:r>
          </w:p>
        </w:tc>
        <w:tc>
          <w:tcPr>
            <w:tcW w:w="9020" w:type="dxa"/>
            <w:tcBorders>
              <w:top w:val="none"/>
              <w:left w:val="none"/>
              <w:bottom w:val="none"/>
              <w:right w:val="none"/>
            </w:tcBorders>
            <w:textDirection w:val="lrTb"/>
            <w:vAlign w:val="top"/>
          </w:tcPr>
          <w:p>
            <w:pPr>
              <w:spacing w:before="10" w:after="16" w:line="240" w:lineRule="auto"/>
              <w:ind w:right="269" w:left="0"/>
              <w:jc w:val="left"/>
              <w:textAlignment w:val="baseline"/>
            </w:pPr>
            <w:r>
              <w:drawing>
                <wp:inline>
                  <wp:extent cx="5556885" cy="5377180"/>
                  <wp:docPr name="Picture" id="4"/>
                  <a:graphic>
                    <a:graphicData uri="http://schemas.openxmlformats.org/drawingml/2006/picture">
                      <pic:pic>
                        <pic:nvPicPr>
                          <pic:cNvPr id="4" name="Picture"/>
                          <pic:cNvPicPr preferRelativeResize="false"/>
                        </pic:nvPicPr>
                        <pic:blipFill>
                          <a:blip r:embed="p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6885" cy="53771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0" w:after="124" w:line="20" w:lineRule="exact"/>
      </w:pPr>
    </w:p>
    <w:p>
      <w:pPr>
        <w:tabs>
          <w:tab w:val="left" w:leader="none" w:pos="576"/>
        </w:tabs>
        <w:spacing w:before="38" w:after="0" w:line="229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-3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3"/>
          <w:w w:val="100"/>
          <w:sz w:val="22"/>
          <w:vertAlign w:val="baseline"/>
          <w:lang w:val="en-US"/>
        </w:rPr>
        <w:t xml:space="preserve">24	</w:t>
      </w:r>
      <w:r>
        <w:rPr>
          <w:rFonts w:ascii="Calibri" w:hAnsi="Calibri" w:eastAsia="Calibri"/>
          <w:b w:val="true"/>
          <w:color w:val="000000"/>
          <w:spacing w:val="-3"/>
          <w:w w:val="100"/>
          <w:sz w:val="23"/>
          <w:vertAlign w:val="baseline"/>
          <w:lang w:val="en-US"/>
        </w:rPr>
        <w:t xml:space="preserve">Figure S4. Viral titration of lower respiratory tract tissues</w:t>
      </w:r>
    </w:p>
    <w:p>
      <w:pPr>
        <w:tabs>
          <w:tab w:val="left" w:leader="none" w:pos="576"/>
        </w:tabs>
        <w:spacing w:before="217" w:after="0" w:line="226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25	</w:t>
      </w: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qRT-PCR results of respiratory tissue homogenates from </w:t>
      </w:r>
      <w:r>
        <w:rPr>
          <w:rFonts w:ascii="Calibri" w:hAnsi="Calibri" w:eastAsia="Calibri"/>
          <w:b w:val="true"/>
          <w:color w:val="000000"/>
          <w:spacing w:val="-2"/>
          <w:w w:val="100"/>
          <w:sz w:val="23"/>
          <w:vertAlign w:val="baseline"/>
          <w:lang w:val="en-US"/>
        </w:rPr>
        <w:t xml:space="preserve">(A) </w:t>
      </w: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trachea 4 dpi and </w:t>
      </w:r>
      <w:r>
        <w:rPr>
          <w:rFonts w:ascii="Calibri" w:hAnsi="Calibri" w:eastAsia="Calibri"/>
          <w:b w:val="true"/>
          <w:color w:val="000000"/>
          <w:spacing w:val="-2"/>
          <w:w w:val="100"/>
          <w:sz w:val="23"/>
          <w:vertAlign w:val="baseline"/>
          <w:lang w:val="en-US"/>
        </w:rPr>
        <w:t xml:space="preserve">(B) </w:t>
      </w: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trachea and lung 14</w:t>
      </w:r>
    </w:p>
    <w:p>
      <w:pPr>
        <w:tabs>
          <w:tab w:val="left" w:leader="none" w:pos="576"/>
        </w:tabs>
        <w:spacing w:before="70" w:after="0" w:line="221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26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dpi, depicted in PFUeq./g tissue and results of plaque assay to determine infectious virus in PFU/g</w:t>
      </w:r>
    </w:p>
    <w:p>
      <w:pPr>
        <w:tabs>
          <w:tab w:val="left" w:leader="none" w:pos="576"/>
        </w:tabs>
        <w:spacing w:before="67" w:after="0" w:line="221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27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tissue. Statistical significant differences were measured by Mann-Whitney test. Error bars represent</w:t>
      </w:r>
    </w:p>
    <w:p>
      <w:pPr>
        <w:tabs>
          <w:tab w:val="left" w:leader="none" w:pos="576"/>
        </w:tabs>
        <w:spacing w:before="72" w:after="0" w:line="221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28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interquartile range. Dotted lines represent the lower limit of detection and symbols represent</w:t>
      </w:r>
    </w:p>
    <w:p>
      <w:pPr>
        <w:tabs>
          <w:tab w:val="left" w:leader="none" w:pos="576"/>
        </w:tabs>
        <w:spacing w:before="67" w:after="0" w:line="221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29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individual measurements for each animal. Six animals were included per experimental condition.</w:t>
      </w:r>
    </w:p>
    <w:p>
      <w:pPr>
        <w:tabs>
          <w:tab w:val="left" w:leader="none" w:pos="576"/>
        </w:tabs>
        <w:spacing w:before="67" w:after="0" w:line="221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30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*p&lt;0.05, **p&lt;0.005.</w:t>
      </w:r>
    </w:p>
    <w:p>
      <w:pPr>
        <w:sectPr>
          <w:type w:val="nextPage"/>
          <w:pgSz w:w="11909" w:h="16838" w:orient="portrait"/>
          <w:pgMar w:bottom="4182" w:top="1420" w:right="1459" w:left="830" w:header="720" w:footer="720"/>
          <w:titlePg w:val="false"/>
          <w:textDirection w:val="lrTb"/>
        </w:sectPr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768"/>
        <w:gridCol w:w="9832"/>
      </w:tblGrid>
      <w:tr>
        <w:trPr>
          <w:trHeight w:val="5000" w:hRule="exact"/>
        </w:trPr>
        <w:tc>
          <w:tcPr>
            <w:tcW w:w="768" w:type="dxa"/>
            <w:tcBorders>
              <w:top w:val="none"/>
              <w:left w:val="none"/>
              <w:bottom w:val="none"/>
              <w:right w:val="none"/>
            </w:tcBorders>
            <w:textDirection w:val="lrTb"/>
            <w:vAlign w:val="bottom"/>
          </w:tcPr>
          <w:p>
            <w:pPr>
              <w:spacing w:before="4795" w:after="0" w:line="193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  <w:t xml:space="preserve">31</w:t>
            </w:r>
          </w:p>
        </w:tc>
        <w:tc>
          <w:tcPr>
            <w:tcW w:w="9832" w:type="dxa"/>
            <w:tcBorders>
              <w:top w:val="none"/>
              <w:left w:val="none"/>
              <w:bottom w:val="none"/>
              <w:right w:val="none"/>
            </w:tcBorders>
            <w:textDirection w:val="lrTb"/>
            <w:vAlign w:val="top"/>
          </w:tcPr>
          <w:p>
            <w:pPr>
              <w:spacing w:before="10" w:after="17" w:line="240" w:lineRule="auto"/>
              <w:ind w:right="184" w:left="0"/>
              <w:jc w:val="left"/>
              <w:textAlignment w:val="baseline"/>
            </w:pPr>
            <w:r>
              <w:drawing>
                <wp:inline>
                  <wp:extent cx="6126480" cy="3145790"/>
                  <wp:docPr name="Picture" id="5"/>
                  <a:graphic>
                    <a:graphicData uri="http://schemas.openxmlformats.org/drawingml/2006/picture">
                      <pic:pic>
                        <pic:nvPicPr>
                          <pic:cNvPr id="5" name="Picture"/>
                          <pic:cNvPicPr preferRelativeResize="false"/>
                        </pic:nvPicPr>
                        <pic:blipFill>
                          <a:blip r:embed="p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0" cy="314579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0" w:after="124" w:line="20" w:lineRule="exact"/>
      </w:pPr>
    </w:p>
    <w:p>
      <w:pPr>
        <w:tabs>
          <w:tab w:val="left" w:leader="none" w:pos="792"/>
        </w:tabs>
        <w:spacing w:before="40" w:after="0" w:line="226" w:lineRule="exact"/>
        <w:ind w:right="0" w:left="144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32	</w:t>
      </w:r>
      <w:r>
        <w:rPr>
          <w:rFonts w:ascii="Calibri" w:hAnsi="Calibri" w:eastAsia="Calibri"/>
          <w:b w:val="true"/>
          <w:color w:val="000000"/>
          <w:spacing w:val="0"/>
          <w:w w:val="100"/>
          <w:sz w:val="22"/>
          <w:vertAlign w:val="baseline"/>
          <w:lang w:val="en-US"/>
        </w:rPr>
        <w:t xml:space="preserve">Figure S5. JN.1 vaccine-induced effects on host gene expression in lungs</w:t>
      </w:r>
    </w:p>
    <w:p>
      <w:pPr>
        <w:tabs>
          <w:tab w:val="left" w:leader="none" w:pos="792"/>
        </w:tabs>
        <w:spacing w:before="225" w:after="0" w:line="222" w:lineRule="exact"/>
        <w:ind w:right="0" w:left="144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33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qRT-PCR results of host gene expression. Values of challenged animals were compared to a historical,</w:t>
      </w:r>
    </w:p>
    <w:p>
      <w:pPr>
        <w:tabs>
          <w:tab w:val="left" w:leader="none" w:pos="792"/>
        </w:tabs>
        <w:spacing w:before="71" w:after="0" w:line="222" w:lineRule="exact"/>
        <w:ind w:right="0" w:left="144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34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non-infected control group and with the ΔΔCt-method, the fold-change induction was calculated.</w:t>
      </w:r>
    </w:p>
    <w:p>
      <w:pPr>
        <w:tabs>
          <w:tab w:val="left" w:leader="none" w:pos="792"/>
        </w:tabs>
        <w:spacing w:before="66" w:after="0" w:line="222" w:lineRule="exact"/>
        <w:ind w:right="0" w:left="144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35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Symbols represent individual measurements for each animal. Six animals were included per</w:t>
      </w:r>
    </w:p>
    <w:p>
      <w:pPr>
        <w:tabs>
          <w:tab w:val="left" w:leader="none" w:pos="792"/>
        </w:tabs>
        <w:spacing w:before="66" w:after="0" w:line="222" w:lineRule="exact"/>
        <w:ind w:right="0" w:left="144" w:firstLine="0"/>
        <w:jc w:val="left"/>
        <w:textAlignment w:val="baseline"/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 xml:space="preserve">36	</w:t>
      </w: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 xml:space="preserve">experimental condition.</w:t>
      </w:r>
    </w:p>
    <w:p>
      <w:pPr>
        <w:sectPr>
          <w:type w:val="nextPage"/>
          <w:pgSz w:w="11909" w:h="16838" w:orient="portrait"/>
          <w:pgMar w:bottom="8282" w:top="1420" w:right="647" w:left="662" w:header="720" w:footer="720"/>
          <w:titlePg w:val="false"/>
          <w:textDirection w:val="lrTb"/>
        </w:sectPr>
      </w:pPr>
    </w:p>
    <w:p>
      <w:pPr>
        <w:spacing w:before="0" w:after="0" w:line="240" w:lineRule="auto"/>
        <w:ind w:right="0" w:left="0" w:firstLine="0"/>
        <w:jc w:val="left"/>
        <w:textAlignment w:val="baseline"/>
        <w:rPr>
          <w:rFonts w:ascii="Times New Roman" w:hAnsi="Times New Roman" w:eastAsia="Times New Roman"/>
          <w:color w:val="000000"/>
          <w:w w:val="100"/>
          <w:sz w:val="24"/>
          <w:vertAlign w:val="baseline"/>
          <w:lang w:val="en-US"/>
        </w:rPr>
      </w:pP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EFFFE" stroked="f" style="position:absolute;width:595.3pt;height:842.05pt;z-index:-999;margin-left:0pt;margin-top:0pt;mso-position-horizontal-relative:page;mso-position-vertical-relative:page">
            <v:textbox>
              <w:txbxContent/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EFFFE" stroked="f" style="position:absolute;width:527.6pt;height:695.5pt;z-index:-1;margin-left:37.25pt;margin-top:71.65pt;mso-wrap-distance-left:0pt;mso-wrap-distance-right:0pt;mso-position-horizontal-relative:page;mso-position-vertical-relative:page">
            <w10:wrap type="square"/>
            <v:textbox inset="0pt, 0pt, 0pt, 0pt">
              <w:txbxContent/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522.65pt;height:692.85pt;z-index:-1;margin-left:42.2pt;margin-top:71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0" w:after="0" w:line="240" w:lineRule="auto"/>
                    <w:ind w:right="0" w:left="0"/>
                    <w:jc w:val="left"/>
                    <w:textAlignment w:val="baseline"/>
                  </w:pPr>
                  <w:r>
                    <w:drawing>
                      <wp:inline>
                        <wp:extent cx="6637655" cy="8799195"/>
                        <wp:docPr name="Picture" id="6"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Picture"/>
                                <pic:cNvPicPr preferRelativeResize="false"/>
                              </pic:nvPicPr>
                              <pic:blipFill>
                                <a:blip r:embed="p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37655" cy="8799195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20.05pt;height:13.4pt;z-index:-1;margin-left:37.25pt;margin-top:753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28" w:after="0" w:line="233" w:lineRule="exact"/>
                    <w:ind w:right="0" w:left="0" w:firstLine="0"/>
                    <w:jc w:val="left"/>
                    <w:textAlignment w:val="baseline"/>
                    <w:rPr>
                      <w:rFonts w:ascii="Calibri" w:hAnsi="Calibri" w:eastAsia="Calibri"/>
                      <w:color w:val="040405"/>
                      <w:spacing w:val="0"/>
                      <w:w w:val="100"/>
                      <w:sz w:val="22"/>
                      <w:vertAlign w:val="baseline"/>
                      <w:lang w:val="en-US"/>
                    </w:rPr>
                  </w:pPr>
                  <w:r>
                    <w:rPr>
                      <w:rFonts w:ascii="Calibri" w:hAnsi="Calibri" w:eastAsia="Calibri"/>
                      <w:color w:val="040405"/>
                      <w:spacing w:val="0"/>
                      <w:w w:val="100"/>
                      <w:sz w:val="22"/>
                      <w:vertAlign w:val="baseline"/>
                      <w:lang w:val="en-US"/>
                    </w:rPr>
                    <w:t xml:space="preserve">37</w:t>
                  </w:r>
                </w:p>
              </w:txbxContent>
            </v:textbox>
          </v:shape>
        </w:pict>
      </w:r>
    </w:p>
    <w:p>
      <w:pPr>
        <w:sectPr>
          <w:type w:val="nextPage"/>
          <w:pgSz w:w="11906" w:h="16841" w:orient="portrait"/>
          <w:pgMar w:bottom="324" w:top="0" w:right="1440" w:left="1440" w:header="720" w:footer="720"/>
          <w:titlePg w:val="false"/>
          <w:textDirection w:val="lrTb"/>
        </w:sectPr>
      </w:pPr>
    </w:p>
    <w:p>
      <w:pPr>
        <w:tabs>
          <w:tab w:val="left" w:leader="none" w:pos="720"/>
        </w:tabs>
        <w:spacing w:before="44" w:after="0" w:line="226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38	</w:t>
      </w:r>
      <w:r>
        <w:rPr>
          <w:rFonts w:ascii="Calibri" w:hAnsi="Calibri" w:eastAsia="Calibri"/>
          <w:b w:val="true"/>
          <w:color w:val="000000"/>
          <w:spacing w:val="0"/>
          <w:w w:val="100"/>
          <w:sz w:val="22"/>
          <w:vertAlign w:val="baseline"/>
          <w:lang w:val="en-US"/>
        </w:rPr>
        <w:t xml:space="preserve">Figure S6. JN.1 vaccine-induced effects in the upper respiratory tract</w:t>
      </w:r>
    </w:p>
    <w:p>
      <w:pPr>
        <w:tabs>
          <w:tab w:val="left" w:leader="none" w:pos="720"/>
        </w:tabs>
        <w:spacing w:before="225" w:after="0" w:line="223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39	</w:t>
      </w:r>
      <w:r>
        <w:rPr>
          <w:rFonts w:ascii="Calibri" w:hAnsi="Calibri" w:eastAsia="Calibri"/>
          <w:b w:val="true"/>
          <w:color w:val="000000"/>
          <w:spacing w:val="0"/>
          <w:w w:val="100"/>
          <w:sz w:val="22"/>
          <w:vertAlign w:val="baseline"/>
          <w:lang w:val="en-US"/>
        </w:rPr>
        <w:t xml:space="preserve">(A) 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qRT-PCR results of nasal turbinate 14 dpi, depicted in PFUeq./g tissue and results of plaque assay</w:t>
      </w:r>
    </w:p>
    <w:p>
      <w:pPr>
        <w:tabs>
          <w:tab w:val="left" w:leader="none" w:pos="720"/>
        </w:tabs>
        <w:spacing w:before="65" w:after="0" w:line="222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40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to determine infectious virus in PFU/g tissue. Statistical significant differences were measured by</w:t>
      </w:r>
    </w:p>
    <w:p>
      <w:pPr>
        <w:tabs>
          <w:tab w:val="left" w:leader="none" w:pos="720"/>
        </w:tabs>
        <w:spacing w:before="71" w:after="0" w:line="222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41	</w:t>
      </w: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Mann-Whitney test. Error bars represent interquartile range. Dotted lines represent the lower limit of</w:t>
      </w:r>
    </w:p>
    <w:p>
      <w:pPr>
        <w:tabs>
          <w:tab w:val="left" w:leader="none" w:pos="720"/>
        </w:tabs>
        <w:spacing w:before="66" w:after="0" w:line="222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42	</w:t>
      </w:r>
      <w:r>
        <w:rPr>
          <w:rFonts w:ascii="Calibri" w:hAnsi="Calibri" w:eastAsia="Calibri"/>
          <w:color w:val="000000"/>
          <w:spacing w:val="-2"/>
          <w:w w:val="100"/>
          <w:sz w:val="22"/>
          <w:vertAlign w:val="baseline"/>
          <w:lang w:val="en-US"/>
        </w:rPr>
        <w:t xml:space="preserve">detection and symbols represent individual measurements for each animal. Six animals were included</w:t>
      </w:r>
    </w:p>
    <w:p>
      <w:pPr>
        <w:tabs>
          <w:tab w:val="left" w:leader="none" w:pos="720"/>
        </w:tabs>
        <w:spacing w:before="66" w:after="0" w:line="223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43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per experimental condition. *p&lt;0.05, **p&lt;0.005. </w:t>
      </w:r>
      <w:r>
        <w:rPr>
          <w:rFonts w:ascii="Calibri" w:hAnsi="Calibri" w:eastAsia="Calibri"/>
          <w:b w:val="true"/>
          <w:color w:val="000000"/>
          <w:spacing w:val="0"/>
          <w:w w:val="100"/>
          <w:sz w:val="22"/>
          <w:vertAlign w:val="baseline"/>
          <w:lang w:val="en-US"/>
        </w:rPr>
        <w:t xml:space="preserve">(B) 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Histopathology panel showing</w:t>
      </w:r>
    </w:p>
    <w:p>
      <w:pPr>
        <w:tabs>
          <w:tab w:val="left" w:leader="none" w:pos="720"/>
        </w:tabs>
        <w:spacing w:before="70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44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immunohistochemistry (IHC) of the nasal turbinate at 4 dpi of mock-vaccinated hamsters compared</w:t>
      </w:r>
    </w:p>
    <w:p>
      <w:pPr>
        <w:tabs>
          <w:tab w:val="left" w:leader="none" w:pos="720"/>
        </w:tabs>
        <w:spacing w:before="67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45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to JN.1-vaccinated hamsters after intranasal challenge with one of three SARS-CoV-2 variants JN.1,</w:t>
      </w:r>
    </w:p>
    <w:p>
      <w:pPr>
        <w:tabs>
          <w:tab w:val="left" w:leader="none" w:pos="720"/>
        </w:tabs>
        <w:spacing w:before="72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 xml:space="preserve">46	</w:t>
      </w: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 xml:space="preserve">KP.2, and KP.3.1.1, from top to bottom respectively. Virus antigen is expressed as reddish-brown</w:t>
      </w:r>
    </w:p>
    <w:p>
      <w:pPr>
        <w:tabs>
          <w:tab w:val="left" w:leader="none" w:pos="720"/>
        </w:tabs>
        <w:spacing w:before="67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47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staining by AEC immunoperoxidase, and hematoxylin counterstain.</w:t>
      </w:r>
    </w:p>
    <w:p>
      <w:pPr>
        <w:spacing w:before="230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48</w:t>
      </w:r>
    </w:p>
    <w:p>
      <w:pPr>
        <w:spacing w:before="226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49</w:t>
      </w:r>
    </w:p>
    <w:p>
      <w:pPr>
        <w:spacing w:before="232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50</w:t>
      </w:r>
    </w:p>
    <w:p>
      <w:pPr>
        <w:spacing w:before="231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51</w:t>
      </w:r>
    </w:p>
    <w:p>
      <w:pPr>
        <w:spacing w:before="226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52</w:t>
      </w:r>
    </w:p>
    <w:p>
      <w:pPr>
        <w:spacing w:before="231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53</w:t>
      </w:r>
    </w:p>
    <w:p>
      <w:pPr>
        <w:spacing w:before="232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54</w:t>
      </w:r>
    </w:p>
    <w:p>
      <w:pPr>
        <w:spacing w:before="231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55</w:t>
      </w:r>
    </w:p>
    <w:p>
      <w:pPr>
        <w:sectPr>
          <w:type w:val="nextPage"/>
          <w:pgSz w:w="11909" w:h="16838" w:orient="portrait"/>
          <w:pgMar w:bottom="8402" w:top="1400" w:right="1428" w:left="741" w:header="720" w:footer="720"/>
          <w:titlePg w:val="false"/>
          <w:textDirection w:val="lrTb"/>
        </w:sectPr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684"/>
        <w:gridCol w:w="9836"/>
      </w:tblGrid>
      <w:tr>
        <w:trPr>
          <w:trHeight w:val="8513" w:hRule="exact"/>
        </w:trPr>
        <w:tc>
          <w:tcPr>
            <w:tcW w:w="684" w:type="dxa"/>
            <w:tcBorders>
              <w:top w:val="none"/>
              <w:left w:val="none"/>
              <w:bottom w:val="none"/>
              <w:right w:val="none"/>
            </w:tcBorders>
            <w:textDirection w:val="lrTb"/>
            <w:vAlign w:val="bottom"/>
          </w:tcPr>
          <w:p>
            <w:pPr>
              <w:spacing w:before="8309" w:after="0" w:line="192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  <w:t xml:space="preserve">56</w:t>
            </w:r>
          </w:p>
        </w:tc>
        <w:tc>
          <w:tcPr>
            <w:tcW w:w="9836" w:type="dxa"/>
            <w:tcBorders>
              <w:top w:val="none"/>
              <w:left w:val="none"/>
              <w:bottom w:val="none"/>
              <w:right w:val="none"/>
            </w:tcBorders>
            <w:textDirection w:val="lrTb"/>
            <w:vAlign w:val="top"/>
          </w:tcPr>
          <w:p>
            <w:pPr>
              <w:spacing w:before="10" w:after="16" w:line="240" w:lineRule="auto"/>
              <w:ind w:right="5" w:left="0"/>
              <w:jc w:val="center"/>
              <w:textAlignment w:val="baseline"/>
            </w:pPr>
            <w:r>
              <w:drawing>
                <wp:inline>
                  <wp:extent cx="6242685" cy="5367655"/>
                  <wp:docPr name="Picture" id="7"/>
                  <a:graphic>
                    <a:graphicData uri="http://schemas.openxmlformats.org/drawingml/2006/picture">
                      <pic:pic>
                        <pic:nvPicPr>
                          <pic:cNvPr id="7" name="Picture"/>
                          <pic:cNvPicPr preferRelativeResize="false"/>
                        </pic:nvPicPr>
                        <pic:blipFill>
                          <a:blip r:embed="p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2685" cy="536765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0" w:after="124" w:line="20" w:lineRule="exact"/>
      </w:pPr>
    </w:p>
    <w:p>
      <w:pPr>
        <w:tabs>
          <w:tab w:val="left" w:leader="none" w:pos="720"/>
        </w:tabs>
        <w:spacing w:before="41" w:after="0" w:line="226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57	</w:t>
      </w:r>
      <w:r>
        <w:rPr>
          <w:rFonts w:ascii="Calibri" w:hAnsi="Calibri" w:eastAsia="Calibri"/>
          <w:b w:val="true"/>
          <w:color w:val="000000"/>
          <w:spacing w:val="0"/>
          <w:w w:val="100"/>
          <w:sz w:val="22"/>
          <w:vertAlign w:val="baseline"/>
          <w:lang w:val="en-US"/>
        </w:rPr>
        <w:t xml:space="preserve">Figure S7. JN.1 vaccine-induced effects on extra respiratory tissues</w:t>
      </w:r>
    </w:p>
    <w:p>
      <w:pPr>
        <w:tabs>
          <w:tab w:val="left" w:leader="none" w:pos="720"/>
        </w:tabs>
        <w:spacing w:before="220" w:after="0" w:line="223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58	</w:t>
      </w:r>
      <w:r>
        <w:rPr>
          <w:rFonts w:ascii="Calibri" w:hAnsi="Calibri" w:eastAsia="Calibri"/>
          <w:b w:val="true"/>
          <w:color w:val="000000"/>
          <w:spacing w:val="0"/>
          <w:w w:val="100"/>
          <w:sz w:val="22"/>
          <w:vertAlign w:val="baseline"/>
          <w:lang w:val="en-US"/>
        </w:rPr>
        <w:t xml:space="preserve">(A) 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qRT-PCR results of extra respiratory tissue homogenates from 4 dpi, depicted in PFUeq./g tissue</w:t>
      </w:r>
    </w:p>
    <w:p>
      <w:pPr>
        <w:tabs>
          <w:tab w:val="left" w:leader="none" w:pos="720"/>
        </w:tabs>
        <w:spacing w:before="70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59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and results of plaque assay to determine infectious virus in PFU/g tissue. Statistical significant</w:t>
      </w:r>
    </w:p>
    <w:p>
      <w:pPr>
        <w:tabs>
          <w:tab w:val="left" w:leader="none" w:pos="720"/>
        </w:tabs>
        <w:spacing w:before="67" w:after="0" w:line="223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60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differences were measured by Mann-Whitney test. Error bars represent interquartile range. </w:t>
      </w:r>
      <w:r>
        <w:rPr>
          <w:rFonts w:ascii="Calibri" w:hAnsi="Calibri" w:eastAsia="Calibri"/>
          <w:b w:val="true"/>
          <w:color w:val="000000"/>
          <w:spacing w:val="0"/>
          <w:w w:val="100"/>
          <w:sz w:val="22"/>
          <w:vertAlign w:val="baseline"/>
          <w:lang w:val="en-US"/>
        </w:rPr>
        <w:t xml:space="preserve">(B) 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qRT-</w:t>
      </w:r>
      <w:r>
        <w:rPr>
          <w:rFonts w:ascii="Calibri" w:hAnsi="Calibri" w:eastAsia="Calibri"/>
          <w:color w:val="000000"/>
          <w:w w:val="100"/>
          <w:sz w:val="24"/>
          <w:vertAlign w:val="baseline"/>
          <w:lang w:val="en-US"/>
        </w:rPr>
        <w:t xml:space="preserve">
</w:t>
      </w:r>
    </w:p>
    <w:p>
      <w:pPr>
        <w:tabs>
          <w:tab w:val="left" w:leader="none" w:pos="720"/>
        </w:tabs>
        <w:spacing w:before="70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61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PCR results of extra respiratory tissue homogenates from 14 dpi, depicted in PFUeq./g tissue and</w:t>
      </w:r>
    </w:p>
    <w:p>
      <w:pPr>
        <w:tabs>
          <w:tab w:val="left" w:leader="none" w:pos="720"/>
        </w:tabs>
        <w:spacing w:before="67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62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results of plaque assay to determine infectious virus in PFU/g tissue. Statistical significant differences</w:t>
      </w:r>
    </w:p>
    <w:p>
      <w:pPr>
        <w:tabs>
          <w:tab w:val="left" w:leader="none" w:pos="720"/>
        </w:tabs>
        <w:spacing w:before="67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63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were measured by Mann-Whitney test. Error bars represent interquartile range. Dotted lines</w:t>
      </w:r>
    </w:p>
    <w:p>
      <w:pPr>
        <w:tabs>
          <w:tab w:val="left" w:leader="none" w:pos="720"/>
        </w:tabs>
        <w:spacing w:before="72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64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represent the lower limit of detection and symbols represent individual measurements for each</w:t>
      </w:r>
    </w:p>
    <w:p>
      <w:pPr>
        <w:tabs>
          <w:tab w:val="left" w:leader="none" w:pos="720"/>
        </w:tabs>
        <w:spacing w:before="67" w:after="0" w:line="221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65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animal. *p&lt;0.05, **p&lt;0.005. Six animals were included per experimental condition.</w:t>
      </w:r>
    </w:p>
    <w:p>
      <w:pPr>
        <w:spacing w:before="230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66</w:t>
      </w:r>
    </w:p>
    <w:p>
      <w:pPr>
        <w:spacing w:before="226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67</w:t>
      </w:r>
    </w:p>
    <w:p>
      <w:pPr>
        <w:spacing w:before="231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68</w:t>
      </w:r>
    </w:p>
    <w:p>
      <w:pPr>
        <w:spacing w:before="232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69</w:t>
      </w:r>
    </w:p>
    <w:p>
      <w:pPr>
        <w:spacing w:before="231" w:after="0" w:line="220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70</w:t>
      </w:r>
    </w:p>
    <w:p>
      <w:pPr>
        <w:spacing w:before="226" w:after="0" w:line="216" w:lineRule="exact"/>
        <w:ind w:right="0" w:left="72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71</w:t>
      </w:r>
    </w:p>
    <w:p>
      <w:pPr>
        <w:sectPr>
          <w:type w:val="nextPage"/>
          <w:pgSz w:w="11909" w:h="16838" w:orient="portrait"/>
          <w:pgMar w:bottom="922" w:top="1420" w:right="643" w:left="746" w:header="720" w:footer="720"/>
          <w:titlePg w:val="false"/>
          <w:textDirection w:val="lrTb"/>
        </w:sectPr>
      </w:pPr>
    </w:p>
    <w:p>
      <w:pPr>
        <w:spacing w:before="52" w:after="0" w:line="20" w:lineRule="exact"/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689"/>
        <w:gridCol w:w="14071"/>
      </w:tblGrid>
      <w:tr>
        <w:trPr>
          <w:trHeight w:val="3265" w:hRule="exact"/>
        </w:trPr>
        <w:tc>
          <w:tcPr>
            <w:tcW w:w="689" w:type="dxa"/>
            <w:tcBorders>
              <w:top w:val="none"/>
              <w:left w:val="none"/>
              <w:bottom w:val="none"/>
              <w:right w:val="none"/>
            </w:tcBorders>
            <w:textDirection w:val="lrTb"/>
            <w:vAlign w:val="top"/>
          </w:tcPr>
          <w:p>
            <w:pPr>
              <w:spacing w:before="0" w:after="0" w:line="177" w:lineRule="exact"/>
              <w:ind w:right="108" w:left="0" w:firstLine="0"/>
              <w:jc w:val="right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  <w:t xml:space="preserve">72</w:t>
            </w:r>
          </w:p>
          <w:p>
            <w:pPr>
              <w:spacing w:before="2900" w:after="0" w:line="183" w:lineRule="exact"/>
              <w:ind w:right="108" w:left="0" w:firstLine="0"/>
              <w:jc w:val="right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22"/>
                <w:vertAlign w:val="baseline"/>
                <w:lang w:val="en-US"/>
              </w:rPr>
              <w:t xml:space="preserve">73</w:t>
            </w:r>
          </w:p>
        </w:tc>
        <w:tc>
          <w:tcPr>
            <w:tcW w:w="14071" w:type="dxa"/>
            <w:tcBorders>
              <w:top w:val="none"/>
              <w:left w:val="none"/>
              <w:bottom w:val="none"/>
              <w:right w:val="none"/>
            </w:tcBorders>
            <w:textDirection w:val="lrTb"/>
            <w:vAlign w:val="top"/>
          </w:tcPr>
          <w:p>
            <w:pPr>
              <w:spacing w:before="1" w:after="0" w:line="240" w:lineRule="auto"/>
              <w:ind w:right="1293" w:left="0"/>
              <w:jc w:val="left"/>
              <w:textAlignment w:val="baseline"/>
            </w:pPr>
            <w:r>
              <w:drawing>
                <wp:inline>
                  <wp:extent cx="8114030" cy="1822450"/>
                  <wp:docPr name="Picture" id="8"/>
                  <a:graphic>
                    <a:graphicData uri="http://schemas.openxmlformats.org/drawingml/2006/picture">
                      <pic:pic>
                        <pic:nvPicPr>
                          <pic:cNvPr id="8" name="Picture"/>
                          <pic:cNvPicPr preferRelativeResize="false"/>
                        </pic:nvPicPr>
                        <pic:blipFill>
                          <a:blip r:embed="p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4030" cy="18224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0" w:after="140" w:line="20" w:lineRule="exact"/>
      </w:pPr>
    </w:p>
    <w:p>
      <w:pPr>
        <w:tabs>
          <w:tab w:val="left" w:leader="none" w:pos="720"/>
        </w:tabs>
        <w:spacing w:before="38" w:after="0" w:line="229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-5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5"/>
          <w:w w:val="100"/>
          <w:sz w:val="22"/>
          <w:vertAlign w:val="baseline"/>
          <w:lang w:val="en-US"/>
        </w:rPr>
        <w:t xml:space="preserve">74	</w:t>
      </w:r>
      <w:r>
        <w:rPr>
          <w:rFonts w:ascii="Calibri" w:hAnsi="Calibri" w:eastAsia="Calibri"/>
          <w:b w:val="true"/>
          <w:color w:val="000000"/>
          <w:spacing w:val="-5"/>
          <w:w w:val="100"/>
          <w:sz w:val="23"/>
          <w:vertAlign w:val="baseline"/>
          <w:lang w:val="en-US"/>
        </w:rPr>
        <w:t xml:space="preserve">Figure S8. Effect of JN.1 vaccination on neutralizing antibody titers</w:t>
      </w:r>
    </w:p>
    <w:p>
      <w:pPr>
        <w:tabs>
          <w:tab w:val="left" w:leader="none" w:pos="720"/>
        </w:tabs>
        <w:spacing w:before="225" w:after="0" w:line="221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 xml:space="preserve">75	</w:t>
      </w: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 xml:space="preserve">FRNT</w:t>
      </w:r>
      <w:r>
        <w:rPr>
          <w:rFonts w:ascii="Calibri" w:hAnsi="Calibri" w:eastAsia="Calibri"/>
          <w:color w:val="000000"/>
          <w:spacing w:val="-1"/>
          <w:w w:val="100"/>
          <w:sz w:val="14"/>
          <w:vertAlign w:val="baseline"/>
          <w:lang w:val="en-US"/>
        </w:rPr>
        <w:t xml:space="preserve">50 </w:t>
      </w:r>
      <w:r>
        <w:rPr>
          <w:rFonts w:ascii="Calibri" w:hAnsi="Calibri" w:eastAsia="Calibri"/>
          <w:color w:val="000000"/>
          <w:spacing w:val="-1"/>
          <w:w w:val="100"/>
          <w:sz w:val="22"/>
          <w:vertAlign w:val="baseline"/>
          <w:lang w:val="en-US"/>
        </w:rPr>
        <w:t xml:space="preserve">neutralizing antibody titers were determined in hamster sera 14 dpi against JN.1, KP.2, and KP.3.1.1. The geometric mean is displayed above the graph,</w:t>
      </w:r>
    </w:p>
    <w:p>
      <w:pPr>
        <w:tabs>
          <w:tab w:val="left" w:leader="none" w:pos="720"/>
        </w:tabs>
        <w:spacing w:before="67" w:after="0" w:line="221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76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error bars indicate 95% confidence interval. Statistical significant differences were measured by Mann-Whitney test. Dotted lines represent the lower limit of</w:t>
      </w:r>
    </w:p>
    <w:p>
      <w:pPr>
        <w:tabs>
          <w:tab w:val="left" w:leader="none" w:pos="720"/>
        </w:tabs>
        <w:spacing w:before="72" w:after="0" w:line="221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77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detection and symbols represent individual measurements for each animal. *p&lt;0.05, **p&lt;0.005. Six animals were included per experimental condition.</w:t>
      </w:r>
    </w:p>
    <w:p>
      <w:pPr>
        <w:spacing w:before="225" w:after="0" w:line="220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78</w:t>
      </w:r>
    </w:p>
    <w:p>
      <w:pPr>
        <w:spacing w:before="231" w:after="0" w:line="220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79</w:t>
      </w:r>
    </w:p>
    <w:p>
      <w:pPr>
        <w:spacing w:before="232" w:after="0" w:line="220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80</w:t>
      </w:r>
    </w:p>
    <w:p>
      <w:pPr>
        <w:spacing w:before="226" w:after="0" w:line="220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81</w:t>
      </w:r>
    </w:p>
    <w:p>
      <w:pPr>
        <w:spacing w:before="231" w:after="0" w:line="220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82</w:t>
      </w:r>
    </w:p>
    <w:p>
      <w:pPr>
        <w:spacing w:before="231" w:after="0" w:line="220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83</w:t>
      </w:r>
    </w:p>
    <w:p>
      <w:pPr>
        <w:spacing w:before="232" w:after="0" w:line="220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84</w:t>
      </w:r>
    </w:p>
    <w:p>
      <w:pPr>
        <w:spacing w:before="226" w:after="0" w:line="220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85</w:t>
      </w:r>
    </w:p>
    <w:p>
      <w:pPr>
        <w:spacing w:before="231" w:after="0" w:line="216" w:lineRule="exact"/>
        <w:ind w:right="0" w:left="0" w:firstLine="0"/>
        <w:jc w:val="left"/>
        <w:textAlignment w:val="baseline"/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</w:pP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86</w:t>
      </w:r>
    </w:p>
    <w:p>
      <w:pPr>
        <w:sectPr>
          <w:type w:val="nextPage"/>
          <w:pgSz w:w="16838" w:h="11909" w:orient="landscape"/>
          <w:pgMar w:bottom="1253" w:top="1420" w:right="1620" w:left="458" w:header="720" w:footer="720"/>
          <w:titlePg w:val="false"/>
          <w:textDirection w:val="lrTb"/>
        </w:sectPr>
      </w:pPr>
    </w:p>
    <w:p>
      <w:pPr>
        <w:spacing w:before="1" w:after="0" w:line="20" w:lineRule="exact"/>
      </w:pPr>
    </w:p>
    <w:tbl>
      <w:tblPr>
        <w:jc w:val="left"/>
        <w:tblInd w:w="797" w:type="dxa"/>
        <w:tblLayout w:type="fixed"/>
        <w:tblCellMar>
          <w:left w:w="0" w:type="dxa"/>
          <w:right w:w="0" w:type="dxa"/>
        </w:tblCellMar>
      </w:tblPr>
      <w:tblGrid>
        <w:gridCol w:w="2179"/>
        <w:gridCol w:w="595"/>
        <w:gridCol w:w="312"/>
        <w:gridCol w:w="322"/>
        <w:gridCol w:w="514"/>
        <w:gridCol w:w="590"/>
        <w:gridCol w:w="317"/>
        <w:gridCol w:w="326"/>
        <w:gridCol w:w="504"/>
        <w:gridCol w:w="221"/>
        <w:gridCol w:w="595"/>
        <w:gridCol w:w="317"/>
        <w:gridCol w:w="322"/>
        <w:gridCol w:w="508"/>
        <w:gridCol w:w="596"/>
        <w:gridCol w:w="312"/>
        <w:gridCol w:w="321"/>
        <w:gridCol w:w="509"/>
        <w:gridCol w:w="226"/>
        <w:gridCol w:w="590"/>
        <w:gridCol w:w="317"/>
        <w:gridCol w:w="321"/>
        <w:gridCol w:w="509"/>
        <w:gridCol w:w="595"/>
        <w:gridCol w:w="312"/>
        <w:gridCol w:w="322"/>
        <w:gridCol w:w="523"/>
      </w:tblGrid>
      <w:tr>
        <w:trPr>
          <w:trHeight w:val="672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1743" w:type="dxa"/>
            <w:gridSpan w:val="4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235" w:line="216" w:lineRule="exact"/>
              <w:ind w:right="324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-3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-3"/>
                <w:w w:val="100"/>
                <w:sz w:val="18"/>
                <w:vertAlign w:val="baseline"/>
                <w:lang w:val="en-US"/>
              </w:rPr>
              <w:t xml:space="preserve">Mock vaccinated, JN.1 challenge</w:t>
            </w:r>
          </w:p>
        </w:tc>
        <w:tc>
          <w:tcPr>
            <w:tcW w:w="1233" w:type="dxa"/>
            <w:gridSpan w:val="3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0" w:after="235" w:line="216" w:lineRule="exact"/>
              <w:ind w:right="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-8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-8"/>
                <w:w w:val="100"/>
                <w:sz w:val="18"/>
                <w:vertAlign w:val="baseline"/>
                <w:lang w:val="en-US"/>
              </w:rPr>
              <w:t xml:space="preserve">JN.1 vaccinated, JN.1 challenge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1" w:type="dxa"/>
            <w:vMerge w:val="restart"/>
            <w:tcBorders>
              <w:top w:val="single" w:sz="5" w:color="000000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1742" w:type="dxa"/>
            <w:gridSpan w:val="4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235" w:line="216" w:lineRule="exact"/>
              <w:ind w:right="324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-3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-3"/>
                <w:w w:val="100"/>
                <w:sz w:val="18"/>
                <w:vertAlign w:val="baseline"/>
                <w:lang w:val="en-US"/>
              </w:rPr>
              <w:t xml:space="preserve">Mock vaccinated, KP.2 challenge</w:t>
            </w:r>
          </w:p>
        </w:tc>
        <w:tc>
          <w:tcPr>
            <w:tcW w:w="1738" w:type="dxa"/>
            <w:gridSpan w:val="4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235" w:line="216" w:lineRule="exact"/>
              <w:ind w:right="432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-4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-4"/>
                <w:w w:val="100"/>
                <w:sz w:val="18"/>
                <w:vertAlign w:val="baseline"/>
                <w:lang w:val="en-US"/>
              </w:rPr>
              <w:t xml:space="preserve">JN.1 vaccinated, KP.2 challenge</w:t>
            </w:r>
          </w:p>
        </w:tc>
        <w:tc>
          <w:tcPr>
            <w:tcW w:w="226" w:type="dxa"/>
            <w:vMerge w:val="restart"/>
            <w:tcBorders>
              <w:top w:val="single" w:sz="5" w:color="000000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1737" w:type="dxa"/>
            <w:gridSpan w:val="4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235" w:line="216" w:lineRule="exact"/>
              <w:ind w:right="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Mock vaccinated, KP3.1.1 challenge</w:t>
            </w:r>
          </w:p>
        </w:tc>
        <w:tc>
          <w:tcPr>
            <w:tcW w:w="1752" w:type="dxa"/>
            <w:gridSpan w:val="4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235" w:line="216" w:lineRule="exact"/>
              <w:ind w:right="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JN.1 vaccinated, KP.3.1.1 challenge</w:t>
            </w:r>
          </w:p>
        </w:tc>
      </w:tr>
      <w:tr>
        <w:trPr>
          <w:trHeight w:val="451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14" w:line="213" w:lineRule="exact"/>
              <w:ind w:right="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Severity alveolitis</w:t>
              <w:br/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(0-3)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8" w:after="189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(1, 1,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5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1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2, 1)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8" w:after="189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0.3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5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5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1, 0,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9" w:after="211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8" w:after="189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0.8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5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5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9" w:after="211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8" w:after="189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0.8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5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5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9" w:after="211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8" w:after="189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1.7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5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5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2, 2,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9" w:after="211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8" w:after="189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5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11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1, 1)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</w:tr>
      <w:tr>
        <w:trPr>
          <w:trHeight w:val="667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4" w:line="216" w:lineRule="exact"/>
              <w:ind w:right="396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-2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-2"/>
                <w:w w:val="100"/>
                <w:sz w:val="18"/>
                <w:vertAlign w:val="baseline"/>
                <w:lang w:val="en-US"/>
              </w:rPr>
              <w:t xml:space="preserve">Presence edema alveolar / perivascular </w:t>
            </w:r>
            <w:r>
              <w:rPr>
                <w:rFonts w:ascii="Calibri" w:hAnsi="Calibri" w:eastAsia="Calibri"/>
                <w:color w:val="000000"/>
                <w:spacing w:val="-2"/>
                <w:w w:val="100"/>
                <w:sz w:val="18"/>
                <w:vertAlign w:val="baseline"/>
                <w:lang w:val="en-US"/>
              </w:rPr>
              <w:t xml:space="preserve">(0/1)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4" w:after="404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(1, 1,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3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2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1, 1)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4" w:after="404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0.3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3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3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5" w:after="42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0)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4" w:after="404" w:line="214" w:lineRule="exact"/>
              <w:ind w:right="0" w:left="12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3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2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1, 1)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4" w:after="404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0.5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3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3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5" w:after="42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0)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4" w:after="404" w:line="214" w:lineRule="exact"/>
              <w:ind w:right="0" w:left="115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3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2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4" w:after="404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0.7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3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43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5" w:after="42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</w:tr>
      <w:tr>
        <w:trPr>
          <w:trHeight w:val="452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18" w:line="214" w:lineRule="exact"/>
              <w:ind w:right="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Presence alveolar haemorrhage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(0/1)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0.5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0.2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0)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0.2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0)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0.5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0)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0.7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1, 0,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0.5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</w:tr>
      <w:tr>
        <w:trPr>
          <w:trHeight w:val="446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14" w:line="213" w:lineRule="exact"/>
              <w:ind w:right="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Presence type II</w:t>
              <w:br/>
            </w: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hyperplasia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(0/1)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194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1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194" w:line="214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1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194" w:line="214" w:lineRule="exact"/>
              <w:ind w:right="0" w:left="12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1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194" w:line="214" w:lineRule="exact"/>
              <w:ind w:right="0" w:left="111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1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194" w:line="214" w:lineRule="exact"/>
              <w:ind w:right="0" w:left="115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1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194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0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16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</w:tr>
      <w:tr>
        <w:trPr>
          <w:trHeight w:val="499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67" w:line="216" w:lineRule="exact"/>
              <w:ind w:right="396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-3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-3"/>
                <w:w w:val="100"/>
                <w:sz w:val="18"/>
                <w:vertAlign w:val="baseline"/>
                <w:lang w:val="en-US"/>
              </w:rPr>
              <w:t xml:space="preserve">Severity bronch(iol)itis </w:t>
            </w:r>
            <w:r>
              <w:rPr>
                <w:rFonts w:ascii="Calibri" w:hAnsi="Calibri" w:eastAsia="Calibri"/>
                <w:color w:val="000000"/>
                <w:spacing w:val="-3"/>
                <w:w w:val="100"/>
                <w:sz w:val="18"/>
                <w:vertAlign w:val="baseline"/>
                <w:lang w:val="en-US"/>
              </w:rPr>
              <w:t xml:space="preserve">(0-3)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8" w:after="247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0.9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9" w:after="269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8" w:after="247" w:line="214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69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8" w:after="247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0.9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9" w:after="269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8" w:after="247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0.2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9" w:after="269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0)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8" w:after="247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1.4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1, 2,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9" w:after="269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8" w:after="247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0.3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9" w:after="273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9" w:after="269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</w:tr>
      <w:tr>
        <w:trPr>
          <w:trHeight w:val="451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19" w:line="213" w:lineRule="exact"/>
              <w:ind w:right="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Degree perivascular</w:t>
              <w:br/>
            </w: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cuffing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(0-3)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1.3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0, 2,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2)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0.3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1.2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0, 2,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2, 1,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0.3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1.7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2, 2,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9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0.2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0)</w:t>
            </w:r>
          </w:p>
        </w:tc>
      </w:tr>
      <w:tr>
        <w:trPr>
          <w:trHeight w:val="447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9" w:line="216" w:lineRule="exact"/>
              <w:ind w:right="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Severity lung vasculitis (diapedesis)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(0-3)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4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1.3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(2,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0, 2,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5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4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0.3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5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4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1.7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(2,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0, 2,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2, 2,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5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2)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4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0.3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5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1)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4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1.3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(2,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2, 2,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5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2)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tabs>
                <w:tab w:val="decimal" w:leader="none" w:pos="216"/>
              </w:tabs>
              <w:spacing w:before="34" w:after="193" w:line="214" w:lineRule="exact"/>
              <w:ind w:right="0" w:left="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0.2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5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65" w:after="21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0)</w:t>
            </w:r>
          </w:p>
        </w:tc>
      </w:tr>
      <w:tr>
        <w:trPr>
          <w:trHeight w:val="254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center"/>
          </w:tcPr>
          <w:p>
            <w:pPr>
              <w:spacing w:before="31" w:after="43" w:line="180" w:lineRule="exact"/>
              <w:ind w:right="0" w:left="12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Severity tracheitis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(0-3)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38" w:after="2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8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4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38" w:after="2" w:line="214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8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4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38" w:after="2" w:line="214" w:lineRule="exact"/>
              <w:ind w:right="0" w:left="12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8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4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38" w:after="2" w:line="214" w:lineRule="exact"/>
              <w:ind w:right="0" w:left="111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8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4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38" w:after="2" w:line="214" w:lineRule="exact"/>
              <w:ind w:right="0" w:left="115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8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4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38" w:after="2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8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center"/>
          </w:tcPr>
          <w:p>
            <w:pPr>
              <w:spacing w:before="69" w:after="24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</w:tr>
      <w:tr>
        <w:trPr>
          <w:trHeight w:val="451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14" w:line="216" w:lineRule="exact"/>
              <w:ind w:right="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IHC trachea</w:t>
              <w:br/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8"/>
                <w:vertAlign w:val="baseline"/>
                <w:lang w:val="en-US"/>
              </w:rPr>
              <w:t xml:space="preserve">(0-3)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93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(1, 1,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1, 1)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93" w:line="214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1, 1)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93" w:line="214" w:lineRule="exact"/>
              <w:ind w:right="0" w:left="12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1, 1)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93" w:line="214" w:lineRule="exact"/>
              <w:ind w:right="0" w:left="111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(1, 1,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93" w:line="214" w:lineRule="exact"/>
              <w:ind w:right="0" w:left="115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(1, 1,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93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1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(1, 1,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6" w:line="160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1, 1)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</w:tr>
      <w:tr>
        <w:trPr>
          <w:trHeight w:val="452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14" w:line="213" w:lineRule="exact"/>
              <w:ind w:right="54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-2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-2"/>
                <w:w w:val="100"/>
                <w:sz w:val="18"/>
                <w:vertAlign w:val="baseline"/>
                <w:lang w:val="en-US"/>
              </w:rPr>
              <w:t xml:space="preserve">Small intestine / IHC </w:t>
            </w:r>
            <w:r>
              <w:rPr>
                <w:rFonts w:ascii="Calibri" w:hAnsi="Calibri" w:eastAsia="Calibri"/>
                <w:color w:val="000000"/>
                <w:spacing w:val="-2"/>
                <w:w w:val="100"/>
                <w:sz w:val="18"/>
                <w:vertAlign w:val="baseline"/>
                <w:lang w:val="en-US"/>
              </w:rPr>
              <w:t xml:space="preserve">(0-3)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88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4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0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88" w:line="214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4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0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88" w:line="214" w:lineRule="exact"/>
              <w:ind w:right="0" w:left="12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4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0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88" w:line="214" w:lineRule="exact"/>
              <w:ind w:right="0" w:left="111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4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0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none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88" w:line="214" w:lineRule="exact"/>
              <w:ind w:right="0" w:left="115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4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0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9" w:after="188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4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70" w:after="210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</w:tr>
      <w:tr>
        <w:trPr>
          <w:trHeight w:val="455" w:hRule="exact"/>
        </w:trPr>
        <w:tc>
          <w:tcPr>
            <w:tcW w:w="2179" w:type="dxa"/>
            <w:tcBorders>
              <w:top w:val="single" w:sz="5" w:color="000000"/>
              <w:left w:val="single" w:sz="5" w:color="000000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23" w:line="213" w:lineRule="exact"/>
              <w:ind w:right="540" w:left="108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-2"/>
                <w:w w:val="100"/>
                <w:sz w:val="18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-2"/>
                <w:w w:val="100"/>
                <w:sz w:val="18"/>
                <w:vertAlign w:val="baseline"/>
                <w:lang w:val="en-US"/>
              </w:rPr>
              <w:t xml:space="preserve">Large intestine / IHC </w:t>
            </w:r>
            <w:r>
              <w:rPr>
                <w:rFonts w:ascii="Calibri" w:hAnsi="Calibri" w:eastAsia="Calibri"/>
                <w:color w:val="000000"/>
                <w:spacing w:val="-2"/>
                <w:w w:val="100"/>
                <w:sz w:val="18"/>
                <w:vertAlign w:val="baseline"/>
                <w:lang w:val="en-US"/>
              </w:rPr>
              <w:t xml:space="preserve">(0-3)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203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1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203" w:line="214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6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4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1" w:type="dxa"/>
            <w:vMerge w:val="continue"/>
            <w:tcBorders>
              <w:top w:val="none"/>
              <w:left w:val="single" w:sz="5" w:color="000000"/>
              <w:bottom w:val="single" w:sz="5" w:color="000000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203" w:line="214" w:lineRule="exact"/>
              <w:ind w:right="0" w:left="12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8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6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203" w:line="214" w:lineRule="exact"/>
              <w:ind w:right="0" w:left="111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226" w:type="dxa"/>
            <w:vMerge w:val="continue"/>
            <w:tcBorders>
              <w:top w:val="none"/>
              <w:left w:val="single" w:sz="5" w:color="000000"/>
              <w:bottom w:val="single" w:sz="5" w:color="000000"/>
              <w:right w:val="single" w:sz="5" w:color="000000"/>
            </w:tcBorders>
            <w:shd w:val="clear" w:color="E6E6E6" w:fill="E6E6E6"/>
            <w:textDirection w:val="lrTb"/>
            <w:vAlign w:val="top"/>
          </w:tcPr>
          <w:p/>
        </w:tc>
        <w:tc>
          <w:tcPr>
            <w:tcW w:w="590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203" w:line="214" w:lineRule="exact"/>
              <w:ind w:right="0" w:left="115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7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1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09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  <w:tc>
          <w:tcPr>
            <w:tcW w:w="595" w:type="dxa"/>
            <w:tcBorders>
              <w:top w:val="single" w:sz="5" w:color="000000"/>
              <w:left w:val="single" w:sz="5" w:color="000000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33" w:after="203" w:line="214" w:lineRule="exact"/>
              <w:ind w:right="0" w:left="110" w:firstLine="0"/>
              <w:jc w:val="left"/>
              <w:textAlignment w:val="baseline"/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b w:val="true"/>
                <w:color w:val="000000"/>
                <w:spacing w:val="0"/>
                <w:w w:val="100"/>
                <w:sz w:val="19"/>
                <w:vertAlign w:val="baseline"/>
                <w:lang w:val="en-US"/>
              </w:rPr>
              <w:t xml:space="preserve">0 </w:t>
            </w: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(0, 0,</w:t>
            </w:r>
          </w:p>
        </w:tc>
        <w:tc>
          <w:tcPr>
            <w:tcW w:w="31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9" w:line="157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0, 0,</w:t>
            </w:r>
          </w:p>
        </w:tc>
        <w:tc>
          <w:tcPr>
            <w:tcW w:w="322" w:type="dxa"/>
            <w:tcBorders>
              <w:top w:val="single" w:sz="5" w:color="000000"/>
              <w:left w:val="none"/>
              <w:bottom w:val="single" w:sz="5" w:color="000000"/>
              <w:right w:val="none"/>
            </w:tcBorders>
            <w:textDirection w:val="lrTb"/>
            <w:vAlign w:val="top"/>
          </w:tcPr>
          <w:p>
            <w:pPr>
              <w:spacing w:before="64" w:after="225" w:line="161" w:lineRule="exact"/>
              <w:ind w:right="0" w:left="0" w:firstLine="0"/>
              <w:jc w:val="center"/>
              <w:textAlignment w:val="baseline"/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spacing w:val="0"/>
                <w:w w:val="100"/>
                <w:sz w:val="16"/>
                <w:vertAlign w:val="baseline"/>
                <w:lang w:val="en-US"/>
              </w:rPr>
              <w:t xml:space="preserve">0, 0)</w:t>
            </w:r>
          </w:p>
        </w:tc>
        <w:tc>
          <w:tcPr>
            <w:tcW w:w="523" w:type="dxa"/>
            <w:tcBorders>
              <w:top w:val="single" w:sz="5" w:color="000000"/>
              <w:left w:val="none"/>
              <w:bottom w:val="single" w:sz="5" w:color="000000"/>
              <w:right w:val="single" w:sz="5" w:color="000000"/>
            </w:tcBorders>
            <w:textDirection w:val="lrTb"/>
            <w:vAlign w:val="top"/>
          </w:tcPr>
          <w:p>
            <w:pPr>
              <w:spacing w:before="0" w:after="0" w:line="240" w:lineRule="auto"/>
              <w:ind w:right="0" w:left="0" w:firstLine="0"/>
              <w:jc w:val="left"/>
              <w:textAlignment w:val="baseline"/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</w:pPr>
            <w:r>
              <w:rPr>
                <w:rFonts w:ascii="Calibri" w:hAnsi="Calibri" w:eastAsia="Calibri"/>
                <w:color w:val="000000"/>
                <w:w w:val="100"/>
                <w:sz w:val="24"/>
                <w:vertAlign w:val="baseline"/>
                <w:lang w:val="en-US"/>
              </w:rPr>
              <w:t xml:space="preserve">
</w:t>
            </w:r>
          </w:p>
        </w:tc>
      </w:tr>
    </w:tbl>
    <w:p>
      <w:pPr>
        <w:spacing w:before="0" w:after="6" w:line="20" w:lineRule="exact"/>
      </w:pPr>
    </w:p>
    <w:p>
      <w:pPr>
        <w:spacing w:before="0" w:after="0" w:line="219" w:lineRule="exact"/>
        <w:ind w:right="0" w:left="216" w:firstLine="0"/>
        <w:jc w:val="left"/>
        <w:textAlignment w:val="baseline"/>
        <w:rPr>
          <w:rFonts w:ascii="Verdana" w:hAnsi="Verdana" w:eastAsia="Verdana"/>
          <w:color w:val="000000"/>
          <w:spacing w:val="-9"/>
          <w:w w:val="100"/>
          <w:sz w:val="18"/>
          <w:vertAlign w:val="baseline"/>
          <w:lang w:val="en-US"/>
        </w:rPr>
      </w:pPr>
      <w:r>
        <w:rPr>
          <w:rFonts w:ascii="Verdana" w:hAnsi="Verdana" w:eastAsia="Verdana"/>
          <w:color w:val="000000"/>
          <w:spacing w:val="-9"/>
          <w:w w:val="100"/>
          <w:sz w:val="18"/>
          <w:vertAlign w:val="baseline"/>
          <w:lang w:val="en-US"/>
        </w:rPr>
        <w:t xml:space="preserve">87</w:t>
      </w:r>
    </w:p>
    <w:p>
      <w:pPr>
        <w:tabs>
          <w:tab w:val="left" w:leader="none" w:pos="792"/>
        </w:tabs>
        <w:spacing w:before="227" w:after="0" w:line="229" w:lineRule="exact"/>
        <w:ind w:right="0" w:left="216" w:firstLine="0"/>
        <w:jc w:val="left"/>
        <w:textAlignment w:val="baseline"/>
        <w:rPr>
          <w:rFonts w:ascii="Verdana" w:hAnsi="Verdana" w:eastAsia="Verdana"/>
          <w:color w:val="000000"/>
          <w:spacing w:val="-3"/>
          <w:w w:val="100"/>
          <w:sz w:val="18"/>
          <w:vertAlign w:val="baseline"/>
          <w:lang w:val="en-US"/>
        </w:rPr>
      </w:pPr>
      <w:r>
        <w:rPr>
          <w:rFonts w:ascii="Verdana" w:hAnsi="Verdana" w:eastAsia="Verdana"/>
          <w:color w:val="000000"/>
          <w:spacing w:val="-3"/>
          <w:w w:val="100"/>
          <w:sz w:val="18"/>
          <w:vertAlign w:val="baseline"/>
          <w:lang w:val="en-US"/>
        </w:rPr>
        <w:t xml:space="preserve">88	</w:t>
      </w:r>
      <w:r>
        <w:rPr>
          <w:rFonts w:ascii="Calibri" w:hAnsi="Calibri" w:eastAsia="Calibri"/>
          <w:b w:val="true"/>
          <w:color w:val="000000"/>
          <w:spacing w:val="-3"/>
          <w:w w:val="100"/>
          <w:sz w:val="23"/>
          <w:vertAlign w:val="baseline"/>
          <w:lang w:val="en-US"/>
        </w:rPr>
        <w:t xml:space="preserve">Supplementary table S1. Histopathological scoring of respiratory and enteric tissue</w:t>
      </w:r>
    </w:p>
    <w:p>
      <w:pPr>
        <w:tabs>
          <w:tab w:val="left" w:leader="none" w:pos="792"/>
        </w:tabs>
        <w:spacing w:before="225" w:after="0" w:line="222" w:lineRule="exact"/>
        <w:ind w:right="0" w:left="216" w:firstLine="0"/>
        <w:jc w:val="left"/>
        <w:textAlignment w:val="baseline"/>
        <w:rPr>
          <w:rFonts w:ascii="Verdana" w:hAnsi="Verdana" w:eastAsia="Verdana"/>
          <w:color w:val="000000"/>
          <w:spacing w:val="0"/>
          <w:w w:val="100"/>
          <w:sz w:val="18"/>
          <w:vertAlign w:val="baseline"/>
          <w:lang w:val="en-US"/>
        </w:rPr>
      </w:pPr>
      <w:r>
        <w:rPr>
          <w:rFonts w:ascii="Verdana" w:hAnsi="Verdana" w:eastAsia="Verdana"/>
          <w:color w:val="000000"/>
          <w:spacing w:val="0"/>
          <w:w w:val="100"/>
          <w:sz w:val="18"/>
          <w:vertAlign w:val="baseline"/>
          <w:lang w:val="en-US"/>
        </w:rPr>
        <w:t xml:space="preserve">89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Tissues from 4 dpi were stained in HE and for viral antigen (n=6 per experimental group). Slides were evaluated by a board-certified veterinary pathologist.</w:t>
      </w:r>
    </w:p>
    <w:p>
      <w:pPr>
        <w:tabs>
          <w:tab w:val="left" w:leader="none" w:pos="792"/>
        </w:tabs>
        <w:spacing w:before="66" w:after="0" w:line="222" w:lineRule="exact"/>
        <w:ind w:right="0" w:left="216" w:firstLine="0"/>
        <w:jc w:val="left"/>
        <w:textAlignment w:val="baseline"/>
        <w:rPr>
          <w:rFonts w:ascii="Verdana" w:hAnsi="Verdana" w:eastAsia="Verdana"/>
          <w:color w:val="000000"/>
          <w:spacing w:val="0"/>
          <w:w w:val="100"/>
          <w:sz w:val="18"/>
          <w:vertAlign w:val="baseline"/>
          <w:lang w:val="en-US"/>
        </w:rPr>
      </w:pPr>
      <w:r>
        <w:rPr>
          <w:rFonts w:ascii="Verdana" w:hAnsi="Verdana" w:eastAsia="Verdana"/>
          <w:color w:val="000000"/>
          <w:spacing w:val="0"/>
          <w:w w:val="100"/>
          <w:sz w:val="18"/>
          <w:vertAlign w:val="baseline"/>
          <w:lang w:val="en-US"/>
        </w:rPr>
        <w:t xml:space="preserve">90	</w:t>
      </w:r>
      <w:r>
        <w:rPr>
          <w:rFonts w:ascii="Calibri" w:hAnsi="Calibri" w:eastAsia="Calibri"/>
          <w:color w:val="000000"/>
          <w:spacing w:val="0"/>
          <w:w w:val="100"/>
          <w:sz w:val="22"/>
          <w:vertAlign w:val="baseline"/>
          <w:lang w:val="en-US"/>
        </w:rPr>
        <w:t xml:space="preserve">Semiquantitative scoring was performed, with ranking from 0-3 (0=non, 1 = mild; 2 = moderate; 3 = severe) or 0-1 (0 = not evident; 1 = evident).</w:t>
      </w:r>
    </w:p>
    <w:p>
      <w:pPr>
        <w:spacing w:before="229" w:after="0" w:line="221" w:lineRule="exact"/>
        <w:ind w:right="0" w:left="216" w:firstLine="0"/>
        <w:jc w:val="left"/>
        <w:textAlignment w:val="baseline"/>
        <w:rPr>
          <w:rFonts w:ascii="Verdana" w:hAnsi="Verdana" w:eastAsia="Verdana"/>
          <w:color w:val="000000"/>
          <w:spacing w:val="0"/>
          <w:w w:val="100"/>
          <w:sz w:val="18"/>
          <w:vertAlign w:val="baseline"/>
          <w:lang w:val="en-US"/>
        </w:rPr>
      </w:pPr>
      <w:r>
        <w:rPr>
          <w:rFonts w:ascii="Verdana" w:hAnsi="Verdana" w:eastAsia="Verdana"/>
          <w:color w:val="000000"/>
          <w:spacing w:val="0"/>
          <w:w w:val="100"/>
          <w:sz w:val="18"/>
          <w:vertAlign w:val="baseline"/>
          <w:lang w:val="en-US"/>
        </w:rPr>
        <w:t xml:space="preserve">91</w:t>
      </w:r>
    </w:p>
    <w:sectPr>
      <w:type w:val="nextPage"/>
      <w:pgSz w:w="16838" w:h="11909" w:orient="landscape"/>
      <w:pgMar w:bottom="2493" w:top="1400" w:right="1742" w:left="336" w:header="720" w:footer="720"/>
      <w:titlePg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Calibri">
    <w:charset w:val="00"/>
    <w:pitch w:val="variable"/>
    <w:family w:val="swiss"/>
    <w:panose1 w:val="02020603050405020304"/>
  </w:font>
  <w:font w:name="Times New Roman">
    <w:charset w:val="00"/>
    <w:pitch w:val="variable"/>
    <w:panose1 w:val="02020603050405020304"/>
  </w:font>
  <w:font w:name="Verdana">
    <w:charset w:val="00"/>
    <w:pitch w:val="variable"/>
    <w:family w:val="swiss"/>
    <w:panose1 w:val="02020603050405020304"/>
  </w:font>
</w:fonts>
</file>

<file path=word/footnotes.xml><?xml version="1.0" encoding="utf-8"?>
<w:footnot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otnote w:type="separator" w:id="-1">
    <w:p/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compat>
    <w:shapeLayoutLikeWW8/>
    <w:doNotUseHTMLParagraphAutoSpacing/>
    <w:applyBreakingRules/>
    <w:useFELayout/>
    <w:doNotUseIndentAsNumberingTabStop/>
    <w:compatSetting w:name="compatibilityMode" w:uri="http://schemas.microsoft.com/office/word" w:val="15"/>
  </w:compat>
  <w:footnotePr>
    <w:footnote w:id="-1"/>
    <w:footnote w:id="0"/>
  </w:footnotePr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docDefaults>
    <w:rPrDefault>
      <w:rPr>
        <w:rFonts w:ascii="Times New Roman" w:hAnsi="Times New Roman" w:eastAsia="PMingLiU" w:cs="Times New Roman"/>
        <w:sz w:val="22"/>
        <w:szCs w:val="22"/>
        <w:lang w:val="en-US" w:eastAsia="en-US" w:bidi="ar-SA"/>
      </w:rPr>
    </w:rPrDefault>
    <w:pPrDefault/>
  </w:docDefaults>
  <w:style w:styleId="DefaultParagraphFont" w:type="paragraph" w:default="1">
    <w:name w:val="Normal"/>
  </w:style>
  <w:style w:styleId="DefaultParagraphFont" w:type="character" w:default="1">
    <w:name w:val="Default Paragraph Font"/>
  </w:style>
</w:styles>
</file>

<file path=word/_rels/document.xml.rels><Relationships xmlns="http://schemas.openxmlformats.org/package/2006/relationships"><Relationship Id="nId" Type="http://schemas.openxmlformats.org/officeDocument/2006/relationships/numbering" Target="numbering.xml"/><Relationship Id="fId" Type="http://schemas.openxmlformats.org/wordprocessingml/2006/fontTable" Target="fontTable.xml"/><Relationship Id="prId1" Type="http://schemas.openxmlformats.org/officeDocument/2006/relationships/image" Target="media/image1.jpg"/><Relationship Id="prId2" Type="http://schemas.openxmlformats.org/officeDocument/2006/relationships/image" Target="media/image2.jpg"/><Relationship Id="prId3" Type="http://schemas.openxmlformats.org/officeDocument/2006/relationships/image" Target="media/image3.jpg"/><Relationship Id="prId4" Type="http://schemas.openxmlformats.org/officeDocument/2006/relationships/image" Target="media/image4.jpg"/><Relationship Id="prId5" Type="http://schemas.openxmlformats.org/officeDocument/2006/relationships/image" Target="media/image5.jpg"/><Relationship Id="prId6" Type="http://schemas.openxmlformats.org/officeDocument/2006/relationships/image" Target="media/image6.jpg"/><Relationship Id="prId7" Type="http://schemas.openxmlformats.org/officeDocument/2006/relationships/image" Target="media/image7.jpg"/><Relationship Id="prId8" Type="http://schemas.openxmlformats.org/officeDocument/2006/relationships/image" Target="media/image8.jpg"/><Relationship Id="styleId" Type="http://schemas.openxmlformats.org/officeDocument/2006/relationships/styles" Target="styles.xml"/><Relationship Id="settingId" Type="http://schemas.openxmlformats.org/officeDocument/2006/relationships/settings" Target="settings.xml"/><Relationship Id="footnotesId" Type="http://schemas.openxmlformats.org/officeDocument/2006/relationships/footnotes" Target="footnotes.xml"/></Relationships>
</file>

<file path=docProps/app.xml><?xml version="1.0" encoding="utf-8"?>
<Properti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 xmlns="http://schemas.openxmlformats.org/officeDocument/2006/extended-properties"/>
</file>

<file path=docProps/core.xml><?xml version="1.0" encoding="utf-8"?>
<cp:coreProperties xmlns:dcterms="http://purl.org/dc/terms/" xmlns:xsi="http://www.w3.org/2001/XMLSchema-instance"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dc:creator>Melanie Rissmann</dc:creator>
  <dcterms:created xsi:type="dcterms:W3CDTF">2025-08-05T14:35:11Z</dcterms:created>
  <dcterms:modified xsi:type="dcterms:W3CDTF">2025-08-05T14:35:11Z</dcterms:modified>
</cp:coreProperties>
</file>