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6A" w:rsidRDefault="007D3D6A" w:rsidP="007D3D6A">
      <w:pPr>
        <w:jc w:val="both"/>
        <w:rPr>
          <w:b/>
        </w:rPr>
      </w:pPr>
      <w:r>
        <w:rPr>
          <w:b/>
        </w:rPr>
        <w:t xml:space="preserve">Supplementary material </w:t>
      </w:r>
    </w:p>
    <w:p w:rsidR="007D3D6A" w:rsidRPr="001C47D4" w:rsidRDefault="007D3D6A" w:rsidP="007D3D6A">
      <w:pPr>
        <w:jc w:val="both"/>
        <w:rPr>
          <w:sz w:val="14"/>
        </w:rPr>
      </w:pPr>
      <w:r w:rsidRPr="001C47D4">
        <w:rPr>
          <w:sz w:val="14"/>
        </w:rPr>
        <w:t>&gt;</w:t>
      </w:r>
      <w:proofErr w:type="spellStart"/>
      <w:r w:rsidRPr="001C47D4">
        <w:rPr>
          <w:sz w:val="14"/>
        </w:rPr>
        <w:t>Protoparvovirus</w:t>
      </w:r>
      <w:proofErr w:type="spellEnd"/>
      <w:r w:rsidRPr="001C47D4">
        <w:rPr>
          <w:sz w:val="14"/>
        </w:rPr>
        <w:t xml:space="preserve"> Uruguay NS1 complete sequence low reliability</w:t>
      </w:r>
    </w:p>
    <w:p w:rsidR="007D3D6A" w:rsidRDefault="007D3D6A" w:rsidP="007D3D6A">
      <w:pPr>
        <w:jc w:val="both"/>
        <w:rPr>
          <w:sz w:val="14"/>
        </w:rPr>
      </w:pPr>
      <w:r w:rsidRPr="001C47D4">
        <w:rPr>
          <w:sz w:val="14"/>
        </w:rPr>
        <w:t>ATGGCACAAGCTATGATTGCAGACGAAGTGACGGAGGCAGTTTCTTGGTTGGTGGCCAATGAAGATCAACAGGGAATTAGTTATGTCTTCAGAATCAAGGACATAACACTAGGAGACGCCACAACAAAAATAACATGGAAAAACTACACCAAAACTCCAGGTCAAAAATGTCTATTTGAATTATTTAAAAATAAGAACATAGCACCAGGAGACATCAAATGGTTTTTACAACCAGAATTTAGCACAGATCAACAATTTCATGTGCATTGCTTACTATGGGGAGAATCAGTAAAACAAATACATGGTAAATGGTGGCAAAAATATCTATCTGCAGCATGGAGCCGATGGCTCACAGCAGCATTAGGCACATTACTTTCACCAGGCACAAGAATGGACATCAGAAACAAAATAGAATCAGACAATTGGATAGACATATTACAATACAAAAATAAAACCACTGCTAAACACTATGTAAAAATGGTAAACATATCTCAAATAATAGCAAATTACTTCTTATTAAAAGATGCATGGTGGCTAAAAAAACCAAGCATCTATTATTGCTCATCAGACAGTGGTCTAAAAATAGACAACCTATCATTTTCACAAAGACTAGCCACAAGCAAACTATTTTTACGCATGCAAGACAAACCAGACACATCTAAAAGACAGATAGAAACCACATCAGCACAAGAACACAAAAAACAAAGAATAGAGACACAAAAAGAAAAAACAGTTAAAGAAACTGTATGCCTATTATTTGACAATAGAGTAATAACTTCTGAAGAATGGGCACTATTTGATCCAGATAGCTATGTTCACATAATGACTCAACCAAACGGAGAAGCTCTCATTCGAAGTATATTAGACATAGTCACATTAAAAATGGCAAAAACAATGACAGCTTTTGAACTAGTAAGAGAAAGACACACTGAAGCCTTAGACAATATAGAAGACACCAAAATATTTCAAATATTCAACCTCAACAAAATGAATCCATTTAAAGTAATACACGCAATCATGTGCTGTCTAAACAAACAAAGTGGCAAACGCAACACAATTTTATTCAACGGGCCAGCTACAACAGGAAAAAGCATATTAGCACAAAGCCTCTGTTACTTAGTTAGCAATGTAGGCTGCTATAATCCAGCCAATGTAAACTTTCCATTTAATGACTGTACAAATAAAAATATCATCTGGGTAGAAGAAGCAGCTAGCTTTGGACAACAAGTAAACCAATTTAAAGCTATTTGCAGCGGTCAGACTATCCGCATAGATCAAAAAGGAAAAGGCAGTAAAACTATAGAACCAACACCAGTAGTCATGACTACTAATGAAGACATAACAGAAGTCCGCATAGGCTGTGAAATCAGACCAGAACACACTCAGCCAATCAAAGACAGNATGTTAAACATAAAATTAACACATAGACTACCAGGAGACTTTGGACTGATACCTACAACTGAATGGGCTAACATATTTGACTGGATGGTTGCTTGCTTTTATGAACCAACTATGGCTAACTATATTAAACGCTGGGGACGCACCCCTGTCTGGGAAGAAGATTGGACTAGTCCAAGCCTTATAAAACCAGGACCAGGCTCATCACTTCTCATTCAAGCAGATGTCCATGCTCCACGAGGAGAAGAAACATACACTCCTCCAGATCTAGCAGACCTGCTAGATGCTTGGGAAACTTCTGAGAAAGTAAATTCTCAGAAACTCAACGACAGTCTGCTAGAAGAAGACACCACATCCTCTCACGAGCCTGAGAACAACTAA</w:t>
      </w:r>
    </w:p>
    <w:p w:rsidR="00813D92" w:rsidRDefault="00813D92" w:rsidP="007D3D6A">
      <w:pPr>
        <w:jc w:val="both"/>
        <w:rPr>
          <w:sz w:val="14"/>
        </w:rPr>
      </w:pPr>
    </w:p>
    <w:p w:rsidR="004C306B" w:rsidRDefault="004C306B" w:rsidP="00813D92">
      <w:pPr>
        <w:spacing w:line="480" w:lineRule="auto"/>
        <w:jc w:val="both"/>
        <w:rPr>
          <w:b/>
          <w:sz w:val="20"/>
        </w:rPr>
      </w:pPr>
      <w:bookmarkStart w:id="0" w:name="_GoBack"/>
      <w:bookmarkEnd w:id="0"/>
    </w:p>
    <w:p w:rsidR="00813D92" w:rsidRPr="00813D92" w:rsidRDefault="00813D92" w:rsidP="00813D92">
      <w:pPr>
        <w:spacing w:line="480" w:lineRule="auto"/>
        <w:jc w:val="both"/>
        <w:rPr>
          <w:b/>
        </w:rPr>
      </w:pPr>
      <w:r w:rsidRPr="00813D92">
        <w:rPr>
          <w:b/>
          <w:sz w:val="20"/>
        </w:rPr>
        <w:t>Tab</w:t>
      </w:r>
      <w:r w:rsidRPr="00813D92">
        <w:rPr>
          <w:b/>
          <w:sz w:val="20"/>
        </w:rPr>
        <w:t>le S1</w:t>
      </w:r>
      <w:r w:rsidRPr="00813D92">
        <w:rPr>
          <w:b/>
          <w:sz w:val="20"/>
        </w:rPr>
        <w:t xml:space="preserve">. Evolutionary divergence between CPBI/UYU/2024 and related </w:t>
      </w:r>
      <w:proofErr w:type="spellStart"/>
      <w:r w:rsidRPr="00813D92">
        <w:rPr>
          <w:b/>
          <w:sz w:val="20"/>
        </w:rPr>
        <w:t>protoparvovirus</w:t>
      </w:r>
      <w:proofErr w:type="spellEnd"/>
      <w:r w:rsidRPr="00813D92">
        <w:rPr>
          <w:b/>
          <w:sz w:val="20"/>
        </w:rPr>
        <w:t xml:space="preserve">. </w:t>
      </w:r>
      <w:r w:rsidRPr="00813D92">
        <w:rPr>
          <w:sz w:val="20"/>
        </w:rPr>
        <w:t>C</w:t>
      </w:r>
      <w:r>
        <w:rPr>
          <w:sz w:val="20"/>
        </w:rPr>
        <w:t>omplete NS1 sequences were used for the analysis.</w:t>
      </w:r>
    </w:p>
    <w:tbl>
      <w:tblPr>
        <w:tblW w:w="7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134"/>
        <w:gridCol w:w="1028"/>
      </w:tblGrid>
      <w:tr w:rsidR="007D3D6A" w:rsidRPr="00813D92" w:rsidTr="00813D92">
        <w:trPr>
          <w:trHeight w:val="166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AE1BB3">
            <w:pPr>
              <w:jc w:val="both"/>
              <w:rPr>
                <w:sz w:val="20"/>
              </w:rPr>
            </w:pPr>
            <w:r w:rsidRPr="00813D9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813D92" w:rsidP="00813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Amino acid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D6A" w:rsidRPr="00813D92" w:rsidRDefault="00813D92" w:rsidP="00813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Nucleotide</w:t>
            </w:r>
          </w:p>
        </w:tc>
      </w:tr>
      <w:tr w:rsidR="007D3D6A" w:rsidRPr="00813D92" w:rsidTr="00813D92">
        <w:trPr>
          <w:trHeight w:val="195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AE1BB3">
            <w:pPr>
              <w:jc w:val="both"/>
              <w:rPr>
                <w:sz w:val="20"/>
              </w:rPr>
            </w:pPr>
            <w:r w:rsidRPr="00813D92">
              <w:rPr>
                <w:sz w:val="20"/>
              </w:rPr>
              <w:t>NC_075988.1_Tusavirus_1_strain_Tu491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0.347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0.342</w:t>
            </w:r>
          </w:p>
        </w:tc>
      </w:tr>
      <w:tr w:rsidR="007D3D6A" w:rsidRPr="00813D92" w:rsidTr="00813D92">
        <w:trPr>
          <w:trHeight w:val="11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AE1BB3">
            <w:pPr>
              <w:jc w:val="both"/>
              <w:rPr>
                <w:sz w:val="20"/>
              </w:rPr>
            </w:pPr>
            <w:r w:rsidRPr="00813D92">
              <w:rPr>
                <w:sz w:val="20"/>
              </w:rPr>
              <w:t>OL692339.2_Protoparvovirus_sp._strain_goat_tusavirus/KT-G5/2020/HUN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0.352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0.348</w:t>
            </w:r>
          </w:p>
        </w:tc>
      </w:tr>
      <w:tr w:rsidR="007D3D6A" w:rsidRPr="00813D92" w:rsidTr="00813D92">
        <w:trPr>
          <w:trHeight w:val="200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AE1BB3">
            <w:pPr>
              <w:jc w:val="both"/>
              <w:rPr>
                <w:sz w:val="20"/>
              </w:rPr>
            </w:pPr>
            <w:r w:rsidRPr="00813D92">
              <w:rPr>
                <w:sz w:val="20"/>
              </w:rPr>
              <w:t>OR734234.1_Ovine_tusavirus_strain_OTV/0215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0.345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0.352</w:t>
            </w:r>
          </w:p>
        </w:tc>
      </w:tr>
      <w:tr w:rsidR="007D3D6A" w:rsidRPr="00813D92" w:rsidTr="00813D92">
        <w:trPr>
          <w:trHeight w:val="16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AE1BB3">
            <w:pPr>
              <w:jc w:val="both"/>
              <w:rPr>
                <w:sz w:val="20"/>
              </w:rPr>
            </w:pPr>
            <w:r w:rsidRPr="00813D92">
              <w:rPr>
                <w:sz w:val="20"/>
              </w:rPr>
              <w:t>OQ708493.1_Tusavirus_1_strain_GZ814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0.348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0.350</w:t>
            </w:r>
          </w:p>
        </w:tc>
      </w:tr>
      <w:tr w:rsidR="007D3D6A" w:rsidRPr="00813D92" w:rsidTr="00813D92">
        <w:trPr>
          <w:trHeight w:val="200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AE1BB3">
            <w:pPr>
              <w:jc w:val="both"/>
              <w:rPr>
                <w:sz w:val="20"/>
              </w:rPr>
            </w:pPr>
            <w:r w:rsidRPr="00813D92">
              <w:rPr>
                <w:sz w:val="20"/>
              </w:rPr>
              <w:t>PP083003.1_Protoparvovirus_incertum1_strain_NM21C6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0.343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0.355</w:t>
            </w:r>
          </w:p>
        </w:tc>
      </w:tr>
      <w:tr w:rsidR="007D3D6A" w:rsidRPr="00813D92" w:rsidTr="00813D92">
        <w:trPr>
          <w:trHeight w:val="43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AE1BB3">
            <w:pPr>
              <w:jc w:val="both"/>
              <w:rPr>
                <w:sz w:val="20"/>
              </w:rPr>
            </w:pPr>
            <w:r w:rsidRPr="00813D92">
              <w:rPr>
                <w:sz w:val="20"/>
              </w:rPr>
              <w:t>OQ708494.1_Tusavirus_1_strain_GZ1068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0.352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6A" w:rsidRPr="00813D92" w:rsidRDefault="007D3D6A" w:rsidP="00813D92">
            <w:pPr>
              <w:jc w:val="center"/>
              <w:rPr>
                <w:sz w:val="20"/>
              </w:rPr>
            </w:pPr>
            <w:r w:rsidRPr="00813D92">
              <w:rPr>
                <w:sz w:val="20"/>
              </w:rPr>
              <w:t>0.353</w:t>
            </w:r>
          </w:p>
        </w:tc>
      </w:tr>
    </w:tbl>
    <w:p w:rsidR="00813D92" w:rsidRDefault="00813D92" w:rsidP="007D3D6A">
      <w:pPr>
        <w:jc w:val="both"/>
        <w:rPr>
          <w:sz w:val="14"/>
        </w:rPr>
      </w:pPr>
      <w:r>
        <w:rPr>
          <w:sz w:val="14"/>
        </w:rPr>
        <w:br/>
      </w:r>
    </w:p>
    <w:p w:rsidR="00813D92" w:rsidRDefault="00813D92">
      <w:pPr>
        <w:rPr>
          <w:sz w:val="14"/>
        </w:rPr>
      </w:pPr>
      <w:r>
        <w:rPr>
          <w:sz w:val="14"/>
        </w:rPr>
        <w:br w:type="page"/>
      </w:r>
    </w:p>
    <w:p w:rsidR="00813D92" w:rsidRDefault="00813D92" w:rsidP="00813D92">
      <w:pPr>
        <w:spacing w:line="480" w:lineRule="auto"/>
        <w:jc w:val="both"/>
        <w:rPr>
          <w:b/>
        </w:rPr>
      </w:pPr>
      <w:r>
        <w:rPr>
          <w:b/>
          <w:noProof/>
          <w:lang w:val="es-UY"/>
        </w:rPr>
        <w:lastRenderedPageBreak/>
        <w:drawing>
          <wp:inline distT="0" distB="0" distL="0" distR="0">
            <wp:extent cx="5396865" cy="50336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D92" w:rsidRDefault="00813D92" w:rsidP="00813D92">
      <w:pPr>
        <w:spacing w:line="480" w:lineRule="auto"/>
        <w:jc w:val="both"/>
      </w:pPr>
      <w:r>
        <w:rPr>
          <w:b/>
        </w:rPr>
        <w:t>Figure S1</w:t>
      </w:r>
      <w:r w:rsidRPr="00A55441">
        <w:rPr>
          <w:b/>
        </w:rPr>
        <w:t xml:space="preserve">. Phylogenetic analysis of CPBI/UYU/2024 and the closest related </w:t>
      </w:r>
      <w:proofErr w:type="spellStart"/>
      <w:r w:rsidRPr="00A55441">
        <w:rPr>
          <w:b/>
        </w:rPr>
        <w:t>protoparvoviruses</w:t>
      </w:r>
      <w:proofErr w:type="spellEnd"/>
      <w:r w:rsidRPr="00A55441">
        <w:rPr>
          <w:b/>
        </w:rPr>
        <w:t>.</w:t>
      </w:r>
      <w:r w:rsidRPr="00A55441">
        <w:t xml:space="preserve"> Maximum likelihood trees based on amino acid (a) and nucleotide (b) </w:t>
      </w:r>
      <w:r>
        <w:t xml:space="preserve">NS1 complete </w:t>
      </w:r>
      <w:r w:rsidRPr="00A55441">
        <w:t xml:space="preserve">sequences. </w:t>
      </w:r>
      <w:proofErr w:type="spellStart"/>
      <w:r w:rsidRPr="00A55441">
        <w:t>aLRT</w:t>
      </w:r>
      <w:proofErr w:type="spellEnd"/>
      <w:r w:rsidRPr="00A55441">
        <w:t xml:space="preserve"> values and scale bars are shown for both trees. The sequence obtained in this study is highlighted with a blue circle.</w:t>
      </w:r>
    </w:p>
    <w:p w:rsidR="007D3D6A" w:rsidRDefault="007D3D6A" w:rsidP="007D3D6A">
      <w:pPr>
        <w:jc w:val="both"/>
        <w:rPr>
          <w:sz w:val="14"/>
        </w:rPr>
      </w:pPr>
    </w:p>
    <w:p w:rsidR="007D3D6A" w:rsidRPr="00813D92" w:rsidRDefault="007D3D6A" w:rsidP="007D3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D6A" w:rsidRPr="00813D92" w:rsidRDefault="007D3D6A" w:rsidP="007D3D6A">
      <w:pPr>
        <w:pStyle w:val="NormalWeb"/>
        <w:rPr>
          <w:lang w:val="en-US"/>
        </w:rPr>
      </w:pPr>
    </w:p>
    <w:p w:rsidR="007D3D6A" w:rsidRPr="00813D92" w:rsidRDefault="007D3D6A" w:rsidP="007D3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684" w:rsidRDefault="00D41684"/>
    <w:sectPr w:rsidR="00D41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6A"/>
    <w:rsid w:val="004C306B"/>
    <w:rsid w:val="007D3D6A"/>
    <w:rsid w:val="00813D92"/>
    <w:rsid w:val="00D4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98F5"/>
  <w15:chartTrackingRefBased/>
  <w15:docId w15:val="{1E51E815-638D-4DB1-886E-9BDAD529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D6A"/>
    <w:rPr>
      <w:rFonts w:ascii="Calibri" w:eastAsia="Calibri" w:hAnsi="Calibri" w:cs="Calibri"/>
      <w:lang w:val="en-US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Castells</dc:creator>
  <cp:keywords/>
  <dc:description/>
  <cp:lastModifiedBy>Matías Castells</cp:lastModifiedBy>
  <cp:revision>1</cp:revision>
  <dcterms:created xsi:type="dcterms:W3CDTF">2025-07-14T01:19:00Z</dcterms:created>
  <dcterms:modified xsi:type="dcterms:W3CDTF">2025-07-14T01:44:00Z</dcterms:modified>
</cp:coreProperties>
</file>