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8CD9D">
      <w:pPr>
        <w:rPr>
          <w:sz w:val="24"/>
          <w:szCs w:val="24"/>
        </w:rPr>
      </w:pPr>
      <w:r>
        <w:rPr>
          <w:rFonts w:hint="eastAsia"/>
        </w:rPr>
        <w:t>Table 4. Univariate and multivariate analysis of prognostic factors related to POCs.</w:t>
      </w:r>
    </w:p>
    <w:tbl>
      <w:tblPr>
        <w:tblStyle w:val="7"/>
        <w:tblpPr w:leftFromText="180" w:rightFromText="180" w:vertAnchor="page" w:horzAnchor="page" w:tblpXSpec="center" w:tblpY="1861"/>
        <w:tblOverlap w:val="never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2851"/>
        <w:gridCol w:w="2851"/>
      </w:tblGrid>
      <w:tr w14:paraId="0FB5D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FE1E846">
            <w:r>
              <w:t>Variables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14:paraId="3BAC6E04">
            <w:r>
              <w:t>Univariate analysis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14:paraId="64A834B8">
            <w:r>
              <w:t>Multivariate analysis</w:t>
            </w:r>
          </w:p>
        </w:tc>
      </w:tr>
      <w:tr w14:paraId="1D5886B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14:paraId="559624D0"/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14:paraId="141D3FEB">
            <w:r>
              <w:t xml:space="preserve">OR (95% CI)              P   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14:paraId="7FDBB491">
            <w:r>
              <w:t>OR (95% CI)               P</w:t>
            </w:r>
          </w:p>
        </w:tc>
      </w:tr>
      <w:tr w14:paraId="4B624F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 w14:paraId="04AD969E">
            <w:r>
              <w:t>age(years) (&gt;65 vs. ≤65)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 w14:paraId="58FDE130">
            <w:r>
              <w:t>7.050 (3.876-12.824)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 w14:paraId="5B82B297">
            <w:r>
              <w:t>3.645 (1.778-7.470)       &lt;0.001</w:t>
            </w:r>
            <w:r>
              <w:rPr>
                <w:vertAlign w:val="superscript"/>
              </w:rPr>
              <w:t>*</w:t>
            </w:r>
          </w:p>
        </w:tc>
      </w:tr>
      <w:tr w14:paraId="2F2AA2A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</w:tcPr>
          <w:p w14:paraId="26D8692E">
            <w:r>
              <w:t>ASA grade (III vs. I+II)</w:t>
            </w:r>
          </w:p>
        </w:tc>
        <w:tc>
          <w:tcPr>
            <w:tcW w:w="0" w:type="auto"/>
            <w:shd w:val="clear" w:color="auto" w:fill="auto"/>
          </w:tcPr>
          <w:p w14:paraId="4D5F541A">
            <w:r>
              <w:t>6.357 (4.256-9.497) 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0C415BF9">
            <w:r>
              <w:t>2.722 (1.614-4.590)       &lt;0.001</w:t>
            </w:r>
            <w:r>
              <w:rPr>
                <w:vertAlign w:val="superscript"/>
              </w:rPr>
              <w:t>*</w:t>
            </w:r>
          </w:p>
        </w:tc>
      </w:tr>
      <w:tr w14:paraId="2E6BA61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</w:tcPr>
          <w:p w14:paraId="6D8ED690">
            <w:r>
              <w:t>T2-DM (Yes vs. No)</w:t>
            </w:r>
          </w:p>
        </w:tc>
        <w:tc>
          <w:tcPr>
            <w:tcW w:w="0" w:type="auto"/>
            <w:shd w:val="clear" w:color="auto" w:fill="auto"/>
          </w:tcPr>
          <w:p w14:paraId="3741DDA5">
            <w:r>
              <w:t>3.939 (2.471-6.280) 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6F3D104A">
            <w:r>
              <w:t>1.706 (0.928-3.134)        0.085</w:t>
            </w:r>
          </w:p>
        </w:tc>
      </w:tr>
      <w:tr w14:paraId="08C7B8D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</w:tcPr>
          <w:p w14:paraId="19AAE398">
            <w:r>
              <w:t>NRS-2002 (≥3 vs.&lt;3)</w:t>
            </w:r>
          </w:p>
        </w:tc>
        <w:tc>
          <w:tcPr>
            <w:tcW w:w="0" w:type="auto"/>
            <w:shd w:val="clear" w:color="auto" w:fill="auto"/>
          </w:tcPr>
          <w:p w14:paraId="5CE31E0A">
            <w:r>
              <w:t>3.336 (2.201-5.056) 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7E082312">
            <w:r>
              <w:t>1.355 (0.785-2.337)        0.275</w:t>
            </w:r>
          </w:p>
        </w:tc>
      </w:tr>
      <w:tr w14:paraId="75DA39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</w:tcPr>
          <w:p w14:paraId="47AB65EF">
            <w:r>
              <w:t>CCVD (Yes vs. No)</w:t>
            </w:r>
          </w:p>
        </w:tc>
        <w:tc>
          <w:tcPr>
            <w:tcW w:w="0" w:type="auto"/>
            <w:shd w:val="clear" w:color="auto" w:fill="auto"/>
          </w:tcPr>
          <w:p w14:paraId="12C94691">
            <w:r>
              <w:t>2.887 (1.980-4.209) 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421C9A38">
            <w:r>
              <w:t>1.554 (0.928-2.603)        0.094</w:t>
            </w:r>
          </w:p>
        </w:tc>
      </w:tr>
      <w:tr w14:paraId="167CA9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shd w:val="clear" w:color="auto" w:fill="auto"/>
          </w:tcPr>
          <w:p w14:paraId="614484CF">
            <w:r>
              <w:t>Digestive tract reconstruction, n (%)</w:t>
            </w:r>
          </w:p>
          <w:p w14:paraId="045D3D05">
            <w:r>
              <w:t>Gastrojejunum Roux-en-Y</w:t>
            </w:r>
          </w:p>
          <w:p w14:paraId="09B5BD66">
            <w:r>
              <w:t>Gastrojejunum Billroth II</w:t>
            </w:r>
          </w:p>
          <w:p w14:paraId="5B9298D6">
            <w:r>
              <w:t>Esophagogastric anastomosis</w:t>
            </w:r>
          </w:p>
          <w:p w14:paraId="3DAF23E3">
            <w:r>
              <w:t>Esophagojejunostomy</w:t>
            </w:r>
          </w:p>
        </w:tc>
        <w:tc>
          <w:tcPr>
            <w:tcW w:w="0" w:type="auto"/>
            <w:shd w:val="clear" w:color="auto" w:fill="auto"/>
          </w:tcPr>
          <w:p w14:paraId="2368D07E"/>
          <w:p w14:paraId="2B1224E5">
            <w:r>
              <w:t>1(referent)</w:t>
            </w:r>
          </w:p>
          <w:p w14:paraId="74B27B25">
            <w:pPr>
              <w:rPr>
                <w:vertAlign w:val="superscript"/>
              </w:rPr>
            </w:pPr>
            <w:r>
              <w:t>0.681 (0.426-1.088)        0.108</w:t>
            </w:r>
          </w:p>
          <w:p w14:paraId="67FC63EA">
            <w:pPr>
              <w:rPr>
                <w:vertAlign w:val="superscript"/>
              </w:rPr>
            </w:pPr>
            <w:r>
              <w:t>1.831 (0.678-4.945)        0.223</w:t>
            </w:r>
          </w:p>
          <w:p w14:paraId="5A6B1E9D">
            <w:pPr>
              <w:rPr>
                <w:vertAlign w:val="superscript"/>
              </w:rPr>
            </w:pPr>
            <w:r>
              <w:t>1.772 (1.105-2.842)        0.018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2F6FC1AE"/>
          <w:p w14:paraId="048E71C3">
            <w:r>
              <w:t>1(referent)</w:t>
            </w:r>
          </w:p>
          <w:p w14:paraId="5450CE75">
            <w:pPr>
              <w:rPr>
                <w:vertAlign w:val="superscript"/>
              </w:rPr>
            </w:pPr>
            <w:r>
              <w:t>0.684 (0.372-1.256)        0.221</w:t>
            </w:r>
          </w:p>
          <w:p w14:paraId="05649BA6">
            <w:pPr>
              <w:rPr>
                <w:vertAlign w:val="superscript"/>
              </w:rPr>
            </w:pPr>
            <w:r>
              <w:t>2.460 (0.693-8.727)        0.164</w:t>
            </w:r>
          </w:p>
          <w:p w14:paraId="5DBFF7DC">
            <w:r>
              <w:t>1.611 (0.859-3.021)        0.137</w:t>
            </w:r>
          </w:p>
        </w:tc>
      </w:tr>
      <w:tr w14:paraId="25358D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0" w:type="auto"/>
            <w:shd w:val="clear" w:color="auto" w:fill="auto"/>
          </w:tcPr>
          <w:p w14:paraId="020EBA66">
            <w:r>
              <w:t>SIRI (high SIRI vs. low SIRI)</w:t>
            </w:r>
          </w:p>
        </w:tc>
        <w:tc>
          <w:tcPr>
            <w:tcW w:w="0" w:type="auto"/>
            <w:shd w:val="clear" w:color="auto" w:fill="auto"/>
          </w:tcPr>
          <w:p w14:paraId="4119AEB7">
            <w:r>
              <w:t>5.372 (3.605-8.004) 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07E9878D">
            <w:r>
              <w:t>3.557 (2.167-5.837)       &lt;0.001</w:t>
            </w:r>
            <w:r>
              <w:rPr>
                <w:vertAlign w:val="superscript"/>
              </w:rPr>
              <w:t>*</w:t>
            </w:r>
          </w:p>
        </w:tc>
      </w:tr>
      <w:tr w14:paraId="27DDE9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5FA565A">
            <w:r>
              <w:t>PNI (high PNI vs. low PNI)</w:t>
            </w:r>
          </w:p>
        </w:tc>
        <w:tc>
          <w:tcPr>
            <w:tcW w:w="0" w:type="auto"/>
            <w:shd w:val="clear" w:color="auto" w:fill="auto"/>
          </w:tcPr>
          <w:p w14:paraId="227E43A1">
            <w:r>
              <w:t>0.273 (0.176-0.424) 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7082EA7F">
            <w:r>
              <w:t>0.433 (0.248-0.756)        0.003</w:t>
            </w:r>
            <w:r>
              <w:rPr>
                <w:vertAlign w:val="superscript"/>
              </w:rPr>
              <w:t>*</w:t>
            </w:r>
          </w:p>
        </w:tc>
      </w:tr>
      <w:tr w14:paraId="573729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BD3C18B">
            <w:r>
              <w:t>VSR (high VSR vs. low VSR)</w:t>
            </w:r>
          </w:p>
        </w:tc>
        <w:tc>
          <w:tcPr>
            <w:tcW w:w="0" w:type="auto"/>
            <w:shd w:val="clear" w:color="auto" w:fill="auto"/>
          </w:tcPr>
          <w:p w14:paraId="50C9759E">
            <w:r>
              <w:t>3.252 (2.175-4.861)       &lt;0.001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46F0A099">
            <w:r>
              <w:t>2.608 (1.573-4.325)       &lt;0.001</w:t>
            </w:r>
            <w:r>
              <w:rPr>
                <w:vertAlign w:val="superscript"/>
              </w:rPr>
              <w:t>*</w:t>
            </w:r>
          </w:p>
        </w:tc>
      </w:tr>
      <w:tr w14:paraId="75BA94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 w14:paraId="58A91BFE">
            <w:r>
              <w:t>SMI (cm</w:t>
            </w:r>
            <w:r>
              <w:rPr>
                <w:vertAlign w:val="superscript"/>
              </w:rPr>
              <w:t>2</w:t>
            </w:r>
            <w:r>
              <w:t>/kg) (low SMI vs. high SMI)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 w14:paraId="445D3FC2">
            <w:r>
              <w:t>5.484 (3.679-8.175)       &lt;0.001</w:t>
            </w:r>
            <w:r>
              <w:rPr>
                <w:vertAlign w:val="superscript"/>
              </w:rPr>
              <w:t>*</w:t>
            </w:r>
            <w:r>
              <w:t xml:space="preserve"> 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 w14:paraId="689DC6C4">
            <w:r>
              <w:t>4.422 (2.691-7.267)       &lt;0.001</w:t>
            </w:r>
            <w:r>
              <w:rPr>
                <w:vertAlign w:val="superscript"/>
              </w:rPr>
              <w:t>*</w:t>
            </w:r>
          </w:p>
        </w:tc>
      </w:tr>
    </w:tbl>
    <w:p w14:paraId="1E523B05"/>
    <w:p w14:paraId="4BF36678"/>
    <w:p w14:paraId="77CC0F86"/>
    <w:p w14:paraId="5BBD0D45"/>
    <w:p w14:paraId="6DFFF837"/>
    <w:p w14:paraId="233BEB52"/>
    <w:p w14:paraId="33D36D50"/>
    <w:p w14:paraId="7FD4DA0D"/>
    <w:p w14:paraId="06A9B068"/>
    <w:p w14:paraId="105AC466"/>
    <w:p w14:paraId="3BCB23D3"/>
    <w:p w14:paraId="75DDEFCB"/>
    <w:p w14:paraId="1E3645CA"/>
    <w:p w14:paraId="55A49478"/>
    <w:p w14:paraId="0B336A86"/>
    <w:p w14:paraId="18F50F36"/>
    <w:p w14:paraId="4EFFFC79"/>
    <w:p w14:paraId="1DBB1197">
      <w:pPr>
        <w:rPr>
          <w:rFonts w:eastAsia="宋体"/>
        </w:rPr>
      </w:pPr>
      <w:r>
        <w:rPr>
          <w:rFonts w:hint="eastAsia" w:eastAsia="宋体"/>
          <w:color w:val="1B1B1B"/>
          <w:shd w:val="clear" w:color="auto" w:fill="FFFFFF"/>
        </w:rPr>
        <w:t xml:space="preserve">ASA, American society of Aneshesiologists; CCVD, cardio-cerebral vascular disease; </w:t>
      </w:r>
      <w:r>
        <w:t>NRS-2002, nutrition risk screening 2002;</w:t>
      </w:r>
      <w:r>
        <w:rPr>
          <w:rFonts w:hint="eastAsia"/>
        </w:rPr>
        <w:t xml:space="preserve"> SIRI, systemic inflammation response index; </w:t>
      </w:r>
      <w:r>
        <w:t>T2-DM, type 2</w:t>
      </w:r>
      <w:r>
        <w:rPr>
          <w:rFonts w:hint="eastAsia"/>
        </w:rPr>
        <w:t xml:space="preserve"> d</w:t>
      </w:r>
      <w:r>
        <w:t>iabetes mellitus</w:t>
      </w:r>
      <w:r>
        <w:rPr>
          <w:rFonts w:hint="eastAsia"/>
        </w:rPr>
        <w:t xml:space="preserve">; PNI, prognostic nutritional index; </w:t>
      </w:r>
      <w:r>
        <w:rPr>
          <w:rFonts w:eastAsia="Cambria"/>
          <w:color w:val="1B1B1B"/>
          <w:shd w:val="clear" w:color="auto" w:fill="FFFFFF"/>
        </w:rPr>
        <w:t>SMI, skeletal muscle index; VSR, visceral to subcutaneous adipose tissue area ratio</w:t>
      </w:r>
      <w:r>
        <w:rPr>
          <w:rFonts w:hint="eastAsia" w:eastAsia="宋体"/>
          <w:color w:val="1B1B1B"/>
          <w:shd w:val="clear" w:color="auto" w:fill="FFFFFF"/>
        </w:rPr>
        <w:t>.</w:t>
      </w:r>
    </w:p>
    <w:p w14:paraId="3C4BEE54">
      <w:pPr>
        <w:rPr>
          <w:shd w:val="clear" w:color="auto" w:fill="FFFFFF"/>
        </w:rPr>
      </w:pPr>
      <w:r>
        <w:rPr>
          <w:shd w:val="clear" w:color="auto" w:fill="FFFFFF"/>
        </w:rPr>
        <w:t xml:space="preserve">* </w:t>
      </w:r>
      <w:r>
        <w:rPr>
          <w:rFonts w:hint="eastAsia"/>
          <w:shd w:val="clear" w:color="auto" w:fill="FFFFFF"/>
          <w:lang w:val="en-US" w:eastAsia="zh-CN"/>
        </w:rPr>
        <w:t>P</w:t>
      </w:r>
      <w:r>
        <w:rPr>
          <w:shd w:val="clear" w:color="auto" w:fill="FFFFFF"/>
        </w:rPr>
        <w:t>&lt;0.05 was considered significant.</w:t>
      </w:r>
    </w:p>
    <w:p w14:paraId="2C62DF00"/>
    <w:p w14:paraId="3104C3AA"/>
    <w:p w14:paraId="53DA32A2"/>
    <w:p w14:paraId="4A2915E6"/>
    <w:p w14:paraId="304ACCFD"/>
    <w:p w14:paraId="37989478"/>
    <w:p w14:paraId="199E8AC4"/>
    <w:p w14:paraId="550D3A52"/>
    <w:p w14:paraId="6F6FA012"/>
    <w:p w14:paraId="15C76233"/>
    <w:p w14:paraId="02445034"/>
    <w:p w14:paraId="4FA29259"/>
    <w:p w14:paraId="0CED993E"/>
    <w:p w14:paraId="25AD4ADF"/>
    <w:p w14:paraId="545BEE6C"/>
    <w:p w14:paraId="1E232912"/>
    <w:p w14:paraId="6232EB00"/>
    <w:p w14:paraId="1EFDF8FA"/>
    <w:p w14:paraId="605CC15D"/>
    <w:p w14:paraId="4E83334C"/>
    <w:p w14:paraId="6A294A8C"/>
    <w:p w14:paraId="08649151">
      <w:bookmarkStart w:id="0" w:name="_GoBack"/>
      <w:bookmarkEnd w:id="0"/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jRjYmE1M2JlNWFjYTFmOTlmY2Y4NjU1ZTI1YTcifQ=="/>
  </w:docVars>
  <w:rsids>
    <w:rsidRoot w:val="0E0E104E"/>
    <w:rsid w:val="000F67DC"/>
    <w:rsid w:val="0015291C"/>
    <w:rsid w:val="00346819"/>
    <w:rsid w:val="0052640D"/>
    <w:rsid w:val="005714C6"/>
    <w:rsid w:val="00572569"/>
    <w:rsid w:val="00584BF3"/>
    <w:rsid w:val="00667B57"/>
    <w:rsid w:val="006946F0"/>
    <w:rsid w:val="006A25E5"/>
    <w:rsid w:val="00784C96"/>
    <w:rsid w:val="007E5F0E"/>
    <w:rsid w:val="00805754"/>
    <w:rsid w:val="008325BD"/>
    <w:rsid w:val="00877A9B"/>
    <w:rsid w:val="008945CF"/>
    <w:rsid w:val="008F0C19"/>
    <w:rsid w:val="009F154A"/>
    <w:rsid w:val="00B55870"/>
    <w:rsid w:val="00B848CE"/>
    <w:rsid w:val="00C5257B"/>
    <w:rsid w:val="00D51461"/>
    <w:rsid w:val="00E40EC8"/>
    <w:rsid w:val="00E91B20"/>
    <w:rsid w:val="00EF3C7C"/>
    <w:rsid w:val="00F209B1"/>
    <w:rsid w:val="01B146CA"/>
    <w:rsid w:val="01F031AD"/>
    <w:rsid w:val="029167E5"/>
    <w:rsid w:val="03497F31"/>
    <w:rsid w:val="03650069"/>
    <w:rsid w:val="03933EAF"/>
    <w:rsid w:val="03E01D7D"/>
    <w:rsid w:val="04245C53"/>
    <w:rsid w:val="045B417B"/>
    <w:rsid w:val="045B6768"/>
    <w:rsid w:val="04837E20"/>
    <w:rsid w:val="050E558B"/>
    <w:rsid w:val="060A5284"/>
    <w:rsid w:val="06D974A2"/>
    <w:rsid w:val="07043A2A"/>
    <w:rsid w:val="076D1A34"/>
    <w:rsid w:val="077C31B9"/>
    <w:rsid w:val="08061F6C"/>
    <w:rsid w:val="08072762"/>
    <w:rsid w:val="083F2F69"/>
    <w:rsid w:val="09644C54"/>
    <w:rsid w:val="09BE64C7"/>
    <w:rsid w:val="0C1069CD"/>
    <w:rsid w:val="0C5E3BDC"/>
    <w:rsid w:val="0CDE6AF7"/>
    <w:rsid w:val="0D60400F"/>
    <w:rsid w:val="0E0E104E"/>
    <w:rsid w:val="0E4952AB"/>
    <w:rsid w:val="0EC35F79"/>
    <w:rsid w:val="0F701545"/>
    <w:rsid w:val="0F7A0D2D"/>
    <w:rsid w:val="0FC246B3"/>
    <w:rsid w:val="0FDE3C0C"/>
    <w:rsid w:val="10214E18"/>
    <w:rsid w:val="10775B6E"/>
    <w:rsid w:val="111331E7"/>
    <w:rsid w:val="11B03644"/>
    <w:rsid w:val="122B4561"/>
    <w:rsid w:val="12594A3B"/>
    <w:rsid w:val="125F2C7F"/>
    <w:rsid w:val="12D77FB3"/>
    <w:rsid w:val="130F2D81"/>
    <w:rsid w:val="13716888"/>
    <w:rsid w:val="13724524"/>
    <w:rsid w:val="13E902F0"/>
    <w:rsid w:val="15B11221"/>
    <w:rsid w:val="162B22EC"/>
    <w:rsid w:val="16745F63"/>
    <w:rsid w:val="177A3F69"/>
    <w:rsid w:val="18C6527C"/>
    <w:rsid w:val="19155059"/>
    <w:rsid w:val="1A937E3D"/>
    <w:rsid w:val="1D337EEB"/>
    <w:rsid w:val="1DD7559C"/>
    <w:rsid w:val="1DF95513"/>
    <w:rsid w:val="1E9B4B0A"/>
    <w:rsid w:val="227507D3"/>
    <w:rsid w:val="23361FBB"/>
    <w:rsid w:val="23801303"/>
    <w:rsid w:val="23933FC7"/>
    <w:rsid w:val="24CC572F"/>
    <w:rsid w:val="25315F08"/>
    <w:rsid w:val="25632231"/>
    <w:rsid w:val="256533FF"/>
    <w:rsid w:val="26592D8A"/>
    <w:rsid w:val="26A36964"/>
    <w:rsid w:val="275031F1"/>
    <w:rsid w:val="27626CAD"/>
    <w:rsid w:val="283C2A23"/>
    <w:rsid w:val="2841669A"/>
    <w:rsid w:val="28BE67B4"/>
    <w:rsid w:val="28FF3C9A"/>
    <w:rsid w:val="29A4399D"/>
    <w:rsid w:val="29E177FC"/>
    <w:rsid w:val="2A7C3754"/>
    <w:rsid w:val="2AAD4696"/>
    <w:rsid w:val="2B7B212C"/>
    <w:rsid w:val="2C161986"/>
    <w:rsid w:val="2C6C0817"/>
    <w:rsid w:val="2CF3745F"/>
    <w:rsid w:val="2D682F2F"/>
    <w:rsid w:val="2D7D380F"/>
    <w:rsid w:val="2DC4412C"/>
    <w:rsid w:val="2EB765AB"/>
    <w:rsid w:val="2EFB01BB"/>
    <w:rsid w:val="2F471516"/>
    <w:rsid w:val="2F922F59"/>
    <w:rsid w:val="2FBA3766"/>
    <w:rsid w:val="2FE029D7"/>
    <w:rsid w:val="30275F10"/>
    <w:rsid w:val="30992B52"/>
    <w:rsid w:val="30D13892"/>
    <w:rsid w:val="30FC2D49"/>
    <w:rsid w:val="312B7988"/>
    <w:rsid w:val="312F2D7C"/>
    <w:rsid w:val="313E7749"/>
    <w:rsid w:val="324F4B5C"/>
    <w:rsid w:val="32B92BD2"/>
    <w:rsid w:val="336600B4"/>
    <w:rsid w:val="33960CE2"/>
    <w:rsid w:val="344165C4"/>
    <w:rsid w:val="349F620F"/>
    <w:rsid w:val="34C226AB"/>
    <w:rsid w:val="34EF5DBA"/>
    <w:rsid w:val="37F02D2B"/>
    <w:rsid w:val="387803EF"/>
    <w:rsid w:val="38E52E0C"/>
    <w:rsid w:val="38E5599A"/>
    <w:rsid w:val="39974514"/>
    <w:rsid w:val="39B07B68"/>
    <w:rsid w:val="3A1E7776"/>
    <w:rsid w:val="3ADF1EFE"/>
    <w:rsid w:val="3B2319C9"/>
    <w:rsid w:val="3B675476"/>
    <w:rsid w:val="3C3A521C"/>
    <w:rsid w:val="3C3B33C8"/>
    <w:rsid w:val="3D371BF9"/>
    <w:rsid w:val="3E56267F"/>
    <w:rsid w:val="3F6B55BF"/>
    <w:rsid w:val="401C0698"/>
    <w:rsid w:val="40373135"/>
    <w:rsid w:val="40415CAC"/>
    <w:rsid w:val="406513FE"/>
    <w:rsid w:val="406B0B32"/>
    <w:rsid w:val="40A11D0E"/>
    <w:rsid w:val="41250A0B"/>
    <w:rsid w:val="413A58C4"/>
    <w:rsid w:val="422C0320"/>
    <w:rsid w:val="42F157B6"/>
    <w:rsid w:val="43183A6B"/>
    <w:rsid w:val="433C4E62"/>
    <w:rsid w:val="439873F8"/>
    <w:rsid w:val="43E311EE"/>
    <w:rsid w:val="447859E5"/>
    <w:rsid w:val="44AA0B8D"/>
    <w:rsid w:val="453F6C9D"/>
    <w:rsid w:val="45D432A0"/>
    <w:rsid w:val="46A55988"/>
    <w:rsid w:val="46CE7767"/>
    <w:rsid w:val="46FE5788"/>
    <w:rsid w:val="47705F96"/>
    <w:rsid w:val="47EC3EC5"/>
    <w:rsid w:val="47FD2D50"/>
    <w:rsid w:val="4824360A"/>
    <w:rsid w:val="48535936"/>
    <w:rsid w:val="48F52BF7"/>
    <w:rsid w:val="48F826E7"/>
    <w:rsid w:val="492139EC"/>
    <w:rsid w:val="49562B6B"/>
    <w:rsid w:val="4A4E3071"/>
    <w:rsid w:val="4AD4246B"/>
    <w:rsid w:val="4B927592"/>
    <w:rsid w:val="4BE74B76"/>
    <w:rsid w:val="4C0F21ED"/>
    <w:rsid w:val="4C347D34"/>
    <w:rsid w:val="4CB66B41"/>
    <w:rsid w:val="4D5B49FA"/>
    <w:rsid w:val="4EA57572"/>
    <w:rsid w:val="509B217E"/>
    <w:rsid w:val="50D67C2E"/>
    <w:rsid w:val="526A50E0"/>
    <w:rsid w:val="52D344EF"/>
    <w:rsid w:val="53013A3B"/>
    <w:rsid w:val="53C1383E"/>
    <w:rsid w:val="55125FAB"/>
    <w:rsid w:val="56002CAA"/>
    <w:rsid w:val="5616170D"/>
    <w:rsid w:val="569A4B00"/>
    <w:rsid w:val="56E02589"/>
    <w:rsid w:val="576D24F2"/>
    <w:rsid w:val="5812683D"/>
    <w:rsid w:val="58472D43"/>
    <w:rsid w:val="585D75CA"/>
    <w:rsid w:val="585E17C6"/>
    <w:rsid w:val="59282B75"/>
    <w:rsid w:val="59385351"/>
    <w:rsid w:val="59822285"/>
    <w:rsid w:val="5A743B47"/>
    <w:rsid w:val="5ACA12F3"/>
    <w:rsid w:val="5AD15510"/>
    <w:rsid w:val="5ADC5E19"/>
    <w:rsid w:val="5B323837"/>
    <w:rsid w:val="5D1219BA"/>
    <w:rsid w:val="5DBF70F0"/>
    <w:rsid w:val="5DFE20F6"/>
    <w:rsid w:val="5ED06A90"/>
    <w:rsid w:val="5F1320F8"/>
    <w:rsid w:val="5FF160F1"/>
    <w:rsid w:val="60A7722D"/>
    <w:rsid w:val="60D314FC"/>
    <w:rsid w:val="60DA4B7E"/>
    <w:rsid w:val="615458E4"/>
    <w:rsid w:val="619425F7"/>
    <w:rsid w:val="61F84262"/>
    <w:rsid w:val="62712E97"/>
    <w:rsid w:val="62B15989"/>
    <w:rsid w:val="62DA3FD6"/>
    <w:rsid w:val="63414416"/>
    <w:rsid w:val="639D49EB"/>
    <w:rsid w:val="63D20534"/>
    <w:rsid w:val="63D77671"/>
    <w:rsid w:val="643A4E9D"/>
    <w:rsid w:val="6511270F"/>
    <w:rsid w:val="6623401B"/>
    <w:rsid w:val="672726BA"/>
    <w:rsid w:val="676F6184"/>
    <w:rsid w:val="679C469E"/>
    <w:rsid w:val="67A84CFE"/>
    <w:rsid w:val="69A10C49"/>
    <w:rsid w:val="6A2904FB"/>
    <w:rsid w:val="6A3A6DF5"/>
    <w:rsid w:val="6A3C6480"/>
    <w:rsid w:val="6B161AF0"/>
    <w:rsid w:val="6B3401F0"/>
    <w:rsid w:val="6BA41FF0"/>
    <w:rsid w:val="6C4A555D"/>
    <w:rsid w:val="6C9B5A56"/>
    <w:rsid w:val="6CDC17AA"/>
    <w:rsid w:val="6CF00901"/>
    <w:rsid w:val="6CF3205E"/>
    <w:rsid w:val="6D14769E"/>
    <w:rsid w:val="6D1D0762"/>
    <w:rsid w:val="6D9914F3"/>
    <w:rsid w:val="6E1119D2"/>
    <w:rsid w:val="6E3F7222"/>
    <w:rsid w:val="6E49012B"/>
    <w:rsid w:val="6FC43175"/>
    <w:rsid w:val="703674CE"/>
    <w:rsid w:val="713A0573"/>
    <w:rsid w:val="720C2BDC"/>
    <w:rsid w:val="7229553C"/>
    <w:rsid w:val="727A5781"/>
    <w:rsid w:val="736305DA"/>
    <w:rsid w:val="740C0C71"/>
    <w:rsid w:val="74710D50"/>
    <w:rsid w:val="75380FF2"/>
    <w:rsid w:val="75454A9D"/>
    <w:rsid w:val="759B6A0E"/>
    <w:rsid w:val="76360227"/>
    <w:rsid w:val="763B583E"/>
    <w:rsid w:val="785771FF"/>
    <w:rsid w:val="787D3D4F"/>
    <w:rsid w:val="789E5804"/>
    <w:rsid w:val="78F32400"/>
    <w:rsid w:val="794E424D"/>
    <w:rsid w:val="7AFA5F46"/>
    <w:rsid w:val="7B311A28"/>
    <w:rsid w:val="7BCC0CE6"/>
    <w:rsid w:val="7BCC68E1"/>
    <w:rsid w:val="7C2224A8"/>
    <w:rsid w:val="7D405FAF"/>
    <w:rsid w:val="7D6269A0"/>
    <w:rsid w:val="7DBC0EFE"/>
    <w:rsid w:val="7E386B07"/>
    <w:rsid w:val="7E4A2FA3"/>
    <w:rsid w:val="7E7A2C7B"/>
    <w:rsid w:val="7E9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标题wwz"/>
    <w:basedOn w:val="1"/>
    <w:autoRedefine/>
    <w:qFormat/>
    <w:uiPriority w:val="0"/>
    <w:pPr>
      <w:spacing w:line="360" w:lineRule="auto"/>
      <w:jc w:val="left"/>
    </w:pPr>
    <w:rPr>
      <w:b/>
      <w:bCs/>
      <w:sz w:val="28"/>
      <w:szCs w:val="32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1363</Characters>
  <Lines>12</Lines>
  <Paragraphs>3</Paragraphs>
  <TotalTime>39</TotalTime>
  <ScaleCrop>false</ScaleCrop>
  <LinksUpToDate>false</LinksUpToDate>
  <CharactersWithSpaces>1703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2024-05-18T14:02:00Z</dcterms:created>
  <dc:creator>稚初</dc:creator>
  <cp:lastModifiedBy>稚初</cp:lastModifiedBy>
  <dcterms:modified xsi:type="dcterms:W3CDTF">2025-06-23T14:50:31Z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DB44B5DE94F048F2956E18039E173CC6_13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