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5BC38" w14:textId="77777777" w:rsidR="003A1924" w:rsidRPr="003A1924" w:rsidRDefault="003A1924" w:rsidP="003A1924">
      <w:pPr>
        <w:rPr>
          <w:b/>
          <w:lang w:val="en"/>
        </w:rPr>
      </w:pPr>
      <w:r w:rsidRPr="003A1924">
        <w:rPr>
          <w:b/>
          <w:lang w:val="en"/>
        </w:rPr>
        <w:t>Supplementary Tables</w:t>
      </w:r>
    </w:p>
    <w:p w14:paraId="5A029D83" w14:textId="77777777" w:rsidR="003A1924" w:rsidRPr="003A1924" w:rsidRDefault="003A1924" w:rsidP="003A1924">
      <w:pPr>
        <w:rPr>
          <w:lang w:val="en"/>
        </w:rPr>
      </w:pPr>
      <w:r w:rsidRPr="003A1924">
        <w:rPr>
          <w:lang w:val="en"/>
        </w:rPr>
        <w:t xml:space="preserve">Supplementary Table 1 - Stability measurements of microbiome in related samples vs unrelated </w:t>
      </w:r>
      <w:proofErr w:type="gramStart"/>
      <w:r w:rsidRPr="003A1924">
        <w:rPr>
          <w:lang w:val="en"/>
        </w:rPr>
        <w:t>samples,  and</w:t>
      </w:r>
      <w:proofErr w:type="gramEnd"/>
      <w:r w:rsidRPr="003A1924">
        <w:rPr>
          <w:lang w:val="en"/>
        </w:rPr>
        <w:t xml:space="preserve"> AP vs. unaffected controls of the same-infant samples</w:t>
      </w:r>
    </w:p>
    <w:p w14:paraId="31619D62" w14:textId="77777777" w:rsidR="003A1924" w:rsidRPr="003A1924" w:rsidRDefault="003A1924" w:rsidP="003A1924">
      <w:pPr>
        <w:rPr>
          <w:lang w:val="en"/>
        </w:rPr>
      </w:pPr>
      <w:r w:rsidRPr="003A1924">
        <w:rPr>
          <w:lang w:val="en"/>
        </w:rPr>
        <w:t>Supplementary Table 2 - Differential taxa between infants with AP and unaffected controls (genus level)</w:t>
      </w:r>
    </w:p>
    <w:p w14:paraId="08DF7692" w14:textId="77777777" w:rsidR="003A1924" w:rsidRPr="003A1924" w:rsidRDefault="003A1924" w:rsidP="003A1924">
      <w:pPr>
        <w:rPr>
          <w:lang w:val="en"/>
        </w:rPr>
      </w:pPr>
      <w:r w:rsidRPr="003A1924">
        <w:rPr>
          <w:lang w:val="en"/>
        </w:rPr>
        <w:t>Supplementary Table 3 - Differential taxa between infants with AP and unaffected controls (species level)</w:t>
      </w:r>
    </w:p>
    <w:p w14:paraId="7FD47AD4" w14:textId="77777777" w:rsidR="003A1924" w:rsidRPr="003A1924" w:rsidRDefault="003A1924" w:rsidP="003A1924">
      <w:pPr>
        <w:rPr>
          <w:lang w:val="en"/>
        </w:rPr>
      </w:pPr>
      <w:r w:rsidRPr="003A1924">
        <w:rPr>
          <w:lang w:val="en"/>
        </w:rPr>
        <w:t>Supplementary Table 4 - Differential pathways between infants with AP and unaffected controls</w:t>
      </w:r>
    </w:p>
    <w:p w14:paraId="15791546" w14:textId="77777777" w:rsidR="003A1924" w:rsidRPr="003A1924" w:rsidRDefault="003A1924" w:rsidP="003A1924">
      <w:pPr>
        <w:rPr>
          <w:lang w:val="en"/>
        </w:rPr>
      </w:pPr>
      <w:r w:rsidRPr="003A1924">
        <w:rPr>
          <w:lang w:val="en"/>
        </w:rPr>
        <w:t>Supplementary Table 5 - Mash distance statistics across MAGs of the same species</w:t>
      </w:r>
    </w:p>
    <w:p w14:paraId="6131D474" w14:textId="77777777" w:rsidR="003A1924" w:rsidRPr="003A1924" w:rsidRDefault="003A1924" w:rsidP="003A1924">
      <w:pPr>
        <w:rPr>
          <w:lang w:val="en"/>
        </w:rPr>
      </w:pPr>
      <w:r w:rsidRPr="003A1924">
        <w:rPr>
          <w:lang w:val="en"/>
        </w:rPr>
        <w:t xml:space="preserve">Supplementary Table 6 - Roary </w:t>
      </w:r>
      <w:r w:rsidRPr="003A1924">
        <w:rPr>
          <w:i/>
          <w:lang w:val="en"/>
        </w:rPr>
        <w:t>E. coli</w:t>
      </w:r>
      <w:r w:rsidRPr="003A1924">
        <w:rPr>
          <w:lang w:val="en"/>
        </w:rPr>
        <w:t xml:space="preserve"> subtrees internal AP/unaffected control distribution of samples</w:t>
      </w:r>
    </w:p>
    <w:p w14:paraId="4FB03E8E" w14:textId="77777777" w:rsidR="003A1924" w:rsidRPr="003A1924" w:rsidRDefault="003A1924" w:rsidP="003A1924">
      <w:pPr>
        <w:rPr>
          <w:lang w:val="en"/>
        </w:rPr>
      </w:pPr>
      <w:r w:rsidRPr="003A1924">
        <w:rPr>
          <w:lang w:val="en"/>
        </w:rPr>
        <w:t xml:space="preserve">Supplementary Table 7 - Enrichment of biological processes in </w:t>
      </w:r>
      <w:r w:rsidRPr="003A1924">
        <w:rPr>
          <w:i/>
          <w:lang w:val="en"/>
        </w:rPr>
        <w:t xml:space="preserve">E. coli </w:t>
      </w:r>
      <w:r w:rsidRPr="003A1924">
        <w:rPr>
          <w:lang w:val="en"/>
        </w:rPr>
        <w:t>MAGs, found to be enriched in infants with AP</w:t>
      </w:r>
    </w:p>
    <w:p w14:paraId="375CB450" w14:textId="77777777" w:rsidR="003A1924" w:rsidRPr="003A1924" w:rsidRDefault="003A1924" w:rsidP="003A1924">
      <w:pPr>
        <w:rPr>
          <w:lang w:val="en"/>
        </w:rPr>
      </w:pPr>
      <w:r w:rsidRPr="003A1924">
        <w:rPr>
          <w:lang w:val="en"/>
        </w:rPr>
        <w:t>Supplementary Table 8 - Performance evaluation of random forest prediction models</w:t>
      </w:r>
    </w:p>
    <w:p w14:paraId="7A7E3C06" w14:textId="77777777" w:rsidR="003A1924" w:rsidRPr="003A1924" w:rsidRDefault="003A1924" w:rsidP="003A1924">
      <w:pPr>
        <w:rPr>
          <w:lang w:val="en"/>
        </w:rPr>
      </w:pPr>
      <w:r w:rsidRPr="003A1924">
        <w:rPr>
          <w:lang w:val="en"/>
        </w:rPr>
        <w:t>Supplementary Table 9 - SHAP results for AP prediction models on genus- and species-level inputs</w:t>
      </w:r>
    </w:p>
    <w:p w14:paraId="57D19FA6" w14:textId="77777777" w:rsidR="003A1924" w:rsidRPr="003A1924" w:rsidRDefault="003A1924" w:rsidP="003A1924">
      <w:pPr>
        <w:rPr>
          <w:lang w:val="en"/>
        </w:rPr>
      </w:pPr>
      <w:r w:rsidRPr="003A1924">
        <w:rPr>
          <w:lang w:val="en"/>
        </w:rPr>
        <w:t xml:space="preserve">Supplementary Table 10 - Performance evaluation of random forest prediction models - with </w:t>
      </w:r>
      <w:proofErr w:type="spellStart"/>
      <w:r w:rsidRPr="003A1924">
        <w:rPr>
          <w:i/>
          <w:lang w:val="en"/>
        </w:rPr>
        <w:t>Lacticaseibacillus</w:t>
      </w:r>
      <w:proofErr w:type="spellEnd"/>
      <w:r w:rsidRPr="003A1924">
        <w:rPr>
          <w:i/>
          <w:lang w:val="en"/>
        </w:rPr>
        <w:t xml:space="preserve"> </w:t>
      </w:r>
      <w:proofErr w:type="spellStart"/>
      <w:r w:rsidRPr="003A1924">
        <w:rPr>
          <w:i/>
          <w:lang w:val="en"/>
        </w:rPr>
        <w:t>rhamnosus</w:t>
      </w:r>
      <w:proofErr w:type="spellEnd"/>
    </w:p>
    <w:p w14:paraId="1FE68BAF" w14:textId="77777777" w:rsidR="003A1924" w:rsidRPr="003A1924" w:rsidRDefault="003A1924" w:rsidP="003A1924">
      <w:pPr>
        <w:rPr>
          <w:lang w:val="en"/>
        </w:rPr>
      </w:pPr>
      <w:r w:rsidRPr="003A1924">
        <w:rPr>
          <w:lang w:val="en"/>
        </w:rPr>
        <w:t xml:space="preserve">Supplementary Table 11 - SHAP results for AP prediction models on genus- and species-level inputs - with </w:t>
      </w:r>
      <w:proofErr w:type="spellStart"/>
      <w:r w:rsidRPr="003A1924">
        <w:rPr>
          <w:i/>
          <w:lang w:val="en"/>
        </w:rPr>
        <w:t>Lacticaseibacillus</w:t>
      </w:r>
      <w:proofErr w:type="spellEnd"/>
      <w:r w:rsidRPr="003A1924">
        <w:rPr>
          <w:i/>
          <w:lang w:val="en"/>
        </w:rPr>
        <w:t xml:space="preserve"> </w:t>
      </w:r>
      <w:proofErr w:type="spellStart"/>
      <w:r w:rsidRPr="003A1924">
        <w:rPr>
          <w:i/>
          <w:lang w:val="en"/>
        </w:rPr>
        <w:t>rhamnosus</w:t>
      </w:r>
      <w:proofErr w:type="spellEnd"/>
    </w:p>
    <w:p w14:paraId="6A896D06" w14:textId="77777777" w:rsidR="003A1924" w:rsidRPr="003A1924" w:rsidRDefault="003A1924" w:rsidP="003A1924">
      <w:pPr>
        <w:rPr>
          <w:lang w:val="en"/>
        </w:rPr>
      </w:pPr>
    </w:p>
    <w:p w14:paraId="35285EB7" w14:textId="77777777" w:rsidR="003A1924" w:rsidRPr="003A1924" w:rsidRDefault="003A1924" w:rsidP="003A1924">
      <w:pPr>
        <w:rPr>
          <w:lang w:val="en"/>
        </w:rPr>
      </w:pPr>
    </w:p>
    <w:p w14:paraId="68C65CA8" w14:textId="77777777" w:rsidR="003A1924" w:rsidRPr="003A1924" w:rsidRDefault="003A1924" w:rsidP="003A1924">
      <w:pPr>
        <w:rPr>
          <w:b/>
          <w:lang w:val="en"/>
        </w:rPr>
      </w:pPr>
      <w:r w:rsidRPr="003A1924">
        <w:rPr>
          <w:lang w:val="en"/>
        </w:rPr>
        <w:br w:type="page"/>
      </w:r>
      <w:bookmarkStart w:id="0" w:name="_49k8653kvcvl"/>
      <w:bookmarkEnd w:id="0"/>
    </w:p>
    <w:p w14:paraId="1CDD927E" w14:textId="77777777" w:rsidR="003A1924" w:rsidRPr="003A1924" w:rsidRDefault="003A1924" w:rsidP="003A1924">
      <w:pPr>
        <w:rPr>
          <w:b/>
          <w:lang w:val="en"/>
        </w:rPr>
      </w:pPr>
      <w:bookmarkStart w:id="1" w:name="_jtubvry2qifh"/>
      <w:bookmarkEnd w:id="1"/>
      <w:r w:rsidRPr="003A1924">
        <w:rPr>
          <w:b/>
          <w:lang w:val="en"/>
        </w:rPr>
        <w:lastRenderedPageBreak/>
        <w:t>Supplementary Figures</w:t>
      </w:r>
    </w:p>
    <w:p w14:paraId="7B49B01B" w14:textId="77777777" w:rsidR="003A1924" w:rsidRPr="003A1924" w:rsidRDefault="003A1924" w:rsidP="003A1924">
      <w:pPr>
        <w:rPr>
          <w:lang w:val="en"/>
        </w:rPr>
      </w:pPr>
      <w:r w:rsidRPr="003A1924">
        <w:rPr>
          <w:b/>
          <w:lang w:val="en"/>
        </w:rPr>
        <w:t>Supplementary Figure 1: Extended overview of microbiome composition, diversity, structure, and sample matching across the first year of life. (A)</w:t>
      </w:r>
      <w:r w:rsidRPr="003A1924">
        <w:rPr>
          <w:lang w:val="en"/>
        </w:rPr>
        <w:t xml:space="preserve"> Mean relative abundance of the 15 most prevalent genus-level taxa in infants without AP (left) and with AP (right), stratified by age.</w:t>
      </w:r>
      <w:r w:rsidRPr="003A1924">
        <w:rPr>
          <w:b/>
          <w:lang w:val="en"/>
        </w:rPr>
        <w:t xml:space="preserve"> (B)</w:t>
      </w:r>
      <w:r w:rsidRPr="003A1924">
        <w:rPr>
          <w:lang w:val="en"/>
        </w:rPr>
        <w:t xml:space="preserve"> Scatterplot showing Chao1 richness by visit age (months), with a linear trendline indicating increased richness over time. </w:t>
      </w:r>
      <w:r w:rsidRPr="003A1924">
        <w:rPr>
          <w:b/>
          <w:lang w:val="en"/>
        </w:rPr>
        <w:t>(C)</w:t>
      </w:r>
      <w:r w:rsidRPr="003A1924">
        <w:rPr>
          <w:lang w:val="en"/>
        </w:rPr>
        <w:t xml:space="preserve"> Scatterplot showing Shannon diversity by visit age, with a linear trendline. </w:t>
      </w:r>
      <w:r w:rsidRPr="003A1924">
        <w:rPr>
          <w:b/>
          <w:lang w:val="en"/>
        </w:rPr>
        <w:t>(D)</w:t>
      </w:r>
      <w:r w:rsidRPr="003A1924">
        <w:rPr>
          <w:lang w:val="en"/>
        </w:rPr>
        <w:t xml:space="preserve"> Shannon diversity across symptom-defined groups (Unaffected control, Pre-symptoms, Symptomatic, Resolved) and age bins, visualized by boxplots. </w:t>
      </w:r>
      <w:r w:rsidRPr="003A1924">
        <w:rPr>
          <w:b/>
          <w:lang w:val="en"/>
        </w:rPr>
        <w:t>(E)</w:t>
      </w:r>
      <w:r w:rsidRPr="003A1924">
        <w:rPr>
          <w:lang w:val="en"/>
        </w:rPr>
        <w:t xml:space="preserve"> Principal Coordinates Analysis (</w:t>
      </w:r>
      <w:proofErr w:type="spellStart"/>
      <w:r w:rsidRPr="003A1924">
        <w:rPr>
          <w:lang w:val="en"/>
        </w:rPr>
        <w:t>PCoA</w:t>
      </w:r>
      <w:proofErr w:type="spellEnd"/>
      <w:r w:rsidRPr="003A1924">
        <w:rPr>
          <w:lang w:val="en"/>
        </w:rPr>
        <w:t xml:space="preserve">) based on Aitchison distance, with points colored by Shannon diversity; the first two axes explain 10.7% and 5.2% of the variance, respectively. </w:t>
      </w:r>
      <w:r w:rsidRPr="003A1924">
        <w:rPr>
          <w:b/>
          <w:lang w:val="en"/>
        </w:rPr>
        <w:t>(F)</w:t>
      </w:r>
      <w:r w:rsidRPr="003A1924">
        <w:rPr>
          <w:lang w:val="en"/>
        </w:rPr>
        <w:t xml:space="preserve"> Microbiome dissimilarity based on Bray–</w:t>
      </w:r>
      <w:proofErr w:type="gramStart"/>
      <w:r w:rsidRPr="003A1924">
        <w:rPr>
          <w:lang w:val="en"/>
        </w:rPr>
        <w:t>Curtis</w:t>
      </w:r>
      <w:proofErr w:type="gramEnd"/>
      <w:r w:rsidRPr="003A1924">
        <w:rPr>
          <w:lang w:val="en"/>
        </w:rPr>
        <w:t xml:space="preserve"> distance between sample pairs from the same infant (Related) and between infants (Unrelated), across age transitions. Related samples show significantly lower dissimilarity, indicating greater within-infant stability.</w:t>
      </w:r>
    </w:p>
    <w:p w14:paraId="54F5EED3" w14:textId="77777777" w:rsidR="003A1924" w:rsidRPr="003A1924" w:rsidRDefault="003A1924" w:rsidP="003A1924">
      <w:pPr>
        <w:rPr>
          <w:lang w:val="en"/>
        </w:rPr>
      </w:pPr>
      <w:r w:rsidRPr="003A1924">
        <w:rPr>
          <w:b/>
          <w:lang w:val="en"/>
        </w:rPr>
        <w:t xml:space="preserve">Supplementary Figure 2: Overview of </w:t>
      </w:r>
      <w:proofErr w:type="gramStart"/>
      <w:r w:rsidRPr="003A1924">
        <w:rPr>
          <w:b/>
          <w:lang w:val="en"/>
        </w:rPr>
        <w:t>MAGs</w:t>
      </w:r>
      <w:proofErr w:type="gramEnd"/>
      <w:r w:rsidRPr="003A1924">
        <w:rPr>
          <w:b/>
          <w:lang w:val="en"/>
        </w:rPr>
        <w:t xml:space="preserve"> creation process and quality. (A) </w:t>
      </w:r>
      <w:proofErr w:type="gramStart"/>
      <w:r w:rsidRPr="003A1924">
        <w:rPr>
          <w:lang w:val="en"/>
        </w:rPr>
        <w:t>flowchart</w:t>
      </w:r>
      <w:proofErr w:type="gramEnd"/>
      <w:r w:rsidRPr="003A1924">
        <w:rPr>
          <w:lang w:val="en"/>
        </w:rPr>
        <w:t xml:space="preserve"> of MAGs creation pipeline including used software and number of results at each point. </w:t>
      </w:r>
      <w:r w:rsidRPr="003A1924">
        <w:rPr>
          <w:b/>
          <w:lang w:val="en"/>
        </w:rPr>
        <w:t xml:space="preserve">(B) </w:t>
      </w:r>
      <w:r w:rsidRPr="003A1924">
        <w:rPr>
          <w:lang w:val="en"/>
        </w:rPr>
        <w:t>MAGs quality, presented by %completeness (x-axis) and %contamination (y-axis), both evaluated by CheckM2. MAGs are colored by quality: High quality (HQ) – completeness &gt;= 85% and contamination &lt; 5%; Medium quality (MQ) – completeness above 50% and below 85%, and contamination &lt; 5%; Low quality (LQ) – all the rest.</w:t>
      </w:r>
    </w:p>
    <w:p w14:paraId="79D7E798" w14:textId="77777777" w:rsidR="003A1924" w:rsidRPr="003A1924" w:rsidRDefault="003A1924" w:rsidP="003A1924">
      <w:pPr>
        <w:rPr>
          <w:lang w:val="en"/>
        </w:rPr>
      </w:pPr>
      <w:r w:rsidRPr="003A1924">
        <w:rPr>
          <w:b/>
          <w:lang w:val="en"/>
        </w:rPr>
        <w:t>Supplementary Figure 3: Microbiome structure and age-matching strategy for MaAsLin2 analysis. (A–B)</w:t>
      </w:r>
      <w:r w:rsidRPr="003A1924">
        <w:rPr>
          <w:lang w:val="en"/>
        </w:rPr>
        <w:t xml:space="preserve"> Principal Coordinates Analysis (</w:t>
      </w:r>
      <w:proofErr w:type="spellStart"/>
      <w:r w:rsidRPr="003A1924">
        <w:rPr>
          <w:lang w:val="en"/>
        </w:rPr>
        <w:t>PCoA</w:t>
      </w:r>
      <w:proofErr w:type="spellEnd"/>
      <w:r w:rsidRPr="003A1924">
        <w:rPr>
          <w:lang w:val="en"/>
        </w:rPr>
        <w:t>) based on Bray–</w:t>
      </w:r>
      <w:proofErr w:type="gramStart"/>
      <w:r w:rsidRPr="003A1924">
        <w:rPr>
          <w:lang w:val="en"/>
        </w:rPr>
        <w:t>Curtis</w:t>
      </w:r>
      <w:proofErr w:type="gramEnd"/>
      <w:r w:rsidRPr="003A1924">
        <w:rPr>
          <w:lang w:val="en"/>
        </w:rPr>
        <w:t xml:space="preserve"> distance, with samples colored by their dominant taxonomic feature. </w:t>
      </w:r>
      <w:r w:rsidRPr="003A1924">
        <w:rPr>
          <w:b/>
          <w:lang w:val="en"/>
        </w:rPr>
        <w:t>(A)</w:t>
      </w:r>
      <w:r w:rsidRPr="003A1924">
        <w:rPr>
          <w:lang w:val="en"/>
        </w:rPr>
        <w:t xml:space="preserve"> Genus-level </w:t>
      </w:r>
      <w:proofErr w:type="spellStart"/>
      <w:r w:rsidRPr="003A1924">
        <w:rPr>
          <w:lang w:val="en"/>
        </w:rPr>
        <w:t>PCoA</w:t>
      </w:r>
      <w:proofErr w:type="spellEnd"/>
      <w:r w:rsidRPr="003A1924">
        <w:rPr>
          <w:lang w:val="en"/>
        </w:rPr>
        <w:t xml:space="preserve">, with marginal histograms showing sample density along each axis. </w:t>
      </w:r>
      <w:r w:rsidRPr="003A1924">
        <w:rPr>
          <w:b/>
          <w:lang w:val="en"/>
        </w:rPr>
        <w:t>(B)</w:t>
      </w:r>
      <w:r w:rsidRPr="003A1924">
        <w:rPr>
          <w:lang w:val="en"/>
        </w:rPr>
        <w:t xml:space="preserve"> Species-level </w:t>
      </w:r>
      <w:proofErr w:type="spellStart"/>
      <w:r w:rsidRPr="003A1924">
        <w:rPr>
          <w:lang w:val="en"/>
        </w:rPr>
        <w:t>PCoA</w:t>
      </w:r>
      <w:proofErr w:type="spellEnd"/>
      <w:r w:rsidRPr="003A1924">
        <w:rPr>
          <w:lang w:val="en"/>
        </w:rPr>
        <w:t xml:space="preserve">, with dominant species relevant to gut maturation highlighted in </w:t>
      </w:r>
      <w:r w:rsidRPr="003A1924">
        <w:rPr>
          <w:b/>
          <w:lang w:val="en"/>
        </w:rPr>
        <w:t>bold</w:t>
      </w:r>
      <w:r w:rsidRPr="003A1924">
        <w:rPr>
          <w:lang w:val="en"/>
        </w:rPr>
        <w:t xml:space="preserve"> (e.g., </w:t>
      </w:r>
      <w:r w:rsidRPr="003A1924">
        <w:rPr>
          <w:i/>
          <w:lang w:val="en"/>
        </w:rPr>
        <w:t xml:space="preserve">Bifidobacterium </w:t>
      </w:r>
      <w:proofErr w:type="gramStart"/>
      <w:r w:rsidRPr="003A1924">
        <w:rPr>
          <w:i/>
          <w:lang w:val="en"/>
        </w:rPr>
        <w:t>breve</w:t>
      </w:r>
      <w:proofErr w:type="gramEnd"/>
      <w:r w:rsidRPr="003A1924">
        <w:rPr>
          <w:lang w:val="en"/>
        </w:rPr>
        <w:t xml:space="preserve">, </w:t>
      </w:r>
      <w:r w:rsidRPr="003A1924">
        <w:rPr>
          <w:i/>
          <w:lang w:val="en"/>
        </w:rPr>
        <w:t>Bifidobacterium bifidum</w:t>
      </w:r>
      <w:r w:rsidRPr="003A1924">
        <w:rPr>
          <w:lang w:val="en"/>
        </w:rPr>
        <w:t xml:space="preserve">, </w:t>
      </w:r>
      <w:r w:rsidRPr="003A1924">
        <w:rPr>
          <w:i/>
          <w:lang w:val="en"/>
        </w:rPr>
        <w:t xml:space="preserve">Parabacteroides </w:t>
      </w:r>
      <w:proofErr w:type="spellStart"/>
      <w:r w:rsidRPr="003A1924">
        <w:rPr>
          <w:i/>
          <w:lang w:val="en"/>
        </w:rPr>
        <w:t>distasonis</w:t>
      </w:r>
      <w:proofErr w:type="spellEnd"/>
      <w:r w:rsidRPr="003A1924">
        <w:rPr>
          <w:lang w:val="en"/>
        </w:rPr>
        <w:t xml:space="preserve">, </w:t>
      </w:r>
      <w:r w:rsidRPr="003A1924">
        <w:rPr>
          <w:i/>
          <w:lang w:val="en"/>
        </w:rPr>
        <w:t>Escherichia coli</w:t>
      </w:r>
      <w:r w:rsidRPr="003A1924">
        <w:rPr>
          <w:lang w:val="en"/>
        </w:rPr>
        <w:t xml:space="preserve">, </w:t>
      </w:r>
      <w:r w:rsidRPr="003A1924">
        <w:rPr>
          <w:i/>
          <w:lang w:val="en"/>
        </w:rPr>
        <w:t>Klebsiella pneumoniae</w:t>
      </w:r>
      <w:r w:rsidRPr="003A1924">
        <w:rPr>
          <w:lang w:val="en"/>
        </w:rPr>
        <w:t xml:space="preserve">). </w:t>
      </w:r>
      <w:r w:rsidRPr="003A1924">
        <w:rPr>
          <w:b/>
          <w:lang w:val="en"/>
        </w:rPr>
        <w:t>(C)</w:t>
      </w:r>
      <w:r w:rsidRPr="003A1924">
        <w:rPr>
          <w:lang w:val="en"/>
        </w:rPr>
        <w:t xml:space="preserve"> Age-matching of samples for MaAsLin2 analysis using matched control samples (</w:t>
      </w:r>
      <w:r w:rsidRPr="003A1924">
        <w:rPr>
          <w:b/>
          <w:lang w:val="en"/>
        </w:rPr>
        <w:t>Methods</w:t>
      </w:r>
      <w:r w:rsidRPr="003A1924">
        <w:rPr>
          <w:lang w:val="en"/>
        </w:rPr>
        <w:t xml:space="preserve">): </w:t>
      </w:r>
      <w:r w:rsidRPr="003A1924">
        <w:rPr>
          <w:b/>
          <w:lang w:val="en"/>
        </w:rPr>
        <w:t>Left</w:t>
      </w:r>
      <w:r w:rsidRPr="003A1924">
        <w:rPr>
          <w:lang w:val="en"/>
        </w:rPr>
        <w:t xml:space="preserve"> – last </w:t>
      </w:r>
      <w:proofErr w:type="gramStart"/>
      <w:r w:rsidRPr="003A1924">
        <w:rPr>
          <w:lang w:val="en"/>
        </w:rPr>
        <w:t>Pre-symptomatic</w:t>
      </w:r>
      <w:proofErr w:type="gramEnd"/>
      <w:r w:rsidRPr="003A1924">
        <w:rPr>
          <w:lang w:val="en"/>
        </w:rPr>
        <w:t xml:space="preserve"> sample; </w:t>
      </w:r>
      <w:r w:rsidRPr="003A1924">
        <w:rPr>
          <w:b/>
          <w:lang w:val="en"/>
        </w:rPr>
        <w:t>Middle</w:t>
      </w:r>
      <w:r w:rsidRPr="003A1924">
        <w:rPr>
          <w:lang w:val="en"/>
        </w:rPr>
        <w:t xml:space="preserve"> – first Symptomatic sample; </w:t>
      </w:r>
      <w:r w:rsidRPr="003A1924">
        <w:rPr>
          <w:b/>
          <w:lang w:val="en"/>
        </w:rPr>
        <w:t>Right</w:t>
      </w:r>
      <w:r w:rsidRPr="003A1924">
        <w:rPr>
          <w:lang w:val="en"/>
        </w:rPr>
        <w:t xml:space="preserve"> – first Resolved sample. In each plot, the x-axis represents the visit age of the AP sample, and the y-axis represents the visit age of the matched control sample. Points close to the diagonal indicate successful age matching.</w:t>
      </w:r>
    </w:p>
    <w:p w14:paraId="6ADCB557" w14:textId="77777777" w:rsidR="003A1924" w:rsidRPr="003A1924" w:rsidRDefault="003A1924" w:rsidP="003A1924">
      <w:pPr>
        <w:rPr>
          <w:lang w:val="en"/>
        </w:rPr>
      </w:pPr>
      <w:r w:rsidRPr="003A1924">
        <w:rPr>
          <w:b/>
          <w:lang w:val="en"/>
        </w:rPr>
        <w:t>Supplementary Figure 4: Machine learning-based classification of samples from infants with and without AP, and identification of key species-level microbial predictors (A, B)</w:t>
      </w:r>
      <w:r w:rsidRPr="003A1924">
        <w:rPr>
          <w:lang w:val="en"/>
        </w:rPr>
        <w:t xml:space="preserve"> Random Forest classification of infants with AP and infants without AP samples using species-level features. </w:t>
      </w:r>
      <w:r w:rsidRPr="003A1924">
        <w:rPr>
          <w:b/>
          <w:lang w:val="en"/>
        </w:rPr>
        <w:t>(A)</w:t>
      </w:r>
      <w:r w:rsidRPr="003A1924">
        <w:rPr>
          <w:lang w:val="en"/>
        </w:rPr>
        <w:t xml:space="preserve"> Confusion matrices showing classification performance stratified by visit age (≤4 months, &gt;6 months) and for all samples combined. </w:t>
      </w:r>
      <w:r w:rsidRPr="003A1924">
        <w:rPr>
          <w:b/>
          <w:lang w:val="en"/>
        </w:rPr>
        <w:t>(B)</w:t>
      </w:r>
      <w:r w:rsidRPr="003A1924">
        <w:rPr>
          <w:lang w:val="en"/>
        </w:rPr>
        <w:t xml:space="preserve"> SHAP summary plots </w:t>
      </w:r>
      <w:proofErr w:type="gramStart"/>
      <w:r w:rsidRPr="003A1924">
        <w:rPr>
          <w:lang w:val="en"/>
        </w:rPr>
        <w:t>illustrating</w:t>
      </w:r>
      <w:proofErr w:type="gramEnd"/>
      <w:r w:rsidRPr="003A1924">
        <w:rPr>
          <w:lang w:val="en"/>
        </w:rPr>
        <w:t xml:space="preserve"> the most influential species-level </w:t>
      </w:r>
      <w:r w:rsidRPr="003A1924">
        <w:rPr>
          <w:lang w:val="en"/>
        </w:rPr>
        <w:lastRenderedPageBreak/>
        <w:t>features contributing to model predictions in each age group and the full dataset. Each point represents an individual sample, with color indicating feature value. Feature rankings reflect the relative importance of species in distinguishing between FPIAP and control samples.</w:t>
      </w:r>
    </w:p>
    <w:p w14:paraId="314D9675"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924"/>
    <w:rsid w:val="003A1924"/>
    <w:rsid w:val="00767E38"/>
    <w:rsid w:val="00866F7D"/>
    <w:rsid w:val="009B4166"/>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A27D4"/>
  <w15:chartTrackingRefBased/>
  <w15:docId w15:val="{A9D56C67-3434-4BCD-9D89-FE072970B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19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19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19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19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19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19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19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19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19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19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19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19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19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19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19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19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19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1924"/>
    <w:rPr>
      <w:rFonts w:eastAsiaTheme="majorEastAsia" w:cstheme="majorBidi"/>
      <w:color w:val="272727" w:themeColor="text1" w:themeTint="D8"/>
    </w:rPr>
  </w:style>
  <w:style w:type="paragraph" w:styleId="Title">
    <w:name w:val="Title"/>
    <w:basedOn w:val="Normal"/>
    <w:next w:val="Normal"/>
    <w:link w:val="TitleChar"/>
    <w:uiPriority w:val="10"/>
    <w:qFormat/>
    <w:rsid w:val="003A19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19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19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19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1924"/>
    <w:pPr>
      <w:spacing w:before="160"/>
      <w:jc w:val="center"/>
    </w:pPr>
    <w:rPr>
      <w:i/>
      <w:iCs/>
      <w:color w:val="404040" w:themeColor="text1" w:themeTint="BF"/>
    </w:rPr>
  </w:style>
  <w:style w:type="character" w:customStyle="1" w:styleId="QuoteChar">
    <w:name w:val="Quote Char"/>
    <w:basedOn w:val="DefaultParagraphFont"/>
    <w:link w:val="Quote"/>
    <w:uiPriority w:val="29"/>
    <w:rsid w:val="003A1924"/>
    <w:rPr>
      <w:i/>
      <w:iCs/>
      <w:color w:val="404040" w:themeColor="text1" w:themeTint="BF"/>
    </w:rPr>
  </w:style>
  <w:style w:type="paragraph" w:styleId="ListParagraph">
    <w:name w:val="List Paragraph"/>
    <w:basedOn w:val="Normal"/>
    <w:uiPriority w:val="34"/>
    <w:qFormat/>
    <w:rsid w:val="003A1924"/>
    <w:pPr>
      <w:ind w:left="720"/>
      <w:contextualSpacing/>
    </w:pPr>
  </w:style>
  <w:style w:type="character" w:styleId="IntenseEmphasis">
    <w:name w:val="Intense Emphasis"/>
    <w:basedOn w:val="DefaultParagraphFont"/>
    <w:uiPriority w:val="21"/>
    <w:qFormat/>
    <w:rsid w:val="003A1924"/>
    <w:rPr>
      <w:i/>
      <w:iCs/>
      <w:color w:val="0F4761" w:themeColor="accent1" w:themeShade="BF"/>
    </w:rPr>
  </w:style>
  <w:style w:type="paragraph" w:styleId="IntenseQuote">
    <w:name w:val="Intense Quote"/>
    <w:basedOn w:val="Normal"/>
    <w:next w:val="Normal"/>
    <w:link w:val="IntenseQuoteChar"/>
    <w:uiPriority w:val="30"/>
    <w:qFormat/>
    <w:rsid w:val="003A19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1924"/>
    <w:rPr>
      <w:i/>
      <w:iCs/>
      <w:color w:val="0F4761" w:themeColor="accent1" w:themeShade="BF"/>
    </w:rPr>
  </w:style>
  <w:style w:type="character" w:styleId="IntenseReference">
    <w:name w:val="Intense Reference"/>
    <w:basedOn w:val="DefaultParagraphFont"/>
    <w:uiPriority w:val="32"/>
    <w:qFormat/>
    <w:rsid w:val="003A19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7758372">
      <w:bodyDiv w:val="1"/>
      <w:marLeft w:val="0"/>
      <w:marRight w:val="0"/>
      <w:marTop w:val="0"/>
      <w:marBottom w:val="0"/>
      <w:divBdr>
        <w:top w:val="none" w:sz="0" w:space="0" w:color="auto"/>
        <w:left w:val="none" w:sz="0" w:space="0" w:color="auto"/>
        <w:bottom w:val="none" w:sz="0" w:space="0" w:color="auto"/>
        <w:right w:val="none" w:sz="0" w:space="0" w:color="auto"/>
      </w:divBdr>
    </w:div>
    <w:div w:id="1999839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674</Words>
  <Characters>3847</Characters>
  <Application>Microsoft Office Word</Application>
  <DocSecurity>0</DocSecurity>
  <Lines>32</Lines>
  <Paragraphs>9</Paragraphs>
  <ScaleCrop>false</ScaleCrop>
  <Company/>
  <LinksUpToDate>false</LinksUpToDate>
  <CharactersWithSpaces>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2025-08-25T07:12:00Z</dcterms:created>
  <dcterms:modified xsi:type="dcterms:W3CDTF">2025-08-25T07:12:00Z</dcterms:modified>
</cp:coreProperties>
</file>