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EBB68">
      <w:pPr>
        <w:keepNext w:val="0"/>
        <w:keepLines w:val="0"/>
        <w:widowControl/>
        <w:suppressLineNumbers w:val="0"/>
        <w:jc w:val="center"/>
        <w:rPr>
          <w:rFonts w:hint="default" w:ascii="Times New Roman Regular" w:hAnsi="Times New Roman Regular" w:eastAsia="Helvetica Neue" w:cs="Times New Roman Regular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bookmarkStart w:id="1" w:name="_GoBack"/>
      <w:r>
        <w:rPr>
          <w:rFonts w:hint="default" w:ascii="Times New Roman Regular" w:hAnsi="Times New Roman Regular" w:eastAsia="Helvetica Neue" w:cs="Times New Roman Regular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Supplementary </w:t>
      </w:r>
      <w:r>
        <w:rPr>
          <w:rFonts w:hint="default" w:ascii="Times New Roman Regular" w:hAnsi="Times New Roman Regular" w:eastAsia="Helvetica Neue" w:cs="Times New Roman Regular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>figure</w:t>
      </w:r>
    </w:p>
    <w:bookmarkEnd w:id="1"/>
    <w:p w14:paraId="12C3FD6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 Regular" w:hAnsi="Times New Roman Regular" w:cs="Times New Roman Regular"/>
          <w:sz w:val="21"/>
          <w:szCs w:val="21"/>
        </w:rPr>
      </w:pPr>
      <w:r>
        <w:rPr>
          <w:rFonts w:hint="default" w:ascii="Times New Roman Regular" w:hAnsi="Times New Roman Regular" w:eastAsia="宋体" w:cs="Times New Roman Regular"/>
          <w:kern w:val="2"/>
          <w:sz w:val="21"/>
          <w:szCs w:val="21"/>
          <w:lang w:val="en-US" w:eastAsia="zh-CN" w:bidi="ar"/>
        </w:rPr>
        <w:t xml:space="preserve">Manuscript: </w:t>
      </w:r>
      <w:r>
        <w:rPr>
          <w:rFonts w:hint="default" w:ascii="Times New Roman Regular" w:hAnsi="Times New Roman Regular" w:cs="Times New Roman Regular"/>
          <w:sz w:val="21"/>
          <w:szCs w:val="21"/>
        </w:rPr>
        <w:t>Oncolytic HSV-CD44 Reprograms One-Carbon Metabolism to Modulate AKT and MAPK Signaling in Glioblastoma Stem Cells</w:t>
      </w:r>
    </w:p>
    <w:p w14:paraId="5506756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 Regular" w:hAnsi="Times New Roman Regular" w:cs="Times New Roman Regular"/>
          <w:sz w:val="21"/>
          <w:szCs w:val="21"/>
        </w:rPr>
      </w:pPr>
    </w:p>
    <w:p w14:paraId="1F8130A5">
      <w:pPr>
        <w:keepNext w:val="0"/>
        <w:keepLines w:val="0"/>
        <w:widowControl/>
        <w:suppressLineNumbers w:val="0"/>
        <w:jc w:val="left"/>
        <w:rPr>
          <w:rFonts w:hint="default" w:ascii="Times New Roman Bold" w:hAnsi="Times New Roman Bold" w:eastAsia="宋体" w:cs="Times New Roman Bold"/>
          <w:b/>
          <w:bCs/>
          <w:kern w:val="2"/>
          <w:sz w:val="21"/>
          <w:szCs w:val="21"/>
          <w:lang w:val="en-US" w:eastAsia="zh-CN" w:bidi="ar"/>
        </w:rPr>
      </w:pPr>
      <w:r>
        <w:rPr>
          <w:rFonts w:hint="default" w:ascii="Times New Roman Bold" w:hAnsi="Times New Roman Bold" w:eastAsia="DengXian" w:cs="Times New Roman Bold"/>
          <w:b/>
          <w:bCs/>
          <w:kern w:val="2"/>
          <w:sz w:val="21"/>
          <w:szCs w:val="21"/>
          <w:lang w:val="en-US" w:eastAsia="zh-CN" w:bidi="ar"/>
        </w:rPr>
        <w:t>Proteome analysis of OHSV-CD44 treatment.</w:t>
      </w:r>
      <w:r>
        <w:rPr>
          <w:rFonts w:hint="default" w:ascii="Times New Roman Bold" w:hAnsi="Times New Roman Bold" w:eastAsia="宋体" w:cs="Times New Roman Bold"/>
          <w:b/>
          <w:bCs/>
          <w:kern w:val="2"/>
          <w:sz w:val="21"/>
          <w:szCs w:val="21"/>
          <w:lang w:val="en-US" w:eastAsia="zh-CN" w:bidi="ar"/>
        </w:rPr>
        <w:t xml:space="preserve"> </w:t>
      </w:r>
    </w:p>
    <w:p w14:paraId="21DFB50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default" w:ascii="Times New Roman Regular" w:hAnsi="Times New Roman Regular" w:cs="Times New Roman Regular"/>
          <w:sz w:val="21"/>
          <w:szCs w:val="21"/>
        </w:rPr>
      </w:pPr>
      <w:r>
        <w:rPr>
          <w:rFonts w:hint="default" w:ascii="Times New Roman Regular" w:hAnsi="Times New Roman Regular" w:eastAsia="DengXian" w:cs="Times New Roman Regular"/>
          <w:kern w:val="2"/>
          <w:sz w:val="21"/>
          <w:szCs w:val="21"/>
          <w:lang w:val="en-US" w:eastAsia="zh-CN" w:bidi="ar"/>
        </w:rPr>
        <w:t xml:space="preserve">To evaluate the changes in protein expression in untreated and oHSV-CD44-treated glioma cells, we analyzed the changes in proteins in the infected cells using proteomics. We performed a protein differential expression analysis with a significance threshold of p &lt; 0.05 and |log2(Fold change)|&gt;1. According to the results of the volcano plot, </w:t>
      </w:r>
      <w:bookmarkStart w:id="0" w:name="OLE_LINK8"/>
      <w:r>
        <w:rPr>
          <w:rFonts w:hint="default" w:ascii="Times New Roman Regular" w:hAnsi="Times New Roman Regular" w:eastAsia="DengXian" w:cs="Times New Roman Regular"/>
          <w:kern w:val="2"/>
          <w:sz w:val="21"/>
          <w:szCs w:val="21"/>
          <w:lang w:val="en-US" w:eastAsia="zh-CN" w:bidi="ar"/>
        </w:rPr>
        <w:t>the expression of 694 proteins was significantly reduced, while the expression of 275 proteins was upregulated considerably in GBM12 cells</w:t>
      </w:r>
      <w:bookmarkEnd w:id="0"/>
      <w:r>
        <w:rPr>
          <w:rFonts w:hint="default" w:ascii="Times New Roman Regular" w:hAnsi="Times New Roman Regular" w:eastAsia="DengXian" w:cs="Times New Roman Regular"/>
          <w:kern w:val="2"/>
          <w:sz w:val="21"/>
          <w:szCs w:val="21"/>
          <w:lang w:val="en-US" w:eastAsia="zh-CN" w:bidi="ar"/>
        </w:rPr>
        <w:t>. And the expression of 669 proteins was significantly reduced, while the expression of 269 proteins was upregulated considerably in GBM28 cells (Supplementary Fig. 1A, C).</w:t>
      </w:r>
      <w:r>
        <w:rPr>
          <w:rFonts w:hint="default" w:ascii="Times New Roman Regular" w:hAnsi="Times New Roman Regular" w:eastAsia="宋体" w:cs="Times New Roman Regular"/>
          <w:kern w:val="2"/>
          <w:sz w:val="21"/>
          <w:szCs w:val="21"/>
          <w:lang w:val="en-US" w:eastAsia="zh-CN" w:bidi="ar"/>
        </w:rPr>
        <w:t xml:space="preserve"> GO enrichment analysis showed that the proteomic changes induced by oHSV-CD44 were significantly associated with ribonucleoprotein complex biogenesis, focal adhesion and cadherin binding in GBM 12 cells and </w:t>
      </w:r>
      <w:r>
        <w:rPr>
          <w:rFonts w:hint="default" w:ascii="Times New Roman Regular" w:hAnsi="Times New Roman Regular" w:eastAsia="宋体" w:cs="Times New Roman Regular"/>
          <w:kern w:val="2"/>
          <w:sz w:val="21"/>
          <w:szCs w:val="21"/>
          <w:lang w:val="en-US" w:eastAsia="zh-CN" w:bidi="ar"/>
        </w:rPr>
        <w:t xml:space="preserve">were significantly associated with RNA splicing, focal adhesion and cadherin binding </w:t>
      </w:r>
      <w:r>
        <w:rPr>
          <w:rFonts w:hint="default" w:ascii="Times New Roman Regular" w:hAnsi="Times New Roman Regular" w:eastAsia="宋体" w:cs="Times New Roman Regular"/>
          <w:kern w:val="2"/>
          <w:sz w:val="21"/>
          <w:szCs w:val="21"/>
          <w:lang w:val="en-US" w:eastAsia="zh-CN" w:bidi="ar"/>
        </w:rPr>
        <w:t>in GBM28 cells (</w:t>
      </w:r>
      <w:r>
        <w:rPr>
          <w:rFonts w:hint="default" w:ascii="Times New Roman Regular" w:hAnsi="Times New Roman Regular" w:eastAsia="DengXian" w:cs="Times New Roman Regular"/>
          <w:kern w:val="2"/>
          <w:sz w:val="21"/>
          <w:szCs w:val="21"/>
          <w:lang w:val="en-US" w:eastAsia="zh-CN" w:bidi="ar"/>
        </w:rPr>
        <w:t>Supplementary Fig. 1B, D</w:t>
      </w:r>
      <w:r>
        <w:rPr>
          <w:rFonts w:hint="default" w:ascii="Times New Roman Regular" w:hAnsi="Times New Roman Regular" w:eastAsia="宋体" w:cs="Times New Roman Regular"/>
          <w:kern w:val="2"/>
          <w:sz w:val="21"/>
          <w:szCs w:val="21"/>
          <w:lang w:val="en-US" w:eastAsia="zh-CN" w:bidi="ar"/>
        </w:rPr>
        <w:t>).</w:t>
      </w:r>
    </w:p>
    <w:p w14:paraId="6FCA26B4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kern w:val="2"/>
          <w:sz w:val="24"/>
          <w:szCs w:val="24"/>
          <w:lang w:val="en-US" w:eastAsia="zh-CN" w:bidi="ar"/>
        </w:rPr>
      </w:pPr>
    </w:p>
    <w:p w14:paraId="7EE57D8C">
      <w:pPr>
        <w:keepNext w:val="0"/>
        <w:keepLines w:val="0"/>
        <w:widowControl/>
        <w:suppressLineNumbers w:val="0"/>
        <w:jc w:val="left"/>
        <w:rPr>
          <w:rFonts w:hint="default" w:ascii="Helvetica Neue" w:hAnsi="Helvetica Neue" w:eastAsia="Helvetica Neue" w:cs="Helvetica Neue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Helvetica Neue" w:hAnsi="Helvetica Neue" w:eastAsia="Helvetica Neue" w:cs="Helvetica Neue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drawing>
          <wp:inline distT="0" distB="0" distL="114300" distR="114300">
            <wp:extent cx="5267325" cy="3938270"/>
            <wp:effectExtent l="0" t="0" r="15875" b="24130"/>
            <wp:docPr id="2" name="图片 2" descr="Supple Fi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upple Fig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93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035E4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 Bold" w:hAnsi="Times New Roman Bold" w:eastAsia="DengXian" w:cs="Times New Roman Bold"/>
          <w:b/>
          <w:bCs/>
          <w:kern w:val="2"/>
          <w:sz w:val="21"/>
          <w:szCs w:val="24"/>
          <w:lang w:val="en-US" w:eastAsia="zh-CN" w:bidi="ar"/>
        </w:rPr>
        <w:t>Supplementary Fig.1</w:t>
      </w:r>
      <w:r>
        <w:rPr>
          <w:rFonts w:hint="default" w:ascii="Times New Roman" w:hAnsi="Times New Roman" w:eastAsia="DengXian" w:cs="Times New Roman (正文 CS 字体)"/>
          <w:b/>
          <w:bCs/>
          <w:kern w:val="2"/>
          <w:sz w:val="21"/>
          <w:szCs w:val="24"/>
          <w:lang w:val="en-US" w:eastAsia="zh-CN" w:bidi="ar"/>
        </w:rPr>
        <w:t xml:space="preserve"> Proteome analysis of OHSV-CD44 treatment.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 Bold" w:hAnsi="Times New Roman Bold" w:eastAsia="DengXian" w:cs="Times New Roman Bold"/>
          <w:b/>
          <w:bCs/>
          <w:kern w:val="2"/>
          <w:sz w:val="21"/>
          <w:szCs w:val="24"/>
          <w:lang w:val="en-US" w:eastAsia="zh-CN" w:bidi="ar"/>
        </w:rPr>
        <w:t xml:space="preserve">A </w:t>
      </w:r>
      <w:r>
        <w:rPr>
          <w:rFonts w:hint="default" w:ascii="Times New Roman" w:hAnsi="Times New Roman" w:eastAsia="DengXian" w:cs="Times New Roman (正文 CS 字体)"/>
          <w:kern w:val="2"/>
          <w:sz w:val="21"/>
          <w:szCs w:val="24"/>
          <w:lang w:val="en-US" w:eastAsia="zh-CN" w:bidi="ar"/>
        </w:rPr>
        <w:t xml:space="preserve">Volcano plot illustrating differentially expressed proteins following OHSV-CD44 treatment in GBM12 cells, with red indicating significant upregulation, blue indicating significant downregulation, and gray indicating no significant change. </w:t>
      </w:r>
      <w:r>
        <w:rPr>
          <w:rFonts w:hint="default" w:ascii="Times New Roman Bold" w:hAnsi="Times New Roman Bold" w:eastAsia="DengXian" w:cs="Times New Roman Bold"/>
          <w:b/>
          <w:bCs/>
          <w:kern w:val="2"/>
          <w:sz w:val="21"/>
          <w:szCs w:val="24"/>
          <w:lang w:val="en-US" w:eastAsia="zh-CN" w:bidi="ar"/>
        </w:rPr>
        <w:t>B</w:t>
      </w:r>
      <w:r>
        <w:rPr>
          <w:rFonts w:hint="default" w:ascii="Times New Roman" w:hAnsi="Times New Roman" w:eastAsia="DengXian" w:cs="Times New Roman (正文 CS 字体)"/>
          <w:kern w:val="2"/>
          <w:sz w:val="21"/>
          <w:szCs w:val="24"/>
          <w:lang w:val="en-US" w:eastAsia="zh-CN" w:bidi="ar"/>
        </w:rPr>
        <w:t xml:space="preserve"> GO analysis of differentially expressed proteins in GBM12 cells. </w:t>
      </w:r>
      <w:r>
        <w:rPr>
          <w:rFonts w:hint="default" w:ascii="Times New Roman Bold" w:hAnsi="Times New Roman Bold" w:eastAsia="DengXian" w:cs="Times New Roman Bold"/>
          <w:b/>
          <w:bCs/>
          <w:kern w:val="2"/>
          <w:sz w:val="21"/>
          <w:szCs w:val="21"/>
          <w:lang w:val="en-US" w:eastAsia="zh-CN" w:bidi="ar"/>
        </w:rPr>
        <w:t xml:space="preserve">C </w:t>
      </w:r>
      <w:r>
        <w:rPr>
          <w:rFonts w:hint="default" w:ascii="Times New Roman" w:hAnsi="Times New Roman" w:eastAsia="DengXian" w:cs="Times New Roman (正文 CS 字体)"/>
          <w:kern w:val="2"/>
          <w:sz w:val="21"/>
          <w:szCs w:val="21"/>
          <w:lang w:val="en-US" w:eastAsia="zh-CN" w:bidi="ar"/>
        </w:rPr>
        <w:t xml:space="preserve">Volcano plot illustrating differentially expressed proteins following OHSV-CD44 treatment in GBM28 cells, with red indicating significant upregulation, blue indicating significant downregulation, and gray indicating no significant change. </w:t>
      </w:r>
      <w:r>
        <w:rPr>
          <w:rFonts w:hint="default" w:ascii="Times New Roman Bold" w:hAnsi="Times New Roman Bold" w:eastAsia="DengXian" w:cs="Times New Roman Bold"/>
          <w:b/>
          <w:bCs/>
          <w:kern w:val="2"/>
          <w:sz w:val="21"/>
          <w:szCs w:val="21"/>
          <w:lang w:val="en-US" w:eastAsia="zh-CN" w:bidi="ar"/>
        </w:rPr>
        <w:t>D</w:t>
      </w:r>
      <w:r>
        <w:rPr>
          <w:rFonts w:hint="default" w:ascii="Times New Roman" w:hAnsi="Times New Roman" w:eastAsia="DengXian" w:cs="Times New Roman (正文 CS 字体)"/>
          <w:kern w:val="2"/>
          <w:sz w:val="21"/>
          <w:szCs w:val="21"/>
          <w:lang w:val="en-US" w:eastAsia="zh-CN" w:bidi="ar"/>
        </w:rPr>
        <w:t xml:space="preserve"> GO analysis of differentially expressed proteins in GBM12 cells.</w:t>
      </w:r>
    </w:p>
    <w:p w14:paraId="0FF59B0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</w:pPr>
    </w:p>
    <w:p w14:paraId="4C400C7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 (正文 CS 字体)"/>
          <w:lang w:val="en-US"/>
        </w:rPr>
      </w:pPr>
    </w:p>
    <w:p w14:paraId="3A95919B">
      <w:pPr>
        <w:keepNext w:val="0"/>
        <w:keepLines w:val="0"/>
        <w:widowControl/>
        <w:suppressLineNumbers w:val="0"/>
        <w:jc w:val="left"/>
        <w:rPr>
          <w:rFonts w:hint="default" w:ascii="Helvetica Neue" w:hAnsi="Helvetica Neue" w:eastAsia="Helvetica Neue" w:cs="Helvetica Neue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5BC757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AdvOT34fe1490.B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vOTf0129623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@Times New Roman (正文 CS 字体)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@等线">
    <w:altName w:val="华文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(正文 CS 字体)">
    <w:altName w:val="Times New Roman"/>
    <w:panose1 w:val="020B0604020202020204"/>
    <w:charset w:val="86"/>
    <w:family w:val="auto"/>
    <w:pitch w:val="default"/>
    <w:sig w:usb0="00000000" w:usb1="00000000" w:usb2="00000000" w:usb3="00000000" w:csb0="00000000" w:csb1="00000000"/>
  </w:font>
  <w:font w:name="DengXian">
    <w:altName w:val="汉仪中等线KW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altName w:val="Kingsoft Math"/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Math">
    <w:panose1 w:val="02040503050406030204"/>
    <w:charset w:val="00"/>
    <w:family w:val="auto"/>
    <w:pitch w:val="default"/>
    <w:sig w:usb0="80000087" w:usb1="00002068" w:usb2="00000000" w:usb3="00000000" w:csb0="2000019F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(正文 CS 字体)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ngXian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altName w:val="汉仪书宋二KW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Gurmukhi Sangam MN Regular">
    <w:panose1 w:val="00000500000000000000"/>
    <w:charset w:val="00"/>
    <w:family w:val="auto"/>
    <w:pitch w:val="default"/>
    <w:sig w:usb0="00020001" w:usb1="00000000" w:usb2="00000000" w:usb3="00000000" w:csb0="0000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9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F22E4"/>
    <w:rsid w:val="FF659A6B"/>
    <w:rsid w:val="FFFF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DengXian" w:hAnsi="DengXian" w:eastAsia="DengXian" w:cs="DengXian"/>
      <w:kern w:val="2"/>
      <w:sz w:val="21"/>
      <w:szCs w:val="24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1</Lines>
  <Paragraphs>1</Paragraphs>
  <TotalTime>11</TotalTime>
  <ScaleCrop>false</ScaleCrop>
  <LinksUpToDate>false</LinksUpToDate>
  <CharactersWithSpaces>0</CharactersWithSpaces>
  <Application>WPS Office_6.13.2.8918_F1E327BC-269C-435d-A152-05C5408002CA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2025-04-08T16:36:00Z</dcterms:created>
  <dc:creator>Whiteln</dc:creator>
  <cp:lastModifiedBy>Whiteln</cp:lastModifiedBy>
  <dcterms:modified xsi:type="dcterms:W3CDTF">2025-04-08T16:56:19Z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2052-6.13.2.8918</vt:lpwstr>
  </property>
  <property fmtid="{D5CDD505-2E9C-101B-9397-08002B2CF9AE}" pid="3" name="ICV">
    <vt:lpwstr>013575AA60A74C671FE0F46701B208A9_41</vt:lpwstr>
  </property>
</Properties>
</file>