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D025E" w14:textId="7759221A" w:rsidR="00406E85" w:rsidRPr="001E1818" w:rsidRDefault="00406E85" w:rsidP="00406E8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Supplementary </w:t>
      </w:r>
      <w:r w:rsidRPr="001E1818">
        <w:rPr>
          <w:rFonts w:asciiTheme="majorBidi" w:hAnsiTheme="majorBidi" w:cstheme="majorBidi"/>
          <w:sz w:val="24"/>
          <w:szCs w:val="24"/>
        </w:rPr>
        <w:t xml:space="preserve">Table 1: Antibiotic susceptibility profile of the </w:t>
      </w:r>
      <w:r w:rsidRPr="001822AC">
        <w:rPr>
          <w:rFonts w:asciiTheme="majorBidi" w:hAnsiTheme="majorBidi" w:cstheme="majorBidi"/>
          <w:i/>
          <w:iCs/>
          <w:sz w:val="24"/>
          <w:szCs w:val="24"/>
        </w:rPr>
        <w:t>bla</w:t>
      </w:r>
      <w:r w:rsidRPr="004C12D0">
        <w:rPr>
          <w:rFonts w:asciiTheme="majorBidi" w:hAnsiTheme="majorBidi" w:cstheme="majorBidi"/>
          <w:sz w:val="24"/>
          <w:szCs w:val="24"/>
          <w:vertAlign w:val="subscript"/>
        </w:rPr>
        <w:t>KPC-2</w:t>
      </w:r>
      <w:r>
        <w:rPr>
          <w:rFonts w:asciiTheme="majorBidi" w:hAnsiTheme="majorBidi" w:cstheme="majorBidi"/>
          <w:sz w:val="24"/>
          <w:szCs w:val="24"/>
        </w:rPr>
        <w:t xml:space="preserve"> isolates. Red refers to resistant</w:t>
      </w:r>
      <w:r>
        <w:rPr>
          <w:rFonts w:ascii="Times New Roman" w:eastAsia="Calibri" w:hAnsi="Times New Roman" w:cs="Times New Roman"/>
          <w:sz w:val="24"/>
          <w:szCs w:val="24"/>
        </w:rPr>
        <w:t xml:space="preserve"> bacteria</w:t>
      </w:r>
      <w:r>
        <w:rPr>
          <w:rFonts w:asciiTheme="majorBidi" w:hAnsiTheme="majorBidi" w:cstheme="majorBidi"/>
          <w:sz w:val="24"/>
          <w:szCs w:val="24"/>
        </w:rPr>
        <w:t xml:space="preserve">, yellow refers to intermediate </w:t>
      </w:r>
      <w:r>
        <w:rPr>
          <w:rFonts w:ascii="Times New Roman" w:eastAsia="Calibri" w:hAnsi="Times New Roman" w:cs="Times New Roman"/>
          <w:sz w:val="24"/>
          <w:szCs w:val="24"/>
        </w:rPr>
        <w:t xml:space="preserve">bacteria, </w:t>
      </w:r>
      <w:r>
        <w:rPr>
          <w:rFonts w:asciiTheme="majorBidi" w:hAnsiTheme="majorBidi" w:cstheme="majorBidi"/>
          <w:sz w:val="24"/>
          <w:szCs w:val="24"/>
        </w:rPr>
        <w:t>and green refers to susceptible</w:t>
      </w:r>
      <w:r>
        <w:rPr>
          <w:rFonts w:ascii="Times New Roman" w:eastAsia="Calibri" w:hAnsi="Times New Roman" w:cs="Times New Roman"/>
          <w:sz w:val="24"/>
          <w:szCs w:val="24"/>
        </w:rPr>
        <w:t xml:space="preserve"> bacteria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26908653" w14:textId="77777777" w:rsidR="00406E85" w:rsidRDefault="00406E85" w:rsidP="00406E85"/>
    <w:tbl>
      <w:tblPr>
        <w:tblStyle w:val="TableGridLight"/>
        <w:tblW w:w="13387" w:type="dxa"/>
        <w:tblLook w:val="04A0" w:firstRow="1" w:lastRow="0" w:firstColumn="1" w:lastColumn="0" w:noHBand="0" w:noVBand="1"/>
      </w:tblPr>
      <w:tblGrid>
        <w:gridCol w:w="726"/>
        <w:gridCol w:w="936"/>
        <w:gridCol w:w="878"/>
        <w:gridCol w:w="770"/>
        <w:gridCol w:w="708"/>
        <w:gridCol w:w="892"/>
        <w:gridCol w:w="1042"/>
        <w:gridCol w:w="1017"/>
        <w:gridCol w:w="730"/>
        <w:gridCol w:w="869"/>
        <w:gridCol w:w="730"/>
        <w:gridCol w:w="811"/>
        <w:gridCol w:w="913"/>
        <w:gridCol w:w="778"/>
        <w:gridCol w:w="730"/>
        <w:gridCol w:w="1221"/>
      </w:tblGrid>
      <w:tr w:rsidR="00406E85" w14:paraId="429E8433" w14:textId="77777777" w:rsidTr="00BA0683">
        <w:trPr>
          <w:trHeight w:val="744"/>
        </w:trPr>
        <w:tc>
          <w:tcPr>
            <w:tcW w:w="726" w:type="dxa"/>
            <w:noWrap/>
            <w:hideMark/>
          </w:tcPr>
          <w:p w14:paraId="117DDE25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Strain</w:t>
            </w:r>
          </w:p>
        </w:tc>
        <w:tc>
          <w:tcPr>
            <w:tcW w:w="882" w:type="dxa"/>
            <w:noWrap/>
            <w:hideMark/>
          </w:tcPr>
          <w:p w14:paraId="24BFE991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AMP/SUL</w:t>
            </w:r>
          </w:p>
        </w:tc>
        <w:tc>
          <w:tcPr>
            <w:tcW w:w="878" w:type="dxa"/>
            <w:noWrap/>
            <w:hideMark/>
          </w:tcPr>
          <w:p w14:paraId="71701506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PIP/TAZ</w:t>
            </w:r>
          </w:p>
        </w:tc>
        <w:tc>
          <w:tcPr>
            <w:tcW w:w="770" w:type="dxa"/>
            <w:noWrap/>
            <w:hideMark/>
          </w:tcPr>
          <w:p w14:paraId="73E36D9B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CTX</w:t>
            </w:r>
          </w:p>
        </w:tc>
        <w:tc>
          <w:tcPr>
            <w:tcW w:w="708" w:type="dxa"/>
            <w:noWrap/>
            <w:hideMark/>
          </w:tcPr>
          <w:p w14:paraId="76F0B8D5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CAZ</w:t>
            </w:r>
          </w:p>
        </w:tc>
        <w:tc>
          <w:tcPr>
            <w:tcW w:w="851" w:type="dxa"/>
            <w:noWrap/>
            <w:hideMark/>
          </w:tcPr>
          <w:p w14:paraId="0BEFC861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CAZ/AVI</w:t>
            </w:r>
          </w:p>
        </w:tc>
        <w:tc>
          <w:tcPr>
            <w:tcW w:w="1042" w:type="dxa"/>
            <w:noWrap/>
            <w:hideMark/>
          </w:tcPr>
          <w:p w14:paraId="08E6F49A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CEF/TAZ</w:t>
            </w:r>
          </w:p>
        </w:tc>
        <w:tc>
          <w:tcPr>
            <w:tcW w:w="1017" w:type="dxa"/>
            <w:noWrap/>
            <w:hideMark/>
          </w:tcPr>
          <w:p w14:paraId="1F4276BD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CPM</w:t>
            </w:r>
          </w:p>
        </w:tc>
        <w:tc>
          <w:tcPr>
            <w:tcW w:w="730" w:type="dxa"/>
            <w:noWrap/>
            <w:hideMark/>
          </w:tcPr>
          <w:p w14:paraId="53D1EC61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IMI</w:t>
            </w:r>
          </w:p>
        </w:tc>
        <w:tc>
          <w:tcPr>
            <w:tcW w:w="869" w:type="dxa"/>
            <w:noWrap/>
            <w:hideMark/>
          </w:tcPr>
          <w:p w14:paraId="37661629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MEM</w:t>
            </w:r>
          </w:p>
        </w:tc>
        <w:tc>
          <w:tcPr>
            <w:tcW w:w="730" w:type="dxa"/>
            <w:noWrap/>
            <w:hideMark/>
          </w:tcPr>
          <w:p w14:paraId="626D0353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AK</w:t>
            </w:r>
          </w:p>
        </w:tc>
        <w:tc>
          <w:tcPr>
            <w:tcW w:w="811" w:type="dxa"/>
            <w:noWrap/>
            <w:hideMark/>
          </w:tcPr>
          <w:p w14:paraId="0B257E97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GM</w:t>
            </w:r>
          </w:p>
        </w:tc>
        <w:tc>
          <w:tcPr>
            <w:tcW w:w="913" w:type="dxa"/>
            <w:noWrap/>
            <w:hideMark/>
          </w:tcPr>
          <w:p w14:paraId="38762EDD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CIP</w:t>
            </w:r>
          </w:p>
        </w:tc>
        <w:tc>
          <w:tcPr>
            <w:tcW w:w="778" w:type="dxa"/>
            <w:noWrap/>
            <w:hideMark/>
          </w:tcPr>
          <w:p w14:paraId="28F09D1E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TIG</w:t>
            </w:r>
          </w:p>
        </w:tc>
        <w:tc>
          <w:tcPr>
            <w:tcW w:w="730" w:type="dxa"/>
            <w:noWrap/>
            <w:hideMark/>
          </w:tcPr>
          <w:p w14:paraId="31C850A8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COL</w:t>
            </w:r>
          </w:p>
        </w:tc>
        <w:tc>
          <w:tcPr>
            <w:tcW w:w="952" w:type="dxa"/>
            <w:noWrap/>
            <w:hideMark/>
          </w:tcPr>
          <w:p w14:paraId="6CCAFED1" w14:textId="77777777" w:rsidR="00406E85" w:rsidRPr="003A3229" w:rsidRDefault="00406E85" w:rsidP="00BA0683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TRIM/SULFA</w:t>
            </w:r>
          </w:p>
        </w:tc>
      </w:tr>
      <w:tr w:rsidR="00406E85" w14:paraId="0A445BAD" w14:textId="77777777" w:rsidTr="00BA0683">
        <w:trPr>
          <w:trHeight w:val="744"/>
        </w:trPr>
        <w:tc>
          <w:tcPr>
            <w:tcW w:w="726" w:type="dxa"/>
            <w:noWrap/>
            <w:hideMark/>
          </w:tcPr>
          <w:p w14:paraId="56425E22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CRE51</w:t>
            </w:r>
          </w:p>
        </w:tc>
        <w:tc>
          <w:tcPr>
            <w:tcW w:w="882" w:type="dxa"/>
            <w:shd w:val="clear" w:color="auto" w:fill="FF0000"/>
            <w:noWrap/>
            <w:hideMark/>
          </w:tcPr>
          <w:p w14:paraId="4B2234BD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≥32</w:t>
            </w:r>
          </w:p>
        </w:tc>
        <w:tc>
          <w:tcPr>
            <w:tcW w:w="878" w:type="dxa"/>
            <w:shd w:val="clear" w:color="auto" w:fill="FF0000"/>
            <w:noWrap/>
            <w:hideMark/>
          </w:tcPr>
          <w:p w14:paraId="7A4E1032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≥128</w:t>
            </w:r>
          </w:p>
        </w:tc>
        <w:tc>
          <w:tcPr>
            <w:tcW w:w="770" w:type="dxa"/>
            <w:shd w:val="clear" w:color="auto" w:fill="FF0000"/>
            <w:noWrap/>
            <w:hideMark/>
          </w:tcPr>
          <w:p w14:paraId="1FD050B1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≥64</w:t>
            </w:r>
          </w:p>
        </w:tc>
        <w:tc>
          <w:tcPr>
            <w:tcW w:w="708" w:type="dxa"/>
            <w:shd w:val="clear" w:color="auto" w:fill="FF0000"/>
            <w:noWrap/>
            <w:hideMark/>
          </w:tcPr>
          <w:p w14:paraId="15B459F7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≥64</w:t>
            </w:r>
          </w:p>
        </w:tc>
        <w:tc>
          <w:tcPr>
            <w:tcW w:w="851" w:type="dxa"/>
            <w:shd w:val="clear" w:color="auto" w:fill="00B050"/>
            <w:noWrap/>
            <w:hideMark/>
          </w:tcPr>
          <w:p w14:paraId="42EC0D08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2</w:t>
            </w:r>
          </w:p>
        </w:tc>
        <w:tc>
          <w:tcPr>
            <w:tcW w:w="1042" w:type="dxa"/>
            <w:shd w:val="clear" w:color="auto" w:fill="FF0000"/>
            <w:noWrap/>
            <w:hideMark/>
          </w:tcPr>
          <w:p w14:paraId="74BCBD80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≥32</w:t>
            </w:r>
          </w:p>
        </w:tc>
        <w:tc>
          <w:tcPr>
            <w:tcW w:w="1017" w:type="dxa"/>
            <w:shd w:val="clear" w:color="auto" w:fill="FF0000"/>
            <w:noWrap/>
            <w:hideMark/>
          </w:tcPr>
          <w:p w14:paraId="07BED04A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≥32</w:t>
            </w:r>
          </w:p>
        </w:tc>
        <w:tc>
          <w:tcPr>
            <w:tcW w:w="730" w:type="dxa"/>
            <w:shd w:val="clear" w:color="auto" w:fill="FF0000"/>
            <w:noWrap/>
            <w:hideMark/>
          </w:tcPr>
          <w:p w14:paraId="3E4952DE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≥16</w:t>
            </w:r>
          </w:p>
        </w:tc>
        <w:tc>
          <w:tcPr>
            <w:tcW w:w="869" w:type="dxa"/>
            <w:shd w:val="clear" w:color="auto" w:fill="FF0000"/>
            <w:noWrap/>
            <w:hideMark/>
          </w:tcPr>
          <w:p w14:paraId="1DFCDA07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≥16</w:t>
            </w:r>
          </w:p>
        </w:tc>
        <w:tc>
          <w:tcPr>
            <w:tcW w:w="730" w:type="dxa"/>
            <w:shd w:val="clear" w:color="auto" w:fill="FF0000"/>
            <w:noWrap/>
            <w:hideMark/>
          </w:tcPr>
          <w:p w14:paraId="08450E0C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≥64</w:t>
            </w:r>
          </w:p>
        </w:tc>
        <w:tc>
          <w:tcPr>
            <w:tcW w:w="811" w:type="dxa"/>
            <w:shd w:val="clear" w:color="auto" w:fill="FF0000"/>
            <w:noWrap/>
            <w:hideMark/>
          </w:tcPr>
          <w:p w14:paraId="5C388B1E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≥16</w:t>
            </w:r>
          </w:p>
        </w:tc>
        <w:tc>
          <w:tcPr>
            <w:tcW w:w="913" w:type="dxa"/>
            <w:shd w:val="clear" w:color="auto" w:fill="FF0000"/>
            <w:noWrap/>
            <w:hideMark/>
          </w:tcPr>
          <w:p w14:paraId="003DF6E9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≥4</w:t>
            </w:r>
          </w:p>
        </w:tc>
        <w:tc>
          <w:tcPr>
            <w:tcW w:w="778" w:type="dxa"/>
            <w:shd w:val="clear" w:color="auto" w:fill="00B050"/>
            <w:noWrap/>
            <w:hideMark/>
          </w:tcPr>
          <w:p w14:paraId="64360988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≤0.5</w:t>
            </w:r>
          </w:p>
        </w:tc>
        <w:tc>
          <w:tcPr>
            <w:tcW w:w="730" w:type="dxa"/>
            <w:shd w:val="clear" w:color="auto" w:fill="00B050"/>
            <w:noWrap/>
            <w:hideMark/>
          </w:tcPr>
          <w:p w14:paraId="08188BCA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≤0.5</w:t>
            </w:r>
          </w:p>
        </w:tc>
        <w:tc>
          <w:tcPr>
            <w:tcW w:w="952" w:type="dxa"/>
            <w:shd w:val="clear" w:color="auto" w:fill="00B050"/>
            <w:noWrap/>
            <w:hideMark/>
          </w:tcPr>
          <w:p w14:paraId="30B77D08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≤20</w:t>
            </w:r>
          </w:p>
        </w:tc>
      </w:tr>
      <w:tr w:rsidR="00406E85" w14:paraId="716EAAEC" w14:textId="77777777" w:rsidTr="00BA0683">
        <w:trPr>
          <w:trHeight w:val="744"/>
        </w:trPr>
        <w:tc>
          <w:tcPr>
            <w:tcW w:w="726" w:type="dxa"/>
            <w:noWrap/>
            <w:hideMark/>
          </w:tcPr>
          <w:p w14:paraId="7B7D9F10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CRE79</w:t>
            </w:r>
          </w:p>
        </w:tc>
        <w:tc>
          <w:tcPr>
            <w:tcW w:w="882" w:type="dxa"/>
            <w:shd w:val="clear" w:color="auto" w:fill="FF0000"/>
            <w:noWrap/>
            <w:hideMark/>
          </w:tcPr>
          <w:p w14:paraId="1D4C10E4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≥32</w:t>
            </w:r>
          </w:p>
        </w:tc>
        <w:tc>
          <w:tcPr>
            <w:tcW w:w="878" w:type="dxa"/>
            <w:shd w:val="clear" w:color="auto" w:fill="FF0000"/>
            <w:noWrap/>
            <w:hideMark/>
          </w:tcPr>
          <w:p w14:paraId="0A30B9D9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≥128</w:t>
            </w:r>
          </w:p>
        </w:tc>
        <w:tc>
          <w:tcPr>
            <w:tcW w:w="770" w:type="dxa"/>
            <w:shd w:val="clear" w:color="auto" w:fill="FF0000"/>
            <w:noWrap/>
            <w:hideMark/>
          </w:tcPr>
          <w:p w14:paraId="0A566418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≥64</w:t>
            </w:r>
          </w:p>
        </w:tc>
        <w:tc>
          <w:tcPr>
            <w:tcW w:w="708" w:type="dxa"/>
            <w:shd w:val="clear" w:color="auto" w:fill="FF0000"/>
            <w:noWrap/>
            <w:hideMark/>
          </w:tcPr>
          <w:p w14:paraId="2F4AB148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32</w:t>
            </w:r>
          </w:p>
        </w:tc>
        <w:tc>
          <w:tcPr>
            <w:tcW w:w="851" w:type="dxa"/>
            <w:shd w:val="clear" w:color="auto" w:fill="00B050"/>
            <w:noWrap/>
            <w:hideMark/>
          </w:tcPr>
          <w:p w14:paraId="5F7FD259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0.25</w:t>
            </w:r>
          </w:p>
        </w:tc>
        <w:tc>
          <w:tcPr>
            <w:tcW w:w="1042" w:type="dxa"/>
            <w:shd w:val="clear" w:color="auto" w:fill="FF0000"/>
            <w:noWrap/>
            <w:hideMark/>
          </w:tcPr>
          <w:p w14:paraId="45B58D34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1017" w:type="dxa"/>
            <w:shd w:val="clear" w:color="auto" w:fill="FF0000"/>
            <w:noWrap/>
            <w:hideMark/>
          </w:tcPr>
          <w:p w14:paraId="60F6DACE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≥32</w:t>
            </w:r>
          </w:p>
        </w:tc>
        <w:tc>
          <w:tcPr>
            <w:tcW w:w="730" w:type="dxa"/>
            <w:shd w:val="clear" w:color="auto" w:fill="FF0000"/>
            <w:noWrap/>
            <w:hideMark/>
          </w:tcPr>
          <w:p w14:paraId="793505A5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869" w:type="dxa"/>
            <w:shd w:val="clear" w:color="auto" w:fill="FF0000"/>
            <w:noWrap/>
            <w:hideMark/>
          </w:tcPr>
          <w:p w14:paraId="022691F7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≥16</w:t>
            </w:r>
          </w:p>
        </w:tc>
        <w:tc>
          <w:tcPr>
            <w:tcW w:w="730" w:type="dxa"/>
            <w:shd w:val="clear" w:color="auto" w:fill="00B050"/>
            <w:noWrap/>
            <w:hideMark/>
          </w:tcPr>
          <w:p w14:paraId="1CBA707F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811" w:type="dxa"/>
            <w:shd w:val="clear" w:color="auto" w:fill="FF0000"/>
            <w:noWrap/>
            <w:hideMark/>
          </w:tcPr>
          <w:p w14:paraId="377A81B8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≥16</w:t>
            </w:r>
          </w:p>
        </w:tc>
        <w:tc>
          <w:tcPr>
            <w:tcW w:w="913" w:type="dxa"/>
            <w:shd w:val="clear" w:color="auto" w:fill="FF0000"/>
            <w:noWrap/>
            <w:hideMark/>
          </w:tcPr>
          <w:p w14:paraId="71CF488E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≥4</w:t>
            </w:r>
          </w:p>
        </w:tc>
        <w:tc>
          <w:tcPr>
            <w:tcW w:w="778" w:type="dxa"/>
            <w:shd w:val="clear" w:color="auto" w:fill="00B050"/>
            <w:noWrap/>
            <w:hideMark/>
          </w:tcPr>
          <w:p w14:paraId="381F7230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≤0.5</w:t>
            </w:r>
          </w:p>
        </w:tc>
        <w:tc>
          <w:tcPr>
            <w:tcW w:w="730" w:type="dxa"/>
            <w:shd w:val="clear" w:color="auto" w:fill="00B050"/>
            <w:noWrap/>
            <w:hideMark/>
          </w:tcPr>
          <w:p w14:paraId="296C65FE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≤0.5</w:t>
            </w:r>
          </w:p>
        </w:tc>
        <w:tc>
          <w:tcPr>
            <w:tcW w:w="952" w:type="dxa"/>
            <w:shd w:val="clear" w:color="auto" w:fill="FF0000"/>
            <w:noWrap/>
            <w:hideMark/>
          </w:tcPr>
          <w:p w14:paraId="3E9190D9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≥320</w:t>
            </w:r>
          </w:p>
        </w:tc>
      </w:tr>
      <w:tr w:rsidR="00406E85" w14:paraId="35835F13" w14:textId="77777777" w:rsidTr="00BA0683">
        <w:trPr>
          <w:trHeight w:val="744"/>
        </w:trPr>
        <w:tc>
          <w:tcPr>
            <w:tcW w:w="726" w:type="dxa"/>
            <w:noWrap/>
            <w:hideMark/>
          </w:tcPr>
          <w:p w14:paraId="3DA0149F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CRE93</w:t>
            </w:r>
          </w:p>
        </w:tc>
        <w:tc>
          <w:tcPr>
            <w:tcW w:w="882" w:type="dxa"/>
            <w:shd w:val="clear" w:color="auto" w:fill="FF0000"/>
            <w:noWrap/>
            <w:hideMark/>
          </w:tcPr>
          <w:p w14:paraId="4143FF63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≥32</w:t>
            </w:r>
          </w:p>
        </w:tc>
        <w:tc>
          <w:tcPr>
            <w:tcW w:w="878" w:type="dxa"/>
            <w:shd w:val="clear" w:color="auto" w:fill="FF0000"/>
            <w:noWrap/>
            <w:hideMark/>
          </w:tcPr>
          <w:p w14:paraId="68A95AD2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≥128</w:t>
            </w:r>
          </w:p>
        </w:tc>
        <w:tc>
          <w:tcPr>
            <w:tcW w:w="770" w:type="dxa"/>
            <w:shd w:val="clear" w:color="auto" w:fill="FF0000"/>
            <w:noWrap/>
            <w:hideMark/>
          </w:tcPr>
          <w:p w14:paraId="440E0CAC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≥64</w:t>
            </w:r>
          </w:p>
        </w:tc>
        <w:tc>
          <w:tcPr>
            <w:tcW w:w="708" w:type="dxa"/>
            <w:shd w:val="clear" w:color="auto" w:fill="FF0000"/>
            <w:noWrap/>
            <w:hideMark/>
          </w:tcPr>
          <w:p w14:paraId="6A08E8EA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≥64</w:t>
            </w:r>
          </w:p>
        </w:tc>
        <w:tc>
          <w:tcPr>
            <w:tcW w:w="851" w:type="dxa"/>
            <w:shd w:val="clear" w:color="auto" w:fill="00B050"/>
            <w:noWrap/>
            <w:hideMark/>
          </w:tcPr>
          <w:p w14:paraId="72DC4F51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1042" w:type="dxa"/>
            <w:shd w:val="clear" w:color="auto" w:fill="FF0000"/>
            <w:noWrap/>
            <w:hideMark/>
          </w:tcPr>
          <w:p w14:paraId="08DBCF5D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≥32</w:t>
            </w:r>
          </w:p>
        </w:tc>
        <w:tc>
          <w:tcPr>
            <w:tcW w:w="1017" w:type="dxa"/>
            <w:shd w:val="clear" w:color="auto" w:fill="FF0000"/>
            <w:noWrap/>
            <w:hideMark/>
          </w:tcPr>
          <w:p w14:paraId="73AEDCDA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≥32</w:t>
            </w:r>
          </w:p>
        </w:tc>
        <w:tc>
          <w:tcPr>
            <w:tcW w:w="730" w:type="dxa"/>
            <w:shd w:val="clear" w:color="auto" w:fill="FF0000"/>
            <w:noWrap/>
            <w:hideMark/>
          </w:tcPr>
          <w:p w14:paraId="165B8EA2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≥16</w:t>
            </w:r>
          </w:p>
        </w:tc>
        <w:tc>
          <w:tcPr>
            <w:tcW w:w="869" w:type="dxa"/>
            <w:shd w:val="clear" w:color="auto" w:fill="FF0000"/>
            <w:noWrap/>
            <w:hideMark/>
          </w:tcPr>
          <w:p w14:paraId="517BA502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≥16</w:t>
            </w:r>
          </w:p>
        </w:tc>
        <w:tc>
          <w:tcPr>
            <w:tcW w:w="730" w:type="dxa"/>
            <w:shd w:val="clear" w:color="auto" w:fill="FFFF00"/>
            <w:noWrap/>
            <w:hideMark/>
          </w:tcPr>
          <w:p w14:paraId="0F76147F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32</w:t>
            </w:r>
          </w:p>
        </w:tc>
        <w:tc>
          <w:tcPr>
            <w:tcW w:w="811" w:type="dxa"/>
            <w:shd w:val="clear" w:color="auto" w:fill="FF0000"/>
            <w:noWrap/>
            <w:hideMark/>
          </w:tcPr>
          <w:p w14:paraId="3FFD0CA6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≥16</w:t>
            </w:r>
          </w:p>
        </w:tc>
        <w:tc>
          <w:tcPr>
            <w:tcW w:w="913" w:type="dxa"/>
            <w:shd w:val="clear" w:color="auto" w:fill="FF0000"/>
            <w:noWrap/>
            <w:hideMark/>
          </w:tcPr>
          <w:p w14:paraId="69DB2534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≥4</w:t>
            </w:r>
          </w:p>
        </w:tc>
        <w:tc>
          <w:tcPr>
            <w:tcW w:w="778" w:type="dxa"/>
            <w:shd w:val="clear" w:color="auto" w:fill="00B050"/>
            <w:noWrap/>
            <w:hideMark/>
          </w:tcPr>
          <w:p w14:paraId="172F211F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2</w:t>
            </w:r>
          </w:p>
        </w:tc>
        <w:tc>
          <w:tcPr>
            <w:tcW w:w="730" w:type="dxa"/>
            <w:shd w:val="clear" w:color="auto" w:fill="FF0000"/>
            <w:noWrap/>
            <w:hideMark/>
          </w:tcPr>
          <w:p w14:paraId="061664F4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952" w:type="dxa"/>
            <w:shd w:val="clear" w:color="auto" w:fill="FF0000"/>
            <w:noWrap/>
            <w:hideMark/>
          </w:tcPr>
          <w:p w14:paraId="242B8B15" w14:textId="77777777" w:rsidR="00406E85" w:rsidRPr="003A3229" w:rsidRDefault="00406E85" w:rsidP="00BA0683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3A3229">
              <w:rPr>
                <w:rFonts w:asciiTheme="majorBidi" w:hAnsiTheme="majorBidi" w:cstheme="majorBidi"/>
                <w:sz w:val="16"/>
                <w:szCs w:val="16"/>
              </w:rPr>
              <w:t>≥320</w:t>
            </w:r>
          </w:p>
        </w:tc>
      </w:tr>
    </w:tbl>
    <w:p w14:paraId="0BE32975" w14:textId="77777777" w:rsidR="00406E85" w:rsidRDefault="00406E85" w:rsidP="00406E85">
      <w:pPr>
        <w:rPr>
          <w:rFonts w:asciiTheme="majorBidi" w:hAnsiTheme="majorBidi" w:cstheme="majorBidi"/>
          <w:color w:val="222222"/>
          <w:sz w:val="18"/>
          <w:szCs w:val="18"/>
        </w:rPr>
      </w:pPr>
      <w:r>
        <w:rPr>
          <w:rFonts w:asciiTheme="majorBidi" w:hAnsiTheme="majorBidi" w:cstheme="majorBidi"/>
          <w:color w:val="222222"/>
          <w:sz w:val="18"/>
          <w:szCs w:val="18"/>
        </w:rPr>
        <w:t>AMP/SUL: ampicillin/sulbactam, PIP/TAZ: piperacillin/tazobactam, CTX: cefotaxime, CAZ: ceftazidime, CAZ/AVI: ceftazidime/</w:t>
      </w:r>
      <w:r>
        <w:rPr>
          <w:rFonts w:ascii="Times New Roman" w:eastAsia="Calibri" w:hAnsi="Times New Roman" w:cs="Times New Roman"/>
          <w:color w:val="222222"/>
          <w:sz w:val="18"/>
          <w:szCs w:val="18"/>
        </w:rPr>
        <w:t>sulbactam</w:t>
      </w:r>
      <w:r>
        <w:rPr>
          <w:rFonts w:asciiTheme="majorBidi" w:hAnsiTheme="majorBidi" w:cstheme="majorBidi"/>
          <w:color w:val="222222"/>
          <w:sz w:val="18"/>
          <w:szCs w:val="18"/>
        </w:rPr>
        <w:t>, CEF/TAZ: ceftolozane/tazobactam, CPM: cefepime, IMI: imipenem, MEM: meropenem, AK: amikacin, GM: gentamicin, CIP: ciprofloxacin, TIG: tigecycline, COL: colistin and TRIM/SULFA: cotrimoxazole.</w:t>
      </w:r>
    </w:p>
    <w:p w14:paraId="6139409B" w14:textId="77777777" w:rsidR="00406E85" w:rsidRDefault="00406E85"/>
    <w:p w14:paraId="2417A3E6" w14:textId="77777777" w:rsidR="00995AC3" w:rsidRDefault="00995AC3"/>
    <w:p w14:paraId="64306ACA" w14:textId="77777777" w:rsidR="00995AC3" w:rsidRDefault="00995AC3"/>
    <w:p w14:paraId="61CC54C7" w14:textId="77777777" w:rsidR="00995AC3" w:rsidRDefault="00995AC3"/>
    <w:p w14:paraId="21ED9319" w14:textId="77777777" w:rsidR="00995AC3" w:rsidRDefault="00995AC3"/>
    <w:p w14:paraId="1ADCE92C" w14:textId="77777777" w:rsidR="00995AC3" w:rsidRDefault="00995AC3"/>
    <w:p w14:paraId="541F7786" w14:textId="77777777" w:rsidR="00995AC3" w:rsidRDefault="00995AC3"/>
    <w:p w14:paraId="68C432F4" w14:textId="77777777" w:rsidR="00995AC3" w:rsidRDefault="00995AC3"/>
    <w:p w14:paraId="3E281D4D" w14:textId="77777777" w:rsidR="00995AC3" w:rsidRDefault="00995AC3"/>
    <w:p w14:paraId="1D06D73E" w14:textId="77777777" w:rsidR="00995AC3" w:rsidRDefault="00995AC3"/>
    <w:p w14:paraId="204B0C53" w14:textId="20B0E155" w:rsidR="00995AC3" w:rsidRDefault="00995AC3" w:rsidP="00995AC3">
      <w:pPr>
        <w:spacing w:line="480" w:lineRule="auto"/>
        <w:rPr>
          <w:rFonts w:asciiTheme="majorBidi" w:eastAsia="Times New Roman" w:hAnsiTheme="majorBidi" w:cstheme="majorBidi"/>
          <w:sz w:val="24"/>
          <w:szCs w:val="24"/>
        </w:rPr>
      </w:pPr>
      <w:r w:rsidRPr="00405608">
        <w:rPr>
          <w:rFonts w:asciiTheme="majorBidi" w:eastAsia="Times New Roman" w:hAnsiTheme="majorBidi" w:cstheme="majorBidi"/>
          <w:sz w:val="24"/>
          <w:szCs w:val="24"/>
        </w:rPr>
        <w:lastRenderedPageBreak/>
        <w:t xml:space="preserve">Supplementary Table </w:t>
      </w:r>
      <w:r>
        <w:rPr>
          <w:rFonts w:asciiTheme="majorBidi" w:eastAsia="Times New Roman" w:hAnsiTheme="majorBidi" w:cstheme="majorBidi"/>
          <w:sz w:val="24"/>
          <w:szCs w:val="24"/>
        </w:rPr>
        <w:t>2</w:t>
      </w:r>
      <w:r w:rsidRPr="00405608">
        <w:rPr>
          <w:rFonts w:asciiTheme="majorBidi" w:eastAsia="Times New Roman" w:hAnsiTheme="majorBidi" w:cstheme="majorBidi"/>
          <w:sz w:val="24"/>
          <w:szCs w:val="24"/>
        </w:rPr>
        <w:t xml:space="preserve">: Summary of </w:t>
      </w:r>
      <w:r>
        <w:rPr>
          <w:rFonts w:asciiTheme="majorBidi" w:eastAsia="Times New Roman" w:hAnsiTheme="majorBidi" w:cstheme="majorBidi"/>
          <w:sz w:val="24"/>
          <w:szCs w:val="24"/>
        </w:rPr>
        <w:t>a</w:t>
      </w:r>
      <w:r w:rsidRPr="00405608">
        <w:rPr>
          <w:rFonts w:asciiTheme="majorBidi" w:eastAsia="Times New Roman" w:hAnsiTheme="majorBidi" w:cstheme="majorBidi"/>
          <w:sz w:val="24"/>
          <w:szCs w:val="24"/>
        </w:rPr>
        <w:t xml:space="preserve">ssembly </w:t>
      </w:r>
      <w:r>
        <w:rPr>
          <w:rFonts w:asciiTheme="majorBidi" w:eastAsia="Times New Roman" w:hAnsiTheme="majorBidi" w:cstheme="majorBidi"/>
          <w:sz w:val="24"/>
          <w:szCs w:val="24"/>
        </w:rPr>
        <w:t>m</w:t>
      </w:r>
      <w:r w:rsidRPr="00405608">
        <w:rPr>
          <w:rFonts w:asciiTheme="majorBidi" w:eastAsia="Times New Roman" w:hAnsiTheme="majorBidi" w:cstheme="majorBidi"/>
          <w:sz w:val="24"/>
          <w:szCs w:val="24"/>
        </w:rPr>
        <w:t xml:space="preserve">etrics for </w:t>
      </w:r>
      <w:r>
        <w:rPr>
          <w:rFonts w:asciiTheme="majorBidi" w:eastAsia="Times New Roman" w:hAnsiTheme="majorBidi" w:cstheme="majorBidi"/>
          <w:sz w:val="24"/>
          <w:szCs w:val="24"/>
        </w:rPr>
        <w:t>d</w:t>
      </w:r>
      <w:r w:rsidRPr="00405608">
        <w:rPr>
          <w:rFonts w:asciiTheme="majorBidi" w:eastAsia="Times New Roman" w:hAnsiTheme="majorBidi" w:cstheme="majorBidi"/>
          <w:sz w:val="24"/>
          <w:szCs w:val="24"/>
        </w:rPr>
        <w:t xml:space="preserve">raft </w:t>
      </w:r>
      <w:r>
        <w:rPr>
          <w:rFonts w:asciiTheme="majorBidi" w:eastAsia="Times New Roman" w:hAnsiTheme="majorBidi" w:cstheme="majorBidi"/>
          <w:sz w:val="24"/>
          <w:szCs w:val="24"/>
        </w:rPr>
        <w:t>g</w:t>
      </w:r>
      <w:r w:rsidRPr="00405608">
        <w:rPr>
          <w:rFonts w:asciiTheme="majorBidi" w:eastAsia="Times New Roman" w:hAnsiTheme="majorBidi" w:cstheme="majorBidi"/>
          <w:sz w:val="24"/>
          <w:szCs w:val="24"/>
        </w:rPr>
        <w:t xml:space="preserve">enomes of </w:t>
      </w:r>
      <w:r>
        <w:rPr>
          <w:rFonts w:asciiTheme="majorBidi" w:eastAsia="Times New Roman" w:hAnsiTheme="majorBidi" w:cstheme="majorBidi"/>
          <w:sz w:val="24"/>
          <w:szCs w:val="24"/>
        </w:rPr>
        <w:t>a</w:t>
      </w:r>
      <w:r w:rsidRPr="00405608">
        <w:rPr>
          <w:rFonts w:asciiTheme="majorBidi" w:eastAsia="Times New Roman" w:hAnsiTheme="majorBidi" w:cstheme="majorBidi"/>
          <w:sz w:val="24"/>
          <w:szCs w:val="24"/>
        </w:rPr>
        <w:t xml:space="preserve">ll </w:t>
      </w:r>
      <w:r>
        <w:rPr>
          <w:rFonts w:asciiTheme="majorBidi" w:eastAsia="Times New Roman" w:hAnsiTheme="majorBidi" w:cstheme="majorBidi"/>
          <w:sz w:val="24"/>
          <w:szCs w:val="24"/>
        </w:rPr>
        <w:t>i</w:t>
      </w:r>
      <w:r w:rsidRPr="00405608">
        <w:rPr>
          <w:rFonts w:asciiTheme="majorBidi" w:eastAsia="Times New Roman" w:hAnsiTheme="majorBidi" w:cstheme="majorBidi"/>
          <w:sz w:val="24"/>
          <w:szCs w:val="24"/>
        </w:rPr>
        <w:t>solates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tbl>
      <w:tblPr>
        <w:tblW w:w="9214" w:type="dxa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1"/>
        <w:gridCol w:w="1548"/>
        <w:gridCol w:w="992"/>
        <w:gridCol w:w="1047"/>
        <w:gridCol w:w="1116"/>
        <w:gridCol w:w="1180"/>
        <w:gridCol w:w="1020"/>
        <w:gridCol w:w="1020"/>
      </w:tblGrid>
      <w:tr w:rsidR="00995AC3" w14:paraId="611774FC" w14:textId="77777777" w:rsidTr="00BA0683">
        <w:trPr>
          <w:trHeight w:val="266"/>
        </w:trPr>
        <w:tc>
          <w:tcPr>
            <w:tcW w:w="1291" w:type="dxa"/>
            <w:shd w:val="clear" w:color="auto" w:fill="F2F2F2"/>
          </w:tcPr>
          <w:p w14:paraId="7A248AA4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b/>
                <w:sz w:val="24"/>
                <w:szCs w:val="24"/>
              </w:rPr>
            </w:pPr>
            <w:r w:rsidRPr="00FA70DF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Strain</w:t>
            </w:r>
            <w:r w:rsidRPr="00FA70DF">
              <w:rPr>
                <w:rFonts w:ascii="Times New Roman" w:eastAsia="Arial MT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FA70DF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1548" w:type="dxa"/>
            <w:shd w:val="clear" w:color="auto" w:fill="F2F2F2"/>
          </w:tcPr>
          <w:p w14:paraId="66E7A226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b/>
                <w:sz w:val="24"/>
                <w:szCs w:val="24"/>
              </w:rPr>
            </w:pPr>
            <w:r w:rsidRPr="00FA70DF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Genome</w:t>
            </w:r>
            <w:r w:rsidRPr="00FA70DF">
              <w:rPr>
                <w:rFonts w:ascii="Times New Roman" w:eastAsia="Arial MT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70DF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Size</w:t>
            </w:r>
          </w:p>
        </w:tc>
        <w:tc>
          <w:tcPr>
            <w:tcW w:w="992" w:type="dxa"/>
            <w:shd w:val="clear" w:color="auto" w:fill="F2F2F2"/>
          </w:tcPr>
          <w:p w14:paraId="5F446D49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b/>
                <w:sz w:val="24"/>
                <w:szCs w:val="24"/>
              </w:rPr>
            </w:pPr>
            <w:r w:rsidRPr="00FA70DF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Contigs</w:t>
            </w:r>
          </w:p>
        </w:tc>
        <w:tc>
          <w:tcPr>
            <w:tcW w:w="1047" w:type="dxa"/>
            <w:shd w:val="clear" w:color="auto" w:fill="F2F2F2"/>
          </w:tcPr>
          <w:p w14:paraId="5F216F6C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b/>
                <w:sz w:val="24"/>
                <w:szCs w:val="24"/>
              </w:rPr>
            </w:pPr>
            <w:r w:rsidRPr="00FA70DF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GC content</w:t>
            </w:r>
          </w:p>
        </w:tc>
        <w:tc>
          <w:tcPr>
            <w:tcW w:w="1116" w:type="dxa"/>
            <w:shd w:val="clear" w:color="auto" w:fill="F2F2F2"/>
          </w:tcPr>
          <w:p w14:paraId="20BC5D46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7"/>
              <w:rPr>
                <w:rFonts w:ascii="Times New Roman" w:eastAsia="Arial MT" w:hAnsi="Times New Roman" w:cs="Times New Roman"/>
                <w:b/>
                <w:sz w:val="24"/>
                <w:szCs w:val="24"/>
              </w:rPr>
            </w:pPr>
            <w:r w:rsidRPr="00FA70DF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Contig</w:t>
            </w:r>
            <w:r w:rsidRPr="00FA70DF">
              <w:rPr>
                <w:rFonts w:ascii="Times New Roman" w:eastAsia="Arial MT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70DF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L50</w:t>
            </w:r>
          </w:p>
        </w:tc>
        <w:tc>
          <w:tcPr>
            <w:tcW w:w="1180" w:type="dxa"/>
            <w:shd w:val="clear" w:color="auto" w:fill="F2F2F2"/>
          </w:tcPr>
          <w:p w14:paraId="75531481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7"/>
              <w:rPr>
                <w:rFonts w:ascii="Times New Roman" w:eastAsia="Arial MT" w:hAnsi="Times New Roman" w:cs="Times New Roman"/>
                <w:b/>
                <w:sz w:val="24"/>
                <w:szCs w:val="24"/>
              </w:rPr>
            </w:pPr>
            <w:r w:rsidRPr="00FA70DF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Contig</w:t>
            </w:r>
            <w:r w:rsidRPr="00FA70DF">
              <w:rPr>
                <w:rFonts w:ascii="Times New Roman" w:eastAsia="Arial MT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70DF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N50</w:t>
            </w:r>
          </w:p>
        </w:tc>
        <w:tc>
          <w:tcPr>
            <w:tcW w:w="1020" w:type="dxa"/>
            <w:shd w:val="clear" w:color="auto" w:fill="F2F2F2"/>
          </w:tcPr>
          <w:p w14:paraId="0F467D0C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7"/>
              <w:rPr>
                <w:rFonts w:ascii="Times New Roman" w:eastAsia="Arial MT" w:hAnsi="Times New Roman" w:cs="Times New Roman"/>
                <w:b/>
                <w:sz w:val="24"/>
                <w:szCs w:val="24"/>
              </w:rPr>
            </w:pPr>
            <w:r w:rsidRPr="00FA70DF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CDS</w:t>
            </w:r>
          </w:p>
        </w:tc>
        <w:tc>
          <w:tcPr>
            <w:tcW w:w="1020" w:type="dxa"/>
            <w:shd w:val="clear" w:color="auto" w:fill="F2F2F2"/>
          </w:tcPr>
          <w:p w14:paraId="1E37E34B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7"/>
              <w:rPr>
                <w:rFonts w:ascii="Times New Roman" w:eastAsia="Arial MT" w:hAnsi="Times New Roman" w:cs="Times New Roman"/>
                <w:b/>
                <w:sz w:val="24"/>
                <w:szCs w:val="24"/>
              </w:rPr>
            </w:pPr>
            <w:r w:rsidRPr="00FA70DF">
              <w:rPr>
                <w:rFonts w:ascii="Times New Roman" w:eastAsia="Arial MT" w:hAnsi="Times New Roman" w:cs="Times New Roman"/>
                <w:b/>
                <w:sz w:val="24"/>
                <w:szCs w:val="24"/>
              </w:rPr>
              <w:t>tRNA</w:t>
            </w:r>
          </w:p>
        </w:tc>
      </w:tr>
      <w:tr w:rsidR="00995AC3" w14:paraId="145A0617" w14:textId="77777777" w:rsidTr="00BA0683">
        <w:trPr>
          <w:trHeight w:val="266"/>
        </w:trPr>
        <w:tc>
          <w:tcPr>
            <w:tcW w:w="1291" w:type="dxa"/>
          </w:tcPr>
          <w:p w14:paraId="5BEFBEFD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CRE51</w:t>
            </w:r>
          </w:p>
        </w:tc>
        <w:tc>
          <w:tcPr>
            <w:tcW w:w="1548" w:type="dxa"/>
          </w:tcPr>
          <w:p w14:paraId="177EC8C7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D147CF">
              <w:rPr>
                <w:rFonts w:ascii="Times New Roman" w:eastAsia="Arial MT" w:hAnsi="Times New Roman" w:cs="Times New Roman"/>
                <w:sz w:val="24"/>
                <w:szCs w:val="24"/>
              </w:rPr>
              <w:t>5,544,385 bp</w:t>
            </w:r>
          </w:p>
        </w:tc>
        <w:tc>
          <w:tcPr>
            <w:tcW w:w="992" w:type="dxa"/>
          </w:tcPr>
          <w:p w14:paraId="75E93E1A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047" w:type="dxa"/>
          </w:tcPr>
          <w:p w14:paraId="1000540C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57.35</w:t>
            </w:r>
          </w:p>
        </w:tc>
        <w:tc>
          <w:tcPr>
            <w:tcW w:w="1116" w:type="dxa"/>
          </w:tcPr>
          <w:p w14:paraId="77A519B6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80" w:type="dxa"/>
          </w:tcPr>
          <w:p w14:paraId="13D854A7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151,791 bp</w:t>
            </w:r>
          </w:p>
        </w:tc>
        <w:tc>
          <w:tcPr>
            <w:tcW w:w="1020" w:type="dxa"/>
          </w:tcPr>
          <w:p w14:paraId="6D34561E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5568</w:t>
            </w:r>
          </w:p>
        </w:tc>
        <w:tc>
          <w:tcPr>
            <w:tcW w:w="1020" w:type="dxa"/>
          </w:tcPr>
          <w:p w14:paraId="0BD8B9BC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92</w:t>
            </w:r>
          </w:p>
        </w:tc>
      </w:tr>
      <w:tr w:rsidR="00995AC3" w14:paraId="3F16A3BF" w14:textId="77777777" w:rsidTr="00BA0683">
        <w:trPr>
          <w:trHeight w:val="266"/>
        </w:trPr>
        <w:tc>
          <w:tcPr>
            <w:tcW w:w="1291" w:type="dxa"/>
          </w:tcPr>
          <w:p w14:paraId="5CA85AF3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CRE79</w:t>
            </w:r>
          </w:p>
        </w:tc>
        <w:tc>
          <w:tcPr>
            <w:tcW w:w="1548" w:type="dxa"/>
          </w:tcPr>
          <w:p w14:paraId="41B5F7C4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D94C7F">
              <w:rPr>
                <w:rFonts w:ascii="Times New Roman" w:eastAsia="Arial MT" w:hAnsi="Times New Roman" w:cs="Times New Roman"/>
                <w:sz w:val="24"/>
                <w:szCs w:val="24"/>
              </w:rPr>
              <w:t>5,652,409 bp</w:t>
            </w:r>
          </w:p>
        </w:tc>
        <w:tc>
          <w:tcPr>
            <w:tcW w:w="992" w:type="dxa"/>
          </w:tcPr>
          <w:p w14:paraId="7CEEEBB9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047" w:type="dxa"/>
          </w:tcPr>
          <w:p w14:paraId="74D60A05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56.99</w:t>
            </w:r>
          </w:p>
        </w:tc>
        <w:tc>
          <w:tcPr>
            <w:tcW w:w="1116" w:type="dxa"/>
          </w:tcPr>
          <w:p w14:paraId="524B5EB9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</w:tcPr>
          <w:p w14:paraId="307DB141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197,590 bp</w:t>
            </w:r>
          </w:p>
        </w:tc>
        <w:tc>
          <w:tcPr>
            <w:tcW w:w="1020" w:type="dxa"/>
          </w:tcPr>
          <w:p w14:paraId="6105E07B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5739</w:t>
            </w:r>
          </w:p>
        </w:tc>
        <w:tc>
          <w:tcPr>
            <w:tcW w:w="1020" w:type="dxa"/>
          </w:tcPr>
          <w:p w14:paraId="3981AEAB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93</w:t>
            </w:r>
          </w:p>
        </w:tc>
      </w:tr>
      <w:tr w:rsidR="00995AC3" w14:paraId="36316135" w14:textId="77777777" w:rsidTr="00BA0683">
        <w:trPr>
          <w:trHeight w:val="266"/>
        </w:trPr>
        <w:tc>
          <w:tcPr>
            <w:tcW w:w="1291" w:type="dxa"/>
          </w:tcPr>
          <w:p w14:paraId="6294B71E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CRE93</w:t>
            </w:r>
          </w:p>
        </w:tc>
        <w:tc>
          <w:tcPr>
            <w:tcW w:w="1548" w:type="dxa"/>
          </w:tcPr>
          <w:p w14:paraId="7E41E6D7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D147CF">
              <w:rPr>
                <w:rFonts w:ascii="Times New Roman" w:eastAsia="Arial MT" w:hAnsi="Times New Roman" w:cs="Times New Roman"/>
                <w:sz w:val="24"/>
                <w:szCs w:val="24"/>
              </w:rPr>
              <w:t>5,697,987 bp</w:t>
            </w:r>
          </w:p>
        </w:tc>
        <w:tc>
          <w:tcPr>
            <w:tcW w:w="992" w:type="dxa"/>
          </w:tcPr>
          <w:p w14:paraId="4141CA5B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047" w:type="dxa"/>
          </w:tcPr>
          <w:p w14:paraId="13FCCF77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56.98</w:t>
            </w:r>
          </w:p>
        </w:tc>
        <w:tc>
          <w:tcPr>
            <w:tcW w:w="1116" w:type="dxa"/>
          </w:tcPr>
          <w:p w14:paraId="64AFC9DE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</w:tcPr>
          <w:p w14:paraId="46E027FC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248,865 bp</w:t>
            </w:r>
          </w:p>
        </w:tc>
        <w:tc>
          <w:tcPr>
            <w:tcW w:w="1020" w:type="dxa"/>
          </w:tcPr>
          <w:p w14:paraId="206ABC53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9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5722</w:t>
            </w:r>
          </w:p>
        </w:tc>
        <w:tc>
          <w:tcPr>
            <w:tcW w:w="1020" w:type="dxa"/>
          </w:tcPr>
          <w:p w14:paraId="39C78475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92</w:t>
            </w:r>
          </w:p>
        </w:tc>
      </w:tr>
      <w:tr w:rsidR="00995AC3" w14:paraId="4EC08E94" w14:textId="77777777" w:rsidTr="00BA0683">
        <w:trPr>
          <w:trHeight w:val="266"/>
        </w:trPr>
        <w:tc>
          <w:tcPr>
            <w:tcW w:w="1291" w:type="dxa"/>
          </w:tcPr>
          <w:p w14:paraId="1F6B0CE4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PFZ360</w:t>
            </w:r>
          </w:p>
        </w:tc>
        <w:tc>
          <w:tcPr>
            <w:tcW w:w="1548" w:type="dxa"/>
          </w:tcPr>
          <w:p w14:paraId="68DA4A1D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D94C7F">
              <w:rPr>
                <w:rFonts w:ascii="Times New Roman" w:eastAsia="Arial MT" w:hAnsi="Times New Roman" w:cs="Times New Roman"/>
                <w:sz w:val="24"/>
                <w:szCs w:val="24"/>
              </w:rPr>
              <w:t>5,674,130 bp</w:t>
            </w:r>
          </w:p>
        </w:tc>
        <w:tc>
          <w:tcPr>
            <w:tcW w:w="992" w:type="dxa"/>
          </w:tcPr>
          <w:p w14:paraId="195A18B9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047" w:type="dxa"/>
          </w:tcPr>
          <w:p w14:paraId="3073310C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57.00</w:t>
            </w:r>
          </w:p>
        </w:tc>
        <w:tc>
          <w:tcPr>
            <w:tcW w:w="1116" w:type="dxa"/>
          </w:tcPr>
          <w:p w14:paraId="4E2D69E8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0" w:type="dxa"/>
          </w:tcPr>
          <w:p w14:paraId="3F44CD3C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D94C7F">
              <w:rPr>
                <w:rFonts w:ascii="Times New Roman" w:eastAsia="Arial MT" w:hAnsi="Times New Roman" w:cs="Times New Roman"/>
                <w:sz w:val="24"/>
                <w:szCs w:val="24"/>
              </w:rPr>
              <w:t>338,348 bp</w:t>
            </w:r>
          </w:p>
        </w:tc>
        <w:tc>
          <w:tcPr>
            <w:tcW w:w="1020" w:type="dxa"/>
          </w:tcPr>
          <w:p w14:paraId="4D825C79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9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5678</w:t>
            </w:r>
          </w:p>
        </w:tc>
        <w:tc>
          <w:tcPr>
            <w:tcW w:w="1020" w:type="dxa"/>
          </w:tcPr>
          <w:p w14:paraId="1D227A75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74</w:t>
            </w:r>
          </w:p>
        </w:tc>
      </w:tr>
      <w:tr w:rsidR="00995AC3" w14:paraId="0E58140B" w14:textId="77777777" w:rsidTr="00BA0683">
        <w:trPr>
          <w:trHeight w:val="266"/>
        </w:trPr>
        <w:tc>
          <w:tcPr>
            <w:tcW w:w="1291" w:type="dxa"/>
          </w:tcPr>
          <w:p w14:paraId="4C2AA6D2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PFZ363</w:t>
            </w:r>
          </w:p>
        </w:tc>
        <w:tc>
          <w:tcPr>
            <w:tcW w:w="1548" w:type="dxa"/>
          </w:tcPr>
          <w:p w14:paraId="1B4EA513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D94C7F">
              <w:rPr>
                <w:rFonts w:ascii="Times New Roman" w:eastAsia="Arial MT" w:hAnsi="Times New Roman" w:cs="Times New Roman"/>
                <w:sz w:val="24"/>
                <w:szCs w:val="24"/>
              </w:rPr>
              <w:t>5,673,315 bp</w:t>
            </w:r>
          </w:p>
        </w:tc>
        <w:tc>
          <w:tcPr>
            <w:tcW w:w="992" w:type="dxa"/>
          </w:tcPr>
          <w:p w14:paraId="331F9B20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047" w:type="dxa"/>
          </w:tcPr>
          <w:p w14:paraId="5E8EF091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56.99</w:t>
            </w:r>
          </w:p>
        </w:tc>
        <w:tc>
          <w:tcPr>
            <w:tcW w:w="1116" w:type="dxa"/>
          </w:tcPr>
          <w:p w14:paraId="2CAFD1A1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0" w:type="dxa"/>
          </w:tcPr>
          <w:p w14:paraId="7009D6FE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D94C7F">
              <w:rPr>
                <w:rFonts w:ascii="Times New Roman" w:eastAsia="Arial MT" w:hAnsi="Times New Roman" w:cs="Times New Roman"/>
                <w:sz w:val="24"/>
                <w:szCs w:val="24"/>
              </w:rPr>
              <w:t>355,015 bp</w:t>
            </w:r>
          </w:p>
        </w:tc>
        <w:tc>
          <w:tcPr>
            <w:tcW w:w="1020" w:type="dxa"/>
          </w:tcPr>
          <w:p w14:paraId="4489AF61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9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5678</w:t>
            </w:r>
          </w:p>
        </w:tc>
        <w:tc>
          <w:tcPr>
            <w:tcW w:w="1020" w:type="dxa"/>
          </w:tcPr>
          <w:p w14:paraId="711A05A9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74</w:t>
            </w:r>
          </w:p>
        </w:tc>
      </w:tr>
      <w:tr w:rsidR="00995AC3" w14:paraId="573331C8" w14:textId="77777777" w:rsidTr="00BA0683">
        <w:trPr>
          <w:trHeight w:val="266"/>
        </w:trPr>
        <w:tc>
          <w:tcPr>
            <w:tcW w:w="1291" w:type="dxa"/>
          </w:tcPr>
          <w:p w14:paraId="64058FFC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PFZ401</w:t>
            </w:r>
          </w:p>
        </w:tc>
        <w:tc>
          <w:tcPr>
            <w:tcW w:w="1548" w:type="dxa"/>
          </w:tcPr>
          <w:p w14:paraId="447193E8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D94C7F">
              <w:rPr>
                <w:rFonts w:ascii="Times New Roman" w:eastAsia="Arial MT" w:hAnsi="Times New Roman" w:cs="Times New Roman"/>
                <w:sz w:val="24"/>
                <w:szCs w:val="24"/>
              </w:rPr>
              <w:t>5,587,687 bp</w:t>
            </w:r>
          </w:p>
        </w:tc>
        <w:tc>
          <w:tcPr>
            <w:tcW w:w="992" w:type="dxa"/>
          </w:tcPr>
          <w:p w14:paraId="5444118F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047" w:type="dxa"/>
          </w:tcPr>
          <w:p w14:paraId="52627277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57.08</w:t>
            </w:r>
          </w:p>
        </w:tc>
        <w:tc>
          <w:tcPr>
            <w:tcW w:w="1116" w:type="dxa"/>
          </w:tcPr>
          <w:p w14:paraId="25CE1F11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0" w:type="dxa"/>
          </w:tcPr>
          <w:p w14:paraId="6F8A8EDD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D94C7F">
              <w:rPr>
                <w:rFonts w:ascii="Times New Roman" w:eastAsia="Arial MT" w:hAnsi="Times New Roman" w:cs="Times New Roman"/>
                <w:sz w:val="24"/>
                <w:szCs w:val="24"/>
              </w:rPr>
              <w:t>191,656 bp</w:t>
            </w:r>
          </w:p>
        </w:tc>
        <w:tc>
          <w:tcPr>
            <w:tcW w:w="1020" w:type="dxa"/>
          </w:tcPr>
          <w:p w14:paraId="31979D43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9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5500</w:t>
            </w:r>
          </w:p>
        </w:tc>
        <w:tc>
          <w:tcPr>
            <w:tcW w:w="1020" w:type="dxa"/>
          </w:tcPr>
          <w:p w14:paraId="2078D940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76</w:t>
            </w:r>
          </w:p>
        </w:tc>
      </w:tr>
      <w:tr w:rsidR="00995AC3" w14:paraId="7154C111" w14:textId="77777777" w:rsidTr="00BA0683">
        <w:trPr>
          <w:trHeight w:val="266"/>
        </w:trPr>
        <w:tc>
          <w:tcPr>
            <w:tcW w:w="1291" w:type="dxa"/>
          </w:tcPr>
          <w:p w14:paraId="6209B513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PFZ410</w:t>
            </w:r>
          </w:p>
        </w:tc>
        <w:tc>
          <w:tcPr>
            <w:tcW w:w="1548" w:type="dxa"/>
          </w:tcPr>
          <w:p w14:paraId="29747790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F30E9B">
              <w:rPr>
                <w:rFonts w:ascii="Times New Roman" w:eastAsia="Arial MT" w:hAnsi="Times New Roman" w:cs="Times New Roman"/>
                <w:sz w:val="24"/>
                <w:szCs w:val="24"/>
              </w:rPr>
              <w:t>5,587,846 bp</w:t>
            </w:r>
          </w:p>
        </w:tc>
        <w:tc>
          <w:tcPr>
            <w:tcW w:w="992" w:type="dxa"/>
          </w:tcPr>
          <w:p w14:paraId="741BAB19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047" w:type="dxa"/>
          </w:tcPr>
          <w:p w14:paraId="647FCB7A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57.08</w:t>
            </w:r>
          </w:p>
        </w:tc>
        <w:tc>
          <w:tcPr>
            <w:tcW w:w="1116" w:type="dxa"/>
          </w:tcPr>
          <w:p w14:paraId="15ADE8A8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0" w:type="dxa"/>
          </w:tcPr>
          <w:p w14:paraId="4BC326A2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198,531 bp</w:t>
            </w:r>
          </w:p>
        </w:tc>
        <w:tc>
          <w:tcPr>
            <w:tcW w:w="1020" w:type="dxa"/>
          </w:tcPr>
          <w:p w14:paraId="18ADF822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9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5503</w:t>
            </w:r>
          </w:p>
        </w:tc>
        <w:tc>
          <w:tcPr>
            <w:tcW w:w="1020" w:type="dxa"/>
          </w:tcPr>
          <w:p w14:paraId="6514FDAD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76</w:t>
            </w:r>
          </w:p>
        </w:tc>
      </w:tr>
      <w:tr w:rsidR="00995AC3" w14:paraId="62A945C1" w14:textId="77777777" w:rsidTr="00BA0683">
        <w:trPr>
          <w:trHeight w:val="266"/>
        </w:trPr>
        <w:tc>
          <w:tcPr>
            <w:tcW w:w="1291" w:type="dxa"/>
          </w:tcPr>
          <w:p w14:paraId="5B7FA69B" w14:textId="77777777" w:rsidR="00995AC3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PFZ529</w:t>
            </w:r>
          </w:p>
        </w:tc>
        <w:tc>
          <w:tcPr>
            <w:tcW w:w="1548" w:type="dxa"/>
          </w:tcPr>
          <w:p w14:paraId="4B2764D8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D94C7F">
              <w:rPr>
                <w:rFonts w:ascii="Times New Roman" w:eastAsia="Arial MT" w:hAnsi="Times New Roman" w:cs="Times New Roman"/>
                <w:sz w:val="24"/>
                <w:szCs w:val="24"/>
              </w:rPr>
              <w:t>5,699,652 bp</w:t>
            </w:r>
          </w:p>
        </w:tc>
        <w:tc>
          <w:tcPr>
            <w:tcW w:w="992" w:type="dxa"/>
          </w:tcPr>
          <w:p w14:paraId="415498D2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047" w:type="dxa"/>
          </w:tcPr>
          <w:p w14:paraId="65778EC6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57.10</w:t>
            </w:r>
          </w:p>
        </w:tc>
        <w:tc>
          <w:tcPr>
            <w:tcW w:w="1116" w:type="dxa"/>
          </w:tcPr>
          <w:p w14:paraId="36AD1DA5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0" w:type="dxa"/>
          </w:tcPr>
          <w:p w14:paraId="2A570302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D94C7F">
              <w:rPr>
                <w:rFonts w:ascii="Times New Roman" w:eastAsia="Arial MT" w:hAnsi="Times New Roman" w:cs="Times New Roman"/>
                <w:sz w:val="24"/>
                <w:szCs w:val="24"/>
              </w:rPr>
              <w:t>175,911 bp</w:t>
            </w:r>
          </w:p>
        </w:tc>
        <w:tc>
          <w:tcPr>
            <w:tcW w:w="1020" w:type="dxa"/>
          </w:tcPr>
          <w:p w14:paraId="671B22D0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9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5736</w:t>
            </w:r>
          </w:p>
        </w:tc>
        <w:tc>
          <w:tcPr>
            <w:tcW w:w="1020" w:type="dxa"/>
          </w:tcPr>
          <w:p w14:paraId="17138385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75</w:t>
            </w:r>
          </w:p>
        </w:tc>
      </w:tr>
      <w:tr w:rsidR="00995AC3" w14:paraId="4BF9C60B" w14:textId="77777777" w:rsidTr="00BA0683">
        <w:trPr>
          <w:trHeight w:val="266"/>
        </w:trPr>
        <w:tc>
          <w:tcPr>
            <w:tcW w:w="1291" w:type="dxa"/>
          </w:tcPr>
          <w:p w14:paraId="12E5DF0C" w14:textId="77777777" w:rsidR="00995AC3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PFZ758</w:t>
            </w:r>
          </w:p>
        </w:tc>
        <w:tc>
          <w:tcPr>
            <w:tcW w:w="1548" w:type="dxa"/>
          </w:tcPr>
          <w:p w14:paraId="17AA9259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F30E9B">
              <w:rPr>
                <w:rFonts w:ascii="Times New Roman" w:eastAsia="Arial MT" w:hAnsi="Times New Roman" w:cs="Times New Roman"/>
                <w:sz w:val="24"/>
                <w:szCs w:val="24"/>
              </w:rPr>
              <w:t>5,879,460 bp</w:t>
            </w:r>
          </w:p>
        </w:tc>
        <w:tc>
          <w:tcPr>
            <w:tcW w:w="992" w:type="dxa"/>
          </w:tcPr>
          <w:p w14:paraId="05BD22A6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047" w:type="dxa"/>
          </w:tcPr>
          <w:p w14:paraId="43E6E444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56.75</w:t>
            </w:r>
          </w:p>
        </w:tc>
        <w:tc>
          <w:tcPr>
            <w:tcW w:w="1116" w:type="dxa"/>
          </w:tcPr>
          <w:p w14:paraId="0BCFD3C2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</w:tcPr>
          <w:p w14:paraId="3EFB5ECB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372,348 bp</w:t>
            </w:r>
          </w:p>
        </w:tc>
        <w:tc>
          <w:tcPr>
            <w:tcW w:w="1020" w:type="dxa"/>
          </w:tcPr>
          <w:p w14:paraId="4C7056C1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9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5945</w:t>
            </w:r>
          </w:p>
        </w:tc>
        <w:tc>
          <w:tcPr>
            <w:tcW w:w="1020" w:type="dxa"/>
          </w:tcPr>
          <w:p w14:paraId="0CBD0F1F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74</w:t>
            </w:r>
          </w:p>
        </w:tc>
      </w:tr>
      <w:tr w:rsidR="00995AC3" w14:paraId="16AD53D5" w14:textId="77777777" w:rsidTr="00BA0683">
        <w:trPr>
          <w:trHeight w:val="266"/>
        </w:trPr>
        <w:tc>
          <w:tcPr>
            <w:tcW w:w="1291" w:type="dxa"/>
          </w:tcPr>
          <w:p w14:paraId="482F6D29" w14:textId="77777777" w:rsidR="00995AC3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ABC220</w:t>
            </w:r>
          </w:p>
        </w:tc>
        <w:tc>
          <w:tcPr>
            <w:tcW w:w="1548" w:type="dxa"/>
          </w:tcPr>
          <w:p w14:paraId="5E7B9D94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left="3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D94C7F">
              <w:rPr>
                <w:rFonts w:ascii="Times New Roman" w:eastAsia="Arial MT" w:hAnsi="Times New Roman" w:cs="Times New Roman"/>
                <w:sz w:val="24"/>
                <w:szCs w:val="24"/>
              </w:rPr>
              <w:t>5,670,590 bp</w:t>
            </w:r>
          </w:p>
        </w:tc>
        <w:tc>
          <w:tcPr>
            <w:tcW w:w="992" w:type="dxa"/>
          </w:tcPr>
          <w:p w14:paraId="47590EE2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047" w:type="dxa"/>
          </w:tcPr>
          <w:p w14:paraId="3E9CBEF5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57.15</w:t>
            </w:r>
          </w:p>
        </w:tc>
        <w:tc>
          <w:tcPr>
            <w:tcW w:w="1116" w:type="dxa"/>
          </w:tcPr>
          <w:p w14:paraId="1E568217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</w:tcPr>
          <w:p w14:paraId="77C971F6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8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 w:rsidRPr="00D94C7F">
              <w:rPr>
                <w:rFonts w:ascii="Times New Roman" w:eastAsia="Arial MT" w:hAnsi="Times New Roman" w:cs="Times New Roman"/>
                <w:sz w:val="24"/>
                <w:szCs w:val="24"/>
              </w:rPr>
              <w:t>188,533 bp</w:t>
            </w:r>
          </w:p>
        </w:tc>
        <w:tc>
          <w:tcPr>
            <w:tcW w:w="1020" w:type="dxa"/>
          </w:tcPr>
          <w:p w14:paraId="0625E0C2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ind w:right="19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5564</w:t>
            </w:r>
          </w:p>
        </w:tc>
        <w:tc>
          <w:tcPr>
            <w:tcW w:w="1020" w:type="dxa"/>
          </w:tcPr>
          <w:p w14:paraId="762C25A6" w14:textId="77777777" w:rsidR="00995AC3" w:rsidRPr="00FA70DF" w:rsidRDefault="00995AC3" w:rsidP="00BA06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MT" w:hAnsi="Times New Roman" w:cs="Times New Roman"/>
                <w:sz w:val="24"/>
                <w:szCs w:val="24"/>
              </w:rPr>
            </w:pPr>
            <w:r>
              <w:rPr>
                <w:rFonts w:ascii="Times New Roman" w:eastAsia="Arial MT" w:hAnsi="Times New Roman" w:cs="Times New Roman"/>
                <w:sz w:val="24"/>
                <w:szCs w:val="24"/>
              </w:rPr>
              <w:t>71</w:t>
            </w:r>
          </w:p>
        </w:tc>
      </w:tr>
    </w:tbl>
    <w:p w14:paraId="1275D60B" w14:textId="77777777" w:rsidR="00995AC3" w:rsidRDefault="00995AC3" w:rsidP="00995AC3"/>
    <w:p w14:paraId="7553AC9E" w14:textId="77777777" w:rsidR="00995AC3" w:rsidRDefault="00995AC3"/>
    <w:p w14:paraId="5B1DE069" w14:textId="77777777" w:rsidR="00995AC3" w:rsidRDefault="00995AC3"/>
    <w:p w14:paraId="6B177B43" w14:textId="77777777" w:rsidR="00995AC3" w:rsidRDefault="00995AC3"/>
    <w:p w14:paraId="0980B1C5" w14:textId="77777777" w:rsidR="00995AC3" w:rsidRDefault="00995AC3"/>
    <w:p w14:paraId="4326419A" w14:textId="77777777" w:rsidR="00995AC3" w:rsidRDefault="00995AC3"/>
    <w:p w14:paraId="4385C604" w14:textId="77777777" w:rsidR="00995AC3" w:rsidRDefault="00995AC3"/>
    <w:p w14:paraId="71E9AD65" w14:textId="77777777" w:rsidR="00995AC3" w:rsidRDefault="00995AC3"/>
    <w:p w14:paraId="279469BC" w14:textId="77777777" w:rsidR="00995AC3" w:rsidRDefault="00995AC3"/>
    <w:p w14:paraId="0B89D3A8" w14:textId="77777777" w:rsidR="00995AC3" w:rsidRDefault="00995AC3"/>
    <w:p w14:paraId="57311497" w14:textId="77777777" w:rsidR="00995AC3" w:rsidRDefault="00995AC3"/>
    <w:p w14:paraId="68FBB661" w14:textId="64D38C27" w:rsidR="00995AC3" w:rsidRDefault="00995AC3" w:rsidP="00995AC3">
      <w:pPr>
        <w:jc w:val="both"/>
        <w:rPr>
          <w:rFonts w:asciiTheme="majorBidi" w:hAnsiTheme="majorBidi" w:cstheme="majorBidi"/>
          <w:color w:val="2E2E2E"/>
          <w:sz w:val="24"/>
          <w:szCs w:val="24"/>
        </w:rPr>
      </w:pPr>
      <w:r>
        <w:rPr>
          <w:rStyle w:val="label"/>
          <w:rFonts w:asciiTheme="majorBidi" w:hAnsiTheme="majorBidi" w:cstheme="majorBidi"/>
          <w:color w:val="2E2E2E"/>
          <w:sz w:val="24"/>
          <w:szCs w:val="24"/>
        </w:rPr>
        <w:t xml:space="preserve">Supplementary </w:t>
      </w:r>
      <w:r w:rsidRPr="00887D0B">
        <w:rPr>
          <w:rStyle w:val="label"/>
          <w:rFonts w:asciiTheme="majorBidi" w:hAnsiTheme="majorBidi" w:cstheme="majorBidi"/>
          <w:color w:val="2E2E2E"/>
          <w:sz w:val="24"/>
          <w:szCs w:val="24"/>
        </w:rPr>
        <w:t xml:space="preserve">Table 3. </w:t>
      </w:r>
      <w:r w:rsidRPr="00C164BE">
        <w:rPr>
          <w:rFonts w:asciiTheme="majorBidi" w:hAnsiTheme="majorBidi" w:cstheme="majorBidi"/>
          <w:color w:val="2E2E2E"/>
          <w:sz w:val="24"/>
          <w:szCs w:val="24"/>
        </w:rPr>
        <w:t xml:space="preserve">Virulence factor profiles of </w:t>
      </w:r>
      <w:r w:rsidRPr="00BE5D29">
        <w:rPr>
          <w:rFonts w:asciiTheme="majorBidi" w:hAnsiTheme="majorBidi" w:cstheme="majorBidi"/>
          <w:i/>
          <w:iCs/>
          <w:color w:val="2E2E2E"/>
          <w:sz w:val="24"/>
          <w:szCs w:val="24"/>
        </w:rPr>
        <w:t>bla</w:t>
      </w:r>
      <w:r w:rsidRPr="00BE5D29">
        <w:rPr>
          <w:rFonts w:asciiTheme="majorBidi" w:hAnsiTheme="majorBidi" w:cstheme="majorBidi"/>
          <w:color w:val="2E2E2E"/>
          <w:sz w:val="24"/>
          <w:szCs w:val="24"/>
          <w:vertAlign w:val="subscript"/>
        </w:rPr>
        <w:t>KPC-2</w:t>
      </w:r>
      <w:r w:rsidRPr="00C164BE">
        <w:rPr>
          <w:rFonts w:asciiTheme="majorBidi" w:hAnsiTheme="majorBidi" w:cstheme="majorBidi"/>
          <w:color w:val="2E2E2E"/>
          <w:sz w:val="24"/>
          <w:szCs w:val="24"/>
        </w:rPr>
        <w:t xml:space="preserve">-producing isolates. This table provides a detailed summary of </w:t>
      </w:r>
      <w:r>
        <w:rPr>
          <w:rFonts w:ascii="Times New Roman" w:eastAsia="Calibri" w:hAnsi="Times New Roman" w:cs="Times New Roman"/>
          <w:color w:val="2E2E2E"/>
          <w:sz w:val="24"/>
          <w:szCs w:val="24"/>
        </w:rPr>
        <w:t xml:space="preserve">the </w:t>
      </w:r>
      <w:r w:rsidRPr="00C164BE">
        <w:rPr>
          <w:rFonts w:asciiTheme="majorBidi" w:hAnsiTheme="majorBidi" w:cstheme="majorBidi"/>
          <w:color w:val="2E2E2E"/>
          <w:sz w:val="24"/>
          <w:szCs w:val="24"/>
        </w:rPr>
        <w:t xml:space="preserve">virulence factors detected in </w:t>
      </w:r>
      <w:r w:rsidRPr="00BE5D29">
        <w:rPr>
          <w:rFonts w:asciiTheme="majorBidi" w:hAnsiTheme="majorBidi" w:cstheme="majorBidi"/>
          <w:i/>
          <w:iCs/>
          <w:color w:val="2E2E2E"/>
          <w:sz w:val="24"/>
          <w:szCs w:val="24"/>
        </w:rPr>
        <w:t>bla</w:t>
      </w:r>
      <w:r w:rsidRPr="00BE5D29">
        <w:rPr>
          <w:rFonts w:asciiTheme="majorBidi" w:hAnsiTheme="majorBidi" w:cstheme="majorBidi"/>
          <w:color w:val="2E2E2E"/>
          <w:sz w:val="24"/>
          <w:szCs w:val="24"/>
          <w:vertAlign w:val="subscript"/>
        </w:rPr>
        <w:t>KPC-2</w:t>
      </w:r>
      <w:r w:rsidRPr="00C164BE">
        <w:rPr>
          <w:rFonts w:asciiTheme="majorBidi" w:hAnsiTheme="majorBidi" w:cstheme="majorBidi"/>
          <w:color w:val="2E2E2E"/>
          <w:sz w:val="24"/>
          <w:szCs w:val="24"/>
        </w:rPr>
        <w:t>-producing isolates, including capsule types (K-</w:t>
      </w:r>
      <w:r>
        <w:rPr>
          <w:rFonts w:ascii="Times New Roman" w:eastAsia="Calibri" w:hAnsi="Times New Roman" w:cs="Times New Roman"/>
          <w:color w:val="2E2E2E"/>
          <w:sz w:val="24"/>
          <w:szCs w:val="24"/>
        </w:rPr>
        <w:t>loci</w:t>
      </w:r>
      <w:r w:rsidRPr="00C164BE">
        <w:rPr>
          <w:rFonts w:asciiTheme="majorBidi" w:hAnsiTheme="majorBidi" w:cstheme="majorBidi"/>
          <w:color w:val="2E2E2E"/>
          <w:sz w:val="24"/>
          <w:szCs w:val="24"/>
        </w:rPr>
        <w:t>), adherence mechanisms (fimbriae, pili), antiphagocytosis factors, iron uptake systems, secretion systems, serum resistance, toxins, and other virulence-associated determinants.</w:t>
      </w:r>
    </w:p>
    <w:tbl>
      <w:tblPr>
        <w:tblStyle w:val="ListTable2"/>
        <w:tblW w:w="13893" w:type="dxa"/>
        <w:tblLayout w:type="fixed"/>
        <w:tblLook w:val="04A0" w:firstRow="1" w:lastRow="0" w:firstColumn="1" w:lastColumn="0" w:noHBand="0" w:noVBand="1"/>
      </w:tblPr>
      <w:tblGrid>
        <w:gridCol w:w="4139"/>
        <w:gridCol w:w="964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 w:rsidR="00995AC3" w14:paraId="07E894AA" w14:textId="77777777" w:rsidTr="00BA06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1B908FC4" w14:textId="77777777" w:rsidR="00995AC3" w:rsidRPr="000C282A" w:rsidRDefault="00995AC3" w:rsidP="00BA0683">
            <w:pPr>
              <w:rPr>
                <w:rFonts w:ascii="Calibri" w:eastAsia="Times New Roman" w:hAnsi="Calibri" w:cs="Calibri"/>
                <w:sz w:val="16"/>
                <w:szCs w:val="16"/>
              </w:rPr>
            </w:pPr>
            <w:r w:rsidRPr="000C282A">
              <w:rPr>
                <w:rFonts w:ascii="Calibri" w:eastAsia="Times New Roman" w:hAnsi="Calibri" w:cs="Calibri"/>
                <w:sz w:val="16"/>
                <w:szCs w:val="16"/>
              </w:rPr>
              <w:t>Virulence Factors</w:t>
            </w:r>
          </w:p>
        </w:tc>
        <w:tc>
          <w:tcPr>
            <w:tcW w:w="964" w:type="dxa"/>
            <w:noWrap/>
            <w:hideMark/>
          </w:tcPr>
          <w:p w14:paraId="13E81498" w14:textId="77777777" w:rsidR="00995AC3" w:rsidRPr="000C282A" w:rsidRDefault="00995AC3" w:rsidP="00BA06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C282A">
              <w:rPr>
                <w:rFonts w:ascii="Calibri" w:eastAsia="Times New Roman" w:hAnsi="Calibri" w:cs="Calibri"/>
                <w:sz w:val="20"/>
                <w:szCs w:val="20"/>
              </w:rPr>
              <w:t>Related genes</w:t>
            </w:r>
          </w:p>
        </w:tc>
        <w:tc>
          <w:tcPr>
            <w:tcW w:w="879" w:type="dxa"/>
            <w:noWrap/>
            <w:hideMark/>
          </w:tcPr>
          <w:p w14:paraId="496ABC26" w14:textId="77777777" w:rsidR="00995AC3" w:rsidRPr="000C282A" w:rsidRDefault="00995AC3" w:rsidP="00BA06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C282A">
              <w:rPr>
                <w:rFonts w:ascii="Calibri" w:eastAsia="Times New Roman" w:hAnsi="Calibri" w:cs="Calibri"/>
                <w:sz w:val="20"/>
                <w:szCs w:val="20"/>
              </w:rPr>
              <w:t>ABC220</w:t>
            </w:r>
          </w:p>
        </w:tc>
        <w:tc>
          <w:tcPr>
            <w:tcW w:w="879" w:type="dxa"/>
            <w:noWrap/>
            <w:hideMark/>
          </w:tcPr>
          <w:p w14:paraId="1EC0C8BC" w14:textId="77777777" w:rsidR="00995AC3" w:rsidRPr="000C282A" w:rsidRDefault="00995AC3" w:rsidP="00BA06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C282A">
              <w:rPr>
                <w:rFonts w:ascii="Calibri" w:eastAsia="Times New Roman" w:hAnsi="Calibri" w:cs="Calibri"/>
                <w:sz w:val="20"/>
                <w:szCs w:val="20"/>
              </w:rPr>
              <w:t>PFZ360</w:t>
            </w:r>
          </w:p>
        </w:tc>
        <w:tc>
          <w:tcPr>
            <w:tcW w:w="879" w:type="dxa"/>
            <w:noWrap/>
            <w:hideMark/>
          </w:tcPr>
          <w:p w14:paraId="64E1A059" w14:textId="77777777" w:rsidR="00995AC3" w:rsidRPr="000C282A" w:rsidRDefault="00995AC3" w:rsidP="00BA06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C282A">
              <w:rPr>
                <w:rFonts w:ascii="Calibri" w:eastAsia="Times New Roman" w:hAnsi="Calibri" w:cs="Calibri"/>
                <w:sz w:val="20"/>
                <w:szCs w:val="20"/>
              </w:rPr>
              <w:t>PFZ363</w:t>
            </w:r>
          </w:p>
        </w:tc>
        <w:tc>
          <w:tcPr>
            <w:tcW w:w="879" w:type="dxa"/>
            <w:noWrap/>
            <w:hideMark/>
          </w:tcPr>
          <w:p w14:paraId="3ED15E2F" w14:textId="77777777" w:rsidR="00995AC3" w:rsidRPr="000C282A" w:rsidRDefault="00995AC3" w:rsidP="00BA06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C282A">
              <w:rPr>
                <w:rFonts w:ascii="Calibri" w:eastAsia="Times New Roman" w:hAnsi="Calibri" w:cs="Calibri"/>
                <w:sz w:val="20"/>
                <w:szCs w:val="20"/>
              </w:rPr>
              <w:t>PFZ401</w:t>
            </w:r>
          </w:p>
        </w:tc>
        <w:tc>
          <w:tcPr>
            <w:tcW w:w="879" w:type="dxa"/>
            <w:noWrap/>
            <w:hideMark/>
          </w:tcPr>
          <w:p w14:paraId="0117017A" w14:textId="77777777" w:rsidR="00995AC3" w:rsidRPr="000C282A" w:rsidRDefault="00995AC3" w:rsidP="00BA06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C282A">
              <w:rPr>
                <w:rFonts w:ascii="Calibri" w:eastAsia="Times New Roman" w:hAnsi="Calibri" w:cs="Calibri"/>
                <w:sz w:val="20"/>
                <w:szCs w:val="20"/>
              </w:rPr>
              <w:t>PFZ410</w:t>
            </w:r>
          </w:p>
        </w:tc>
        <w:tc>
          <w:tcPr>
            <w:tcW w:w="879" w:type="dxa"/>
            <w:noWrap/>
            <w:hideMark/>
          </w:tcPr>
          <w:p w14:paraId="6AA054F9" w14:textId="77777777" w:rsidR="00995AC3" w:rsidRPr="000C282A" w:rsidRDefault="00995AC3" w:rsidP="00BA06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C282A">
              <w:rPr>
                <w:rFonts w:ascii="Calibri" w:eastAsia="Times New Roman" w:hAnsi="Calibri" w:cs="Calibri"/>
                <w:sz w:val="20"/>
                <w:szCs w:val="20"/>
              </w:rPr>
              <w:t>PFZ529</w:t>
            </w:r>
          </w:p>
        </w:tc>
        <w:tc>
          <w:tcPr>
            <w:tcW w:w="879" w:type="dxa"/>
            <w:noWrap/>
            <w:hideMark/>
          </w:tcPr>
          <w:p w14:paraId="23E8C261" w14:textId="77777777" w:rsidR="00995AC3" w:rsidRPr="000C282A" w:rsidRDefault="00995AC3" w:rsidP="00BA06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C282A">
              <w:rPr>
                <w:rFonts w:ascii="Calibri" w:eastAsia="Times New Roman" w:hAnsi="Calibri" w:cs="Calibri"/>
                <w:sz w:val="20"/>
                <w:szCs w:val="20"/>
              </w:rPr>
              <w:t>PFZ758</w:t>
            </w:r>
          </w:p>
        </w:tc>
        <w:tc>
          <w:tcPr>
            <w:tcW w:w="879" w:type="dxa"/>
            <w:noWrap/>
            <w:hideMark/>
          </w:tcPr>
          <w:p w14:paraId="3375D416" w14:textId="77777777" w:rsidR="00995AC3" w:rsidRPr="000C282A" w:rsidRDefault="00995AC3" w:rsidP="00BA06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C282A">
              <w:rPr>
                <w:rFonts w:ascii="Calibri" w:eastAsia="Times New Roman" w:hAnsi="Calibri" w:cs="Calibri"/>
                <w:sz w:val="20"/>
                <w:szCs w:val="20"/>
              </w:rPr>
              <w:t>CRE51</w:t>
            </w:r>
          </w:p>
        </w:tc>
        <w:tc>
          <w:tcPr>
            <w:tcW w:w="879" w:type="dxa"/>
            <w:noWrap/>
            <w:hideMark/>
          </w:tcPr>
          <w:p w14:paraId="4A562975" w14:textId="77777777" w:rsidR="00995AC3" w:rsidRPr="000C282A" w:rsidRDefault="00995AC3" w:rsidP="00BA06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C282A">
              <w:rPr>
                <w:rFonts w:ascii="Calibri" w:eastAsia="Times New Roman" w:hAnsi="Calibri" w:cs="Calibri"/>
                <w:sz w:val="20"/>
                <w:szCs w:val="20"/>
              </w:rPr>
              <w:t>CRE79</w:t>
            </w:r>
          </w:p>
        </w:tc>
        <w:tc>
          <w:tcPr>
            <w:tcW w:w="879" w:type="dxa"/>
            <w:noWrap/>
            <w:hideMark/>
          </w:tcPr>
          <w:p w14:paraId="668142B2" w14:textId="77777777" w:rsidR="00995AC3" w:rsidRPr="000C282A" w:rsidRDefault="00995AC3" w:rsidP="00BA06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C282A">
              <w:rPr>
                <w:rFonts w:ascii="Calibri" w:eastAsia="Times New Roman" w:hAnsi="Calibri" w:cs="Calibri"/>
                <w:sz w:val="20"/>
                <w:szCs w:val="20"/>
              </w:rPr>
              <w:t>CRE93</w:t>
            </w:r>
          </w:p>
        </w:tc>
      </w:tr>
      <w:tr w:rsidR="00995AC3" w14:paraId="5525F2A1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</w:tcPr>
          <w:p w14:paraId="009BE3C0" w14:textId="77777777" w:rsidR="00995AC3" w:rsidRPr="000C282A" w:rsidRDefault="00995AC3" w:rsidP="00BA0683">
            <w:pPr>
              <w:rPr>
                <w:rFonts w:ascii="Verdana" w:eastAsia="Times New Roman" w:hAnsi="Verdana" w:cs="Calibri"/>
                <w:sz w:val="16"/>
                <w:szCs w:val="16"/>
              </w:rPr>
            </w:pPr>
            <w:r>
              <w:rPr>
                <w:rFonts w:ascii="Verdana" w:eastAsia="Times New Roman" w:hAnsi="Verdana" w:cs="Calibri"/>
                <w:sz w:val="16"/>
                <w:szCs w:val="16"/>
              </w:rPr>
              <w:t>K- locus</w:t>
            </w:r>
          </w:p>
        </w:tc>
        <w:tc>
          <w:tcPr>
            <w:tcW w:w="964" w:type="dxa"/>
            <w:noWrap/>
          </w:tcPr>
          <w:p w14:paraId="777CF3BF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>
              <w:rPr>
                <w:rFonts w:ascii="Calibri" w:eastAsia="Times New Roman" w:hAnsi="Calibri" w:cs="Calibri"/>
                <w:color w:val="4C4D41"/>
              </w:rPr>
              <w:t>-</w:t>
            </w:r>
          </w:p>
        </w:tc>
        <w:tc>
          <w:tcPr>
            <w:tcW w:w="879" w:type="dxa"/>
            <w:noWrap/>
          </w:tcPr>
          <w:p w14:paraId="0F9FCCA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B536F">
              <w:rPr>
                <w:rFonts w:ascii="Calibri" w:eastAsia="Times New Roman" w:hAnsi="Calibri" w:cs="Calibri"/>
              </w:rPr>
              <w:t>KL2</w:t>
            </w:r>
          </w:p>
        </w:tc>
        <w:tc>
          <w:tcPr>
            <w:tcW w:w="879" w:type="dxa"/>
            <w:noWrap/>
          </w:tcPr>
          <w:p w14:paraId="007B78E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KL51</w:t>
            </w:r>
          </w:p>
        </w:tc>
        <w:tc>
          <w:tcPr>
            <w:tcW w:w="879" w:type="dxa"/>
            <w:noWrap/>
          </w:tcPr>
          <w:p w14:paraId="1BD98238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KL51</w:t>
            </w:r>
          </w:p>
        </w:tc>
        <w:tc>
          <w:tcPr>
            <w:tcW w:w="879" w:type="dxa"/>
            <w:noWrap/>
          </w:tcPr>
          <w:p w14:paraId="02656B7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KL19</w:t>
            </w:r>
          </w:p>
        </w:tc>
        <w:tc>
          <w:tcPr>
            <w:tcW w:w="879" w:type="dxa"/>
            <w:noWrap/>
          </w:tcPr>
          <w:p w14:paraId="07D7D63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KL19</w:t>
            </w:r>
          </w:p>
        </w:tc>
        <w:tc>
          <w:tcPr>
            <w:tcW w:w="879" w:type="dxa"/>
            <w:noWrap/>
          </w:tcPr>
          <w:p w14:paraId="7E42878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KL64</w:t>
            </w:r>
          </w:p>
        </w:tc>
        <w:tc>
          <w:tcPr>
            <w:tcW w:w="879" w:type="dxa"/>
            <w:noWrap/>
          </w:tcPr>
          <w:p w14:paraId="59559F4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KL62</w:t>
            </w:r>
          </w:p>
        </w:tc>
        <w:tc>
          <w:tcPr>
            <w:tcW w:w="879" w:type="dxa"/>
            <w:noWrap/>
          </w:tcPr>
          <w:p w14:paraId="44CB84D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KL47</w:t>
            </w:r>
          </w:p>
        </w:tc>
        <w:tc>
          <w:tcPr>
            <w:tcW w:w="879" w:type="dxa"/>
            <w:noWrap/>
          </w:tcPr>
          <w:p w14:paraId="4EB4DC9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KL111</w:t>
            </w:r>
          </w:p>
        </w:tc>
        <w:tc>
          <w:tcPr>
            <w:tcW w:w="879" w:type="dxa"/>
            <w:noWrap/>
          </w:tcPr>
          <w:p w14:paraId="0B80541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KL51</w:t>
            </w:r>
          </w:p>
        </w:tc>
      </w:tr>
      <w:tr w:rsidR="00995AC3" w14:paraId="022B7A36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2BD9FE41" w14:textId="77777777" w:rsidR="00995AC3" w:rsidRPr="000C282A" w:rsidRDefault="00995AC3" w:rsidP="00BA0683">
            <w:pPr>
              <w:rPr>
                <w:rFonts w:ascii="Verdana" w:eastAsia="Times New Roman" w:hAnsi="Verdana" w:cs="Calibri"/>
                <w:sz w:val="16"/>
                <w:szCs w:val="16"/>
              </w:rPr>
            </w:pPr>
            <w:r w:rsidRPr="000C282A">
              <w:rPr>
                <w:rFonts w:ascii="Verdana" w:eastAsia="Times New Roman" w:hAnsi="Verdana" w:cs="Calibri"/>
                <w:sz w:val="16"/>
                <w:szCs w:val="16"/>
              </w:rPr>
              <w:t>Adherence</w:t>
            </w:r>
          </w:p>
        </w:tc>
        <w:tc>
          <w:tcPr>
            <w:tcW w:w="964" w:type="dxa"/>
            <w:noWrap/>
            <w:hideMark/>
          </w:tcPr>
          <w:p w14:paraId="64FBCF70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2B51F4FF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0230B76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21F898F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9107466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74E60E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4E803F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13EDCFB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25473C6F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38E63FB2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426738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95AC3" w14:paraId="2DDDD62E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58FC0D82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4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Type I fimbriae</w:t>
              </w:r>
            </w:hyperlink>
          </w:p>
        </w:tc>
        <w:tc>
          <w:tcPr>
            <w:tcW w:w="964" w:type="dxa"/>
            <w:noWrap/>
            <w:hideMark/>
          </w:tcPr>
          <w:p w14:paraId="589F0E4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879" w:type="dxa"/>
            <w:noWrap/>
            <w:hideMark/>
          </w:tcPr>
          <w:p w14:paraId="68F42A76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7A0DDB3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09EB6F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63DE5615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6399457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A0B93E5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7935769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1313FDE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100B92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13CCAB8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</w:tr>
      <w:tr w:rsidR="00995AC3" w14:paraId="0BD1C3D9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326E6A28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5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Type 3 fimbriae</w:t>
              </w:r>
            </w:hyperlink>
          </w:p>
        </w:tc>
        <w:tc>
          <w:tcPr>
            <w:tcW w:w="964" w:type="dxa"/>
            <w:noWrap/>
            <w:hideMark/>
          </w:tcPr>
          <w:p w14:paraId="50EB4EA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879" w:type="dxa"/>
            <w:noWrap/>
            <w:hideMark/>
          </w:tcPr>
          <w:p w14:paraId="6E34E46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7E2BE889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7584BFC9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0BE712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50733F1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060716E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EEC55E0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3BA74A7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1BE01EB2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00646AB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</w:tr>
      <w:tr w:rsidR="00995AC3" w14:paraId="0C25F9AF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09531861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6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Type IV pili (Yersinia)</w:t>
              </w:r>
            </w:hyperlink>
          </w:p>
        </w:tc>
        <w:tc>
          <w:tcPr>
            <w:tcW w:w="964" w:type="dxa"/>
            <w:noWrap/>
            <w:hideMark/>
          </w:tcPr>
          <w:p w14:paraId="53DAF961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879" w:type="dxa"/>
            <w:noWrap/>
            <w:hideMark/>
          </w:tcPr>
          <w:p w14:paraId="129DD21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4B920B3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3CC5C3D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09F67D5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5033974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664021E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560F527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3A9C46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12E00766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7888A1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</w:tr>
      <w:tr w:rsidR="00995AC3" w14:paraId="610A301F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27E86EF0" w14:textId="77777777" w:rsidR="00995AC3" w:rsidRPr="000C282A" w:rsidRDefault="00995AC3" w:rsidP="00BA0683">
            <w:pPr>
              <w:rPr>
                <w:rFonts w:ascii="Verdana" w:eastAsia="Times New Roman" w:hAnsi="Verdana" w:cs="Calibri"/>
                <w:sz w:val="16"/>
                <w:szCs w:val="16"/>
              </w:rPr>
            </w:pPr>
            <w:r w:rsidRPr="000C282A">
              <w:rPr>
                <w:rFonts w:ascii="Verdana" w:eastAsia="Times New Roman" w:hAnsi="Verdana" w:cs="Calibri"/>
                <w:sz w:val="16"/>
                <w:szCs w:val="16"/>
              </w:rPr>
              <w:t>Antiphagocytosis (1 Item)</w:t>
            </w:r>
          </w:p>
        </w:tc>
        <w:tc>
          <w:tcPr>
            <w:tcW w:w="964" w:type="dxa"/>
            <w:noWrap/>
            <w:hideMark/>
          </w:tcPr>
          <w:p w14:paraId="1AF4C82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3BAF474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E4E30BB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28B049C8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0E0B3AF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FE1461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04A6A3F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21DACBD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1CA4ECB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293DA63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3D1EC8C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95AC3" w14:paraId="0A8461B5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5EE4F252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7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Capsule</w:t>
              </w:r>
            </w:hyperlink>
          </w:p>
        </w:tc>
        <w:tc>
          <w:tcPr>
            <w:tcW w:w="964" w:type="dxa"/>
            <w:noWrap/>
            <w:hideMark/>
          </w:tcPr>
          <w:p w14:paraId="1031248F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79" w:type="dxa"/>
            <w:noWrap/>
            <w:hideMark/>
          </w:tcPr>
          <w:p w14:paraId="48544396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63B1AFD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32B325C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1DBDA50E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F71C86E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1B22DC3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367AD16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5B67DCD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3A8EFDC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1AAA18C1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</w:tr>
      <w:tr w:rsidR="00995AC3" w14:paraId="508B37CD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13A51C12" w14:textId="77777777" w:rsidR="00995AC3" w:rsidRPr="000C282A" w:rsidRDefault="00995AC3" w:rsidP="00BA0683">
            <w:pPr>
              <w:rPr>
                <w:rFonts w:ascii="Verdana" w:eastAsia="Times New Roman" w:hAnsi="Verdana" w:cs="Calibri"/>
                <w:sz w:val="16"/>
                <w:szCs w:val="16"/>
              </w:rPr>
            </w:pPr>
            <w:r w:rsidRPr="000C282A">
              <w:rPr>
                <w:rFonts w:ascii="Verdana" w:eastAsia="Times New Roman" w:hAnsi="Verdana" w:cs="Calibri"/>
                <w:sz w:val="16"/>
                <w:szCs w:val="16"/>
              </w:rPr>
              <w:t>Efflux pump (1 Item)</w:t>
            </w:r>
          </w:p>
        </w:tc>
        <w:tc>
          <w:tcPr>
            <w:tcW w:w="964" w:type="dxa"/>
            <w:noWrap/>
            <w:hideMark/>
          </w:tcPr>
          <w:p w14:paraId="4032A4A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1E434E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ACF24C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7C33851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7545A9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A23FA31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142119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EA9244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9E14C2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03341D6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01590E6E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95AC3" w14:paraId="6D0715E2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07E899E6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8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AcrAB</w:t>
              </w:r>
            </w:hyperlink>
          </w:p>
        </w:tc>
        <w:tc>
          <w:tcPr>
            <w:tcW w:w="964" w:type="dxa"/>
            <w:noWrap/>
            <w:hideMark/>
          </w:tcPr>
          <w:p w14:paraId="0164B88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79" w:type="dxa"/>
            <w:noWrap/>
            <w:hideMark/>
          </w:tcPr>
          <w:p w14:paraId="1008518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A2BDE17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6FF3F2F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7CBD687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95DF81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7503A095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7347B9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376860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14FFC40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330F4CEE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</w:tr>
      <w:tr w:rsidR="00995AC3" w14:paraId="1AF39FAB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43DF6D9F" w14:textId="77777777" w:rsidR="00995AC3" w:rsidRPr="000C282A" w:rsidRDefault="00995AC3" w:rsidP="00BA0683">
            <w:pPr>
              <w:rPr>
                <w:rFonts w:ascii="Verdana" w:eastAsia="Times New Roman" w:hAnsi="Verdana" w:cs="Calibri"/>
                <w:sz w:val="16"/>
                <w:szCs w:val="16"/>
              </w:rPr>
            </w:pPr>
            <w:r w:rsidRPr="000C282A">
              <w:rPr>
                <w:rFonts w:ascii="Verdana" w:eastAsia="Times New Roman" w:hAnsi="Verdana" w:cs="Calibri"/>
                <w:sz w:val="16"/>
                <w:szCs w:val="16"/>
              </w:rPr>
              <w:t>Iron uptake (6 Items)</w:t>
            </w:r>
          </w:p>
        </w:tc>
        <w:tc>
          <w:tcPr>
            <w:tcW w:w="964" w:type="dxa"/>
            <w:noWrap/>
            <w:hideMark/>
          </w:tcPr>
          <w:p w14:paraId="6D7D439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99758C9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3E362250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3DCF2450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EB0F551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5BFFF9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1BE060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1FAD64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1EFBF69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32F64DB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0C3CFE4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95AC3" w14:paraId="60C2C03A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0F412D9A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9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Yersiniabactin</w:t>
              </w:r>
            </w:hyperlink>
          </w:p>
        </w:tc>
        <w:tc>
          <w:tcPr>
            <w:tcW w:w="964" w:type="dxa"/>
            <w:noWrap/>
            <w:hideMark/>
          </w:tcPr>
          <w:p w14:paraId="527F358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879" w:type="dxa"/>
            <w:noWrap/>
            <w:hideMark/>
          </w:tcPr>
          <w:p w14:paraId="75363C6F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3CB962D7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F1196F7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50D958C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3D30667F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4D8EE8E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11447DF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0BA0AE3E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E4947A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C4DD3C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</w:tr>
      <w:tr w:rsidR="00995AC3" w14:paraId="5D2674A1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2A5554BA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10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Salmochelin</w:t>
              </w:r>
            </w:hyperlink>
          </w:p>
        </w:tc>
        <w:tc>
          <w:tcPr>
            <w:tcW w:w="964" w:type="dxa"/>
            <w:noWrap/>
            <w:hideMark/>
          </w:tcPr>
          <w:p w14:paraId="26A02D60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79" w:type="dxa"/>
            <w:noWrap/>
            <w:hideMark/>
          </w:tcPr>
          <w:p w14:paraId="69F9927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2675C4B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0F086B4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5107A77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2DAFFD3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5392B672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3E6E107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1F7AE2B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4858BB3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0F12BE98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</w:tr>
      <w:tr w:rsidR="00995AC3" w14:paraId="66CE445C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27553329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11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Ent siderophore</w:t>
              </w:r>
            </w:hyperlink>
          </w:p>
        </w:tc>
        <w:tc>
          <w:tcPr>
            <w:tcW w:w="964" w:type="dxa"/>
            <w:noWrap/>
            <w:hideMark/>
          </w:tcPr>
          <w:p w14:paraId="0A986A3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879" w:type="dxa"/>
            <w:noWrap/>
            <w:hideMark/>
          </w:tcPr>
          <w:p w14:paraId="14305E6F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1EA38B9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32FBDD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599360C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5F3E965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794D75E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BB1BB59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5C6D0C4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5E7D4D3F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80945F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</w:tr>
      <w:tr w:rsidR="00995AC3" w14:paraId="63714D8C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122174A3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12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Aerobactin</w:t>
              </w:r>
            </w:hyperlink>
          </w:p>
        </w:tc>
        <w:tc>
          <w:tcPr>
            <w:tcW w:w="964" w:type="dxa"/>
            <w:noWrap/>
            <w:hideMark/>
          </w:tcPr>
          <w:p w14:paraId="28844451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79" w:type="dxa"/>
            <w:noWrap/>
            <w:hideMark/>
          </w:tcPr>
          <w:p w14:paraId="753DAC9E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5A14176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4FD24A0B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516F655B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39903A56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6D1ACCC2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382E0E50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59E7D2D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2D8FD899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0275274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</w:tr>
      <w:tr w:rsidR="00995AC3" w14:paraId="4EB66D69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0CB8E3E2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13" w:tooltip="View related literatures in PubMed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Ferrous iron transport (Shigella)</w:t>
              </w:r>
            </w:hyperlink>
          </w:p>
        </w:tc>
        <w:tc>
          <w:tcPr>
            <w:tcW w:w="964" w:type="dxa"/>
            <w:noWrap/>
            <w:hideMark/>
          </w:tcPr>
          <w:p w14:paraId="2C0B0E6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79" w:type="dxa"/>
            <w:noWrap/>
            <w:hideMark/>
          </w:tcPr>
          <w:p w14:paraId="3F351D5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73B3D08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5454764E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474B7A75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5A5B877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31A27E87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1DCDDF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513BBC78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7BBA37D5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1FCEA5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</w:tr>
      <w:tr w:rsidR="00995AC3" w14:paraId="72239FCB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47902744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14" w:tooltip="View related literatures in PubMed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Iron/manganese transport (Escherichia)</w:t>
              </w:r>
            </w:hyperlink>
          </w:p>
        </w:tc>
        <w:tc>
          <w:tcPr>
            <w:tcW w:w="964" w:type="dxa"/>
            <w:noWrap/>
            <w:hideMark/>
          </w:tcPr>
          <w:p w14:paraId="003F388B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0C282A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879" w:type="dxa"/>
            <w:noWrap/>
            <w:hideMark/>
          </w:tcPr>
          <w:p w14:paraId="1468E1FF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16B2C1A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62BB75CB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4CA2C82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1BE4DF80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65F03D9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7623673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73B521E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9CA1819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690B50B2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</w:tr>
      <w:tr w:rsidR="00995AC3" w14:paraId="7AA2BCFA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5BB6147F" w14:textId="77777777" w:rsidR="00995AC3" w:rsidRPr="000C282A" w:rsidRDefault="00995AC3" w:rsidP="00BA0683">
            <w:pPr>
              <w:rPr>
                <w:rFonts w:ascii="Verdana" w:eastAsia="Times New Roman" w:hAnsi="Verdana" w:cs="Calibri"/>
                <w:sz w:val="16"/>
                <w:szCs w:val="16"/>
              </w:rPr>
            </w:pPr>
            <w:r w:rsidRPr="000C282A">
              <w:rPr>
                <w:rFonts w:ascii="Verdana" w:eastAsia="Times New Roman" w:hAnsi="Verdana" w:cs="Calibri"/>
                <w:sz w:val="16"/>
                <w:szCs w:val="16"/>
              </w:rPr>
              <w:t>Nutritional factor (1 Item)</w:t>
            </w:r>
          </w:p>
        </w:tc>
        <w:tc>
          <w:tcPr>
            <w:tcW w:w="964" w:type="dxa"/>
            <w:noWrap/>
            <w:hideMark/>
          </w:tcPr>
          <w:p w14:paraId="733D3FC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0FC38D0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C053AB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FA9CEF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076208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0ECA3DA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FACC187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21895447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2C72E19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E442CE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287A65DE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95AC3" w14:paraId="1DB2841B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5038C006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15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Allantoin utilization</w:t>
              </w:r>
            </w:hyperlink>
          </w:p>
        </w:tc>
        <w:tc>
          <w:tcPr>
            <w:tcW w:w="964" w:type="dxa"/>
            <w:noWrap/>
            <w:hideMark/>
          </w:tcPr>
          <w:p w14:paraId="2C2B941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879" w:type="dxa"/>
            <w:noWrap/>
            <w:hideMark/>
          </w:tcPr>
          <w:p w14:paraId="1EDD6ED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FF19C80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630D9A0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1BDB4CA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719308F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C68C221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9EC403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0768116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E6FDE8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64B8B988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</w:tr>
      <w:tr w:rsidR="00995AC3" w14:paraId="21CEA944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6482B049" w14:textId="77777777" w:rsidR="00995AC3" w:rsidRPr="000C282A" w:rsidRDefault="00995AC3" w:rsidP="00BA0683">
            <w:pPr>
              <w:rPr>
                <w:rFonts w:ascii="Verdana" w:eastAsia="Times New Roman" w:hAnsi="Verdana" w:cs="Calibri"/>
                <w:sz w:val="16"/>
                <w:szCs w:val="16"/>
              </w:rPr>
            </w:pPr>
            <w:r w:rsidRPr="000C282A">
              <w:rPr>
                <w:rFonts w:ascii="Verdana" w:eastAsia="Times New Roman" w:hAnsi="Verdana" w:cs="Calibri"/>
                <w:sz w:val="16"/>
                <w:szCs w:val="16"/>
              </w:rPr>
              <w:t>Regulation (2 Items)</w:t>
            </w:r>
          </w:p>
        </w:tc>
        <w:tc>
          <w:tcPr>
            <w:tcW w:w="964" w:type="dxa"/>
            <w:noWrap/>
            <w:hideMark/>
          </w:tcPr>
          <w:p w14:paraId="04B1CE5E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3446AA91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160A3BE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21A9658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AA9175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3F0D43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0909648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863154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1C34AE3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2C0B86B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13CBA9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95AC3" w14:paraId="472888B7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104065F4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16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RmpA</w:t>
              </w:r>
            </w:hyperlink>
          </w:p>
        </w:tc>
        <w:tc>
          <w:tcPr>
            <w:tcW w:w="964" w:type="dxa"/>
            <w:noWrap/>
            <w:hideMark/>
          </w:tcPr>
          <w:p w14:paraId="119409B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79" w:type="dxa"/>
            <w:noWrap/>
            <w:hideMark/>
          </w:tcPr>
          <w:p w14:paraId="7745CE01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BFCE75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0449CF2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345D8A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995C90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124EC2A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728E4CB8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582216B1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ECD7B3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1BFCAA9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</w:tr>
      <w:tr w:rsidR="00995AC3" w14:paraId="1F340850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7911C0F9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17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RcsAB</w:t>
              </w:r>
            </w:hyperlink>
          </w:p>
        </w:tc>
        <w:tc>
          <w:tcPr>
            <w:tcW w:w="964" w:type="dxa"/>
            <w:noWrap/>
            <w:hideMark/>
          </w:tcPr>
          <w:p w14:paraId="3925114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79" w:type="dxa"/>
            <w:noWrap/>
            <w:hideMark/>
          </w:tcPr>
          <w:p w14:paraId="5E13F41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3E88959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18DE826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B3DF2D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2996C16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52D43CE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3330D9D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7420C90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8CC9118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4AE71C4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</w:tr>
      <w:tr w:rsidR="00995AC3" w14:paraId="7D0D0890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2A2FB3F7" w14:textId="77777777" w:rsidR="00995AC3" w:rsidRPr="000C282A" w:rsidRDefault="00995AC3" w:rsidP="00BA0683">
            <w:pPr>
              <w:rPr>
                <w:rFonts w:ascii="Verdana" w:eastAsia="Times New Roman" w:hAnsi="Verdana" w:cs="Calibri"/>
                <w:sz w:val="16"/>
                <w:szCs w:val="16"/>
              </w:rPr>
            </w:pPr>
            <w:r w:rsidRPr="000C282A">
              <w:rPr>
                <w:rFonts w:ascii="Verdana" w:eastAsia="Times New Roman" w:hAnsi="Verdana" w:cs="Calibri"/>
                <w:sz w:val="16"/>
                <w:szCs w:val="16"/>
              </w:rPr>
              <w:t>Secretion system (3 Items)</w:t>
            </w:r>
          </w:p>
        </w:tc>
        <w:tc>
          <w:tcPr>
            <w:tcW w:w="964" w:type="dxa"/>
            <w:noWrap/>
            <w:hideMark/>
          </w:tcPr>
          <w:p w14:paraId="0317C87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272973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11FB08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7C35D6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1CE3A4D2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436C2C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23DA8EB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12A15D6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388A28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3BD06079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411E1B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95AC3" w14:paraId="23110C63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780E6968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18" w:tooltip="View related literatures in PubMed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T6SS-III</w:t>
              </w:r>
            </w:hyperlink>
          </w:p>
        </w:tc>
        <w:tc>
          <w:tcPr>
            <w:tcW w:w="964" w:type="dxa"/>
            <w:noWrap/>
            <w:hideMark/>
          </w:tcPr>
          <w:p w14:paraId="5BEEA69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879" w:type="dxa"/>
            <w:noWrap/>
            <w:hideMark/>
          </w:tcPr>
          <w:p w14:paraId="6D7A4A78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0787C659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7ED0F568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3163960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547EB50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1BF483E6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0E74CFA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324FA70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34C8154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7AE44AA8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</w:tr>
      <w:tr w:rsidR="00995AC3" w14:paraId="28926300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60150775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19" w:tooltip="View related literatures in PubMed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T6SS-II</w:t>
              </w:r>
            </w:hyperlink>
          </w:p>
        </w:tc>
        <w:tc>
          <w:tcPr>
            <w:tcW w:w="964" w:type="dxa"/>
            <w:noWrap/>
            <w:hideMark/>
          </w:tcPr>
          <w:p w14:paraId="21CBF70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879" w:type="dxa"/>
            <w:noWrap/>
            <w:hideMark/>
          </w:tcPr>
          <w:p w14:paraId="28CFE9F6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4B4F3AD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3992087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325C022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0ECB0668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1DC189C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24CEF0B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31F514B0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222781F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60B205B9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</w:tr>
      <w:tr w:rsidR="00995AC3" w14:paraId="1C9ABA2C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12ECB3D8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20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T6SS-I</w:t>
              </w:r>
            </w:hyperlink>
          </w:p>
        </w:tc>
        <w:tc>
          <w:tcPr>
            <w:tcW w:w="964" w:type="dxa"/>
            <w:noWrap/>
            <w:hideMark/>
          </w:tcPr>
          <w:p w14:paraId="1DBC2BD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879" w:type="dxa"/>
            <w:noWrap/>
            <w:hideMark/>
          </w:tcPr>
          <w:p w14:paraId="56EA2CFF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70CD095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04EBBB6E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62820B41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31F6A178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5D9D3EC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747F1FE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4BF6D9A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58097AB8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7EB5B98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</w:tr>
      <w:tr w:rsidR="00995AC3" w14:paraId="0E5E954A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76E4ECE4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21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Hcp secretion island-1 encoded type VI secretion</w:t>
              </w:r>
            </w:hyperlink>
          </w:p>
        </w:tc>
        <w:tc>
          <w:tcPr>
            <w:tcW w:w="964" w:type="dxa"/>
            <w:noWrap/>
            <w:hideMark/>
          </w:tcPr>
          <w:p w14:paraId="4760EEE6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879" w:type="dxa"/>
            <w:noWrap/>
            <w:hideMark/>
          </w:tcPr>
          <w:p w14:paraId="6CB9C1FF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D5448A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1574E43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06339B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9A9FC5F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94388A6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EDE34B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6D99970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84441CF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2D9D80AF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</w:tr>
      <w:tr w:rsidR="00995AC3" w14:paraId="1368A968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5D91F7F2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22" w:tooltip="View related literatures in PubMed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Lvh (Legionella vir homologs) type IVA   secretion</w:t>
              </w:r>
            </w:hyperlink>
          </w:p>
        </w:tc>
        <w:tc>
          <w:tcPr>
            <w:tcW w:w="964" w:type="dxa"/>
            <w:noWrap/>
            <w:hideMark/>
          </w:tcPr>
          <w:p w14:paraId="43E1E45E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879" w:type="dxa"/>
            <w:noWrap/>
            <w:hideMark/>
          </w:tcPr>
          <w:p w14:paraId="4C02C1B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0CF5677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D34CEC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7DEE5175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AB7DE2E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AD35B1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595B173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16957A5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7F83E0C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0154205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</w:tr>
      <w:tr w:rsidR="00995AC3" w14:paraId="3A54B93E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3137B66D" w14:textId="77777777" w:rsidR="00995AC3" w:rsidRPr="000C282A" w:rsidRDefault="00995AC3" w:rsidP="00BA0683">
            <w:pPr>
              <w:rPr>
                <w:rFonts w:ascii="Verdana" w:eastAsia="Times New Roman" w:hAnsi="Verdana" w:cs="Calibri"/>
                <w:sz w:val="16"/>
                <w:szCs w:val="16"/>
              </w:rPr>
            </w:pPr>
            <w:r w:rsidRPr="000C282A">
              <w:rPr>
                <w:rFonts w:ascii="Verdana" w:eastAsia="Times New Roman" w:hAnsi="Verdana" w:cs="Calibri"/>
                <w:sz w:val="16"/>
                <w:szCs w:val="16"/>
              </w:rPr>
              <w:t>Serum resistance (1 Item)</w:t>
            </w:r>
          </w:p>
        </w:tc>
        <w:tc>
          <w:tcPr>
            <w:tcW w:w="964" w:type="dxa"/>
            <w:noWrap/>
            <w:hideMark/>
          </w:tcPr>
          <w:p w14:paraId="415E490E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9256AE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0B83D72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BE27AF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1A952B1B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7A37390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0495437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D49F22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8DB149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17B29418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38E8140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95AC3" w14:paraId="563298D5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5F53468E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23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LPS rfb locus</w:t>
              </w:r>
            </w:hyperlink>
          </w:p>
        </w:tc>
        <w:tc>
          <w:tcPr>
            <w:tcW w:w="964" w:type="dxa"/>
            <w:noWrap/>
            <w:hideMark/>
          </w:tcPr>
          <w:p w14:paraId="18C696E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79" w:type="dxa"/>
            <w:noWrap/>
            <w:hideMark/>
          </w:tcPr>
          <w:p w14:paraId="15988D57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1872FF86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EC1850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31186296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F8AEB9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5F7BA956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61C20A9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01DB3C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2E85F471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63FF5A28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</w:tr>
      <w:tr w:rsidR="00995AC3" w14:paraId="3F24C0A0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6E1DF739" w14:textId="77777777" w:rsidR="00995AC3" w:rsidRPr="000C282A" w:rsidRDefault="00995AC3" w:rsidP="00BA0683">
            <w:pPr>
              <w:rPr>
                <w:rFonts w:ascii="Verdana" w:eastAsia="Times New Roman" w:hAnsi="Verdana" w:cs="Calibri"/>
                <w:sz w:val="16"/>
                <w:szCs w:val="16"/>
              </w:rPr>
            </w:pPr>
            <w:r w:rsidRPr="000C282A">
              <w:rPr>
                <w:rFonts w:ascii="Verdana" w:eastAsia="Times New Roman" w:hAnsi="Verdana" w:cs="Calibri"/>
                <w:sz w:val="16"/>
                <w:szCs w:val="16"/>
              </w:rPr>
              <w:t>Toxin (1 Item)</w:t>
            </w:r>
          </w:p>
        </w:tc>
        <w:tc>
          <w:tcPr>
            <w:tcW w:w="964" w:type="dxa"/>
            <w:noWrap/>
            <w:hideMark/>
          </w:tcPr>
          <w:p w14:paraId="0EA2295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E199EB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37EB9D3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4FB17D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0FCDF97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BE8B8E0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A09575E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3369A3D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6C032A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663CA38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D519DEE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95AC3" w14:paraId="27F0C54B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7FFE9C0D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24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Colibactin</w:t>
              </w:r>
            </w:hyperlink>
          </w:p>
        </w:tc>
        <w:tc>
          <w:tcPr>
            <w:tcW w:w="964" w:type="dxa"/>
            <w:noWrap/>
            <w:hideMark/>
          </w:tcPr>
          <w:p w14:paraId="65B5AE6F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879" w:type="dxa"/>
            <w:noWrap/>
            <w:hideMark/>
          </w:tcPr>
          <w:p w14:paraId="05F1C127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68BAD11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577B2BF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B532EF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13DEAC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F65032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5137AD3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5FFDD978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88CC868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BF1024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</w:tr>
      <w:tr w:rsidR="00995AC3" w14:paraId="578B1557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5ACD98E0" w14:textId="77777777" w:rsidR="00995AC3" w:rsidRPr="000C282A" w:rsidRDefault="00995AC3" w:rsidP="00BA0683">
            <w:pPr>
              <w:rPr>
                <w:rFonts w:ascii="Verdana" w:eastAsia="Times New Roman" w:hAnsi="Verdana" w:cs="Calibri"/>
                <w:sz w:val="16"/>
                <w:szCs w:val="16"/>
              </w:rPr>
            </w:pPr>
            <w:r w:rsidRPr="000C282A">
              <w:rPr>
                <w:rFonts w:ascii="Verdana" w:eastAsia="Times New Roman" w:hAnsi="Verdana" w:cs="Calibri"/>
                <w:sz w:val="16"/>
                <w:szCs w:val="16"/>
              </w:rPr>
              <w:t>Fimbrial adherence determinants (1 Item)</w:t>
            </w:r>
          </w:p>
        </w:tc>
        <w:tc>
          <w:tcPr>
            <w:tcW w:w="964" w:type="dxa"/>
            <w:noWrap/>
            <w:hideMark/>
          </w:tcPr>
          <w:p w14:paraId="1C6E9FEB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AF9CC5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3C211ADE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D109AC0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10DAB5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473F30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F3FA1D2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72FD14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07D52E8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2E2899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07C62521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95AC3" w14:paraId="2612ABBB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0DBE86D8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25" w:tooltip="View related literatures in PubMed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Stb (Salmonella)</w:t>
              </w:r>
            </w:hyperlink>
          </w:p>
        </w:tc>
        <w:tc>
          <w:tcPr>
            <w:tcW w:w="964" w:type="dxa"/>
            <w:noWrap/>
            <w:hideMark/>
          </w:tcPr>
          <w:p w14:paraId="6147D6F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79" w:type="dxa"/>
            <w:noWrap/>
            <w:hideMark/>
          </w:tcPr>
          <w:p w14:paraId="1C0DF0E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5DDEE85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  <w:tc>
          <w:tcPr>
            <w:tcW w:w="879" w:type="dxa"/>
            <w:noWrap/>
            <w:hideMark/>
          </w:tcPr>
          <w:p w14:paraId="4B83399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0444A78E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58DC9C52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265D64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7DAF9A7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66A83F8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5F9AF3C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568777F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±</w:t>
            </w:r>
          </w:p>
        </w:tc>
      </w:tr>
      <w:tr w:rsidR="00995AC3" w14:paraId="7E47872D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3552ECB7" w14:textId="77777777" w:rsidR="00995AC3" w:rsidRPr="000C282A" w:rsidRDefault="00995AC3" w:rsidP="00BA0683">
            <w:pPr>
              <w:rPr>
                <w:rFonts w:ascii="Verdana" w:eastAsia="Times New Roman" w:hAnsi="Verdana" w:cs="Calibri"/>
                <w:sz w:val="16"/>
                <w:szCs w:val="16"/>
              </w:rPr>
            </w:pPr>
            <w:r w:rsidRPr="000C282A">
              <w:rPr>
                <w:rFonts w:ascii="Verdana" w:eastAsia="Times New Roman" w:hAnsi="Verdana" w:cs="Calibri"/>
                <w:sz w:val="16"/>
                <w:szCs w:val="16"/>
              </w:rPr>
              <w:t>Autotransporter (1 Item)</w:t>
            </w:r>
          </w:p>
        </w:tc>
        <w:tc>
          <w:tcPr>
            <w:tcW w:w="964" w:type="dxa"/>
            <w:noWrap/>
            <w:hideMark/>
          </w:tcPr>
          <w:p w14:paraId="495002C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1D8714B0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2316499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1BED386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69A3DDB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1643E45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59C632E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1B95B9A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A00CCC8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6BBCF191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A8C2A82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95AC3" w14:paraId="78E847BC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1919D444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26" w:tooltip="View related literatures in PubMed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Antigen 43, AIDA-I type (Escherichia)</w:t>
              </w:r>
            </w:hyperlink>
          </w:p>
        </w:tc>
        <w:tc>
          <w:tcPr>
            <w:tcW w:w="964" w:type="dxa"/>
            <w:noWrap/>
            <w:hideMark/>
          </w:tcPr>
          <w:p w14:paraId="0EF1058E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79" w:type="dxa"/>
            <w:noWrap/>
            <w:hideMark/>
          </w:tcPr>
          <w:p w14:paraId="4F6ECBB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6888F421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690A83FB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537626E6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76BF22E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1DAB514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505A351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FB459F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4EC8764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7112CA5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</w:tr>
      <w:tr w:rsidR="00995AC3" w14:paraId="6E6E079B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0214EE10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27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Temperature-sensitive hemagglutinin</w:t>
              </w:r>
            </w:hyperlink>
          </w:p>
        </w:tc>
        <w:tc>
          <w:tcPr>
            <w:tcW w:w="964" w:type="dxa"/>
            <w:noWrap/>
            <w:hideMark/>
          </w:tcPr>
          <w:p w14:paraId="77FD8B8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79" w:type="dxa"/>
            <w:noWrap/>
            <w:hideMark/>
          </w:tcPr>
          <w:p w14:paraId="54DF2206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0F291886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69E861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7A8A65F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A7761A5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0E9BC66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61ED7D81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6EF49FA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99D585B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6453659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</w:tr>
      <w:tr w:rsidR="00995AC3" w14:paraId="0CAD2427" w14:textId="77777777" w:rsidTr="00BA0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0E26C1C5" w14:textId="77777777" w:rsidR="00995AC3" w:rsidRPr="000C282A" w:rsidRDefault="00995AC3" w:rsidP="00BA0683">
            <w:pPr>
              <w:rPr>
                <w:rFonts w:ascii="Verdana" w:eastAsia="Times New Roman" w:hAnsi="Verdana" w:cs="Calibri"/>
                <w:sz w:val="16"/>
                <w:szCs w:val="16"/>
              </w:rPr>
            </w:pPr>
            <w:r w:rsidRPr="000C282A">
              <w:rPr>
                <w:rFonts w:ascii="Verdana" w:eastAsia="Times New Roman" w:hAnsi="Verdana" w:cs="Calibri"/>
                <w:sz w:val="16"/>
                <w:szCs w:val="16"/>
              </w:rPr>
              <w:t>Protease (1 Item)</w:t>
            </w:r>
          </w:p>
        </w:tc>
        <w:tc>
          <w:tcPr>
            <w:tcW w:w="964" w:type="dxa"/>
            <w:noWrap/>
            <w:hideMark/>
          </w:tcPr>
          <w:p w14:paraId="7FE44AC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74168910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C4D41"/>
              </w:rPr>
            </w:pPr>
            <w:r w:rsidRPr="000C282A">
              <w:rPr>
                <w:rFonts w:ascii="Calibri" w:eastAsia="Times New Roman" w:hAnsi="Calibri" w:cs="Calibri"/>
                <w:color w:val="4C4D41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1F952EE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3935837A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501A93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3BC4E71D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0BE3185C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222A2637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4608C69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9B6D0E3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79" w:type="dxa"/>
            <w:noWrap/>
            <w:hideMark/>
          </w:tcPr>
          <w:p w14:paraId="55788C59" w14:textId="77777777" w:rsidR="00995AC3" w:rsidRPr="000C282A" w:rsidRDefault="00995AC3" w:rsidP="00BA06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95AC3" w14:paraId="5B71EC81" w14:textId="77777777" w:rsidTr="00BA068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9" w:type="dxa"/>
            <w:noWrap/>
            <w:hideMark/>
          </w:tcPr>
          <w:p w14:paraId="69509C45" w14:textId="77777777" w:rsidR="00995AC3" w:rsidRPr="000C282A" w:rsidRDefault="00995AC3" w:rsidP="00BA0683">
            <w:pPr>
              <w:ind w:firstLineChars="200" w:firstLine="442"/>
              <w:rPr>
                <w:rFonts w:ascii="Calibri" w:eastAsia="Times New Roman" w:hAnsi="Calibri" w:cs="Calibri"/>
                <w:sz w:val="16"/>
                <w:szCs w:val="16"/>
              </w:rPr>
            </w:pPr>
            <w:hyperlink r:id="rId28" w:tooltip="View VF details" w:history="1">
              <w:r w:rsidRPr="000C282A">
                <w:rPr>
                  <w:rFonts w:ascii="Calibri" w:eastAsia="Times New Roman" w:hAnsi="Calibri" w:cs="Calibri"/>
                  <w:sz w:val="16"/>
                  <w:szCs w:val="16"/>
                </w:rPr>
                <w:t>Pla</w:t>
              </w:r>
            </w:hyperlink>
          </w:p>
        </w:tc>
        <w:tc>
          <w:tcPr>
            <w:tcW w:w="964" w:type="dxa"/>
            <w:noWrap/>
            <w:hideMark/>
          </w:tcPr>
          <w:p w14:paraId="5487F46F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79" w:type="dxa"/>
            <w:noWrap/>
            <w:hideMark/>
          </w:tcPr>
          <w:p w14:paraId="7EB9195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1E0E28B3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03C2BE1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3F6C09D7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2EC2524D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6FDC1B9A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6A1BD5A9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48E091D4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879" w:type="dxa"/>
            <w:noWrap/>
            <w:hideMark/>
          </w:tcPr>
          <w:p w14:paraId="6A475F42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+</w:t>
            </w:r>
          </w:p>
        </w:tc>
        <w:tc>
          <w:tcPr>
            <w:tcW w:w="879" w:type="dxa"/>
            <w:noWrap/>
            <w:hideMark/>
          </w:tcPr>
          <w:p w14:paraId="4F1E60BC" w14:textId="77777777" w:rsidR="00995AC3" w:rsidRPr="000C282A" w:rsidRDefault="00995AC3" w:rsidP="00BA06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0C282A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</w:tr>
    </w:tbl>
    <w:p w14:paraId="3C8AF365" w14:textId="77777777" w:rsidR="00995AC3" w:rsidRDefault="00995AC3" w:rsidP="00995AC3">
      <w:pPr>
        <w:rPr>
          <w:rFonts w:asciiTheme="majorBidi" w:hAnsiTheme="majorBidi" w:cstheme="majorBidi"/>
          <w:color w:val="2E2E2E"/>
          <w:sz w:val="24"/>
          <w:szCs w:val="24"/>
        </w:rPr>
      </w:pPr>
    </w:p>
    <w:p w14:paraId="39A83E10" w14:textId="77777777" w:rsidR="00995AC3" w:rsidRPr="00FF63B0" w:rsidRDefault="00995AC3" w:rsidP="00995AC3">
      <w:pPr>
        <w:rPr>
          <w:rFonts w:asciiTheme="majorBidi" w:hAnsiTheme="majorBidi" w:cstheme="majorBidi"/>
          <w:color w:val="2E2E2E"/>
          <w:sz w:val="24"/>
          <w:szCs w:val="24"/>
        </w:rPr>
      </w:pPr>
    </w:p>
    <w:p w14:paraId="5C41F87E" w14:textId="77777777" w:rsidR="00995AC3" w:rsidRDefault="00995AC3"/>
    <w:p w14:paraId="216B4F5A" w14:textId="77777777" w:rsidR="00995AC3" w:rsidRDefault="00995AC3"/>
    <w:p w14:paraId="3E817E33" w14:textId="77777777" w:rsidR="00995AC3" w:rsidRDefault="00995AC3"/>
    <w:p w14:paraId="08F15844" w14:textId="77777777" w:rsidR="00995AC3" w:rsidRDefault="00995AC3"/>
    <w:p w14:paraId="33E93FED" w14:textId="77777777" w:rsidR="00995AC3" w:rsidRDefault="00995AC3"/>
    <w:p w14:paraId="1FE86C5A" w14:textId="77777777" w:rsidR="00995AC3" w:rsidRDefault="00995AC3"/>
    <w:p w14:paraId="150B8AD1" w14:textId="77777777" w:rsidR="00995AC3" w:rsidRDefault="00995AC3"/>
    <w:p w14:paraId="046D44B9" w14:textId="77777777" w:rsidR="00995AC3" w:rsidRDefault="00995AC3"/>
    <w:p w14:paraId="5919340A" w14:textId="77777777" w:rsidR="00995AC3" w:rsidRDefault="00995AC3"/>
    <w:p w14:paraId="6E6E08F8" w14:textId="77777777" w:rsidR="00995AC3" w:rsidRDefault="00995AC3"/>
    <w:p w14:paraId="49235386" w14:textId="33B019BD" w:rsidR="00265DF4" w:rsidRDefault="00265DF4" w:rsidP="00265DF4">
      <w:pPr>
        <w:spacing w:after="0" w:line="24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Supplementary </w:t>
      </w:r>
      <w:r w:rsidRPr="001D09F4">
        <w:rPr>
          <w:rFonts w:asciiTheme="majorBidi" w:hAnsiTheme="majorBidi" w:cstheme="majorBidi"/>
          <w:sz w:val="24"/>
          <w:szCs w:val="24"/>
        </w:rPr>
        <w:t xml:space="preserve">Figure </w:t>
      </w:r>
      <w:r>
        <w:rPr>
          <w:rFonts w:asciiTheme="majorBidi" w:hAnsiTheme="majorBidi" w:cstheme="majorBidi"/>
          <w:sz w:val="24"/>
          <w:szCs w:val="24"/>
        </w:rPr>
        <w:t>1</w:t>
      </w:r>
      <w:r w:rsidRPr="001D09F4">
        <w:rPr>
          <w:rFonts w:asciiTheme="majorBidi" w:hAnsiTheme="majorBidi" w:cstheme="majorBidi"/>
          <w:sz w:val="24"/>
          <w:szCs w:val="24"/>
        </w:rPr>
        <w:t xml:space="preserve">: Plasmid profiles and Southern blot analysis for </w:t>
      </w:r>
      <w:r w:rsidRPr="00BE5D29">
        <w:rPr>
          <w:rFonts w:asciiTheme="majorBidi" w:hAnsiTheme="majorBidi" w:cstheme="majorBidi"/>
          <w:i/>
          <w:iCs/>
          <w:sz w:val="24"/>
          <w:szCs w:val="24"/>
        </w:rPr>
        <w:t>bla</w:t>
      </w:r>
      <w:r w:rsidRPr="00BE5D29">
        <w:rPr>
          <w:rFonts w:asciiTheme="majorBidi" w:hAnsiTheme="majorBidi" w:cstheme="majorBidi"/>
          <w:sz w:val="24"/>
          <w:szCs w:val="24"/>
          <w:vertAlign w:val="subscript"/>
        </w:rPr>
        <w:t>KPC-2</w:t>
      </w:r>
      <w:r w:rsidRPr="001D09F4">
        <w:rPr>
          <w:rFonts w:asciiTheme="majorBidi" w:hAnsiTheme="majorBidi" w:cstheme="majorBidi"/>
          <w:sz w:val="24"/>
          <w:szCs w:val="24"/>
        </w:rPr>
        <w:t xml:space="preserve"> gene. (1) Agarose gel electrophoresis showing plasmid profiles for </w:t>
      </w:r>
      <w:r w:rsidRPr="00BE5D29">
        <w:rPr>
          <w:rFonts w:asciiTheme="majorBidi" w:hAnsiTheme="majorBidi" w:cstheme="majorBidi"/>
          <w:i/>
          <w:iCs/>
          <w:sz w:val="24"/>
          <w:szCs w:val="24"/>
        </w:rPr>
        <w:t>bla</w:t>
      </w:r>
      <w:r w:rsidRPr="00BE5D29">
        <w:rPr>
          <w:rFonts w:asciiTheme="majorBidi" w:hAnsiTheme="majorBidi" w:cstheme="majorBidi"/>
          <w:sz w:val="24"/>
          <w:szCs w:val="24"/>
          <w:vertAlign w:val="subscript"/>
        </w:rPr>
        <w:t>KPC-2</w:t>
      </w:r>
      <w:r w:rsidRPr="001D09F4">
        <w:rPr>
          <w:rFonts w:asciiTheme="majorBidi" w:hAnsiTheme="majorBidi" w:cstheme="majorBidi"/>
          <w:sz w:val="24"/>
          <w:szCs w:val="24"/>
        </w:rPr>
        <w:t xml:space="preserve"> carrying</w:t>
      </w:r>
      <w:r>
        <w:rPr>
          <w:rFonts w:asciiTheme="majorBidi" w:hAnsiTheme="majorBidi" w:cstheme="majorBidi"/>
          <w:sz w:val="24"/>
          <w:szCs w:val="24"/>
        </w:rPr>
        <w:t xml:space="preserve"> isolates.</w:t>
      </w:r>
      <w:r w:rsidRPr="00756E21">
        <w:rPr>
          <w:rFonts w:asciiTheme="majorBidi" w:hAnsiTheme="majorBidi" w:cstheme="majorBidi"/>
          <w:sz w:val="24"/>
          <w:szCs w:val="24"/>
        </w:rPr>
        <w:t xml:space="preserve"> </w:t>
      </w:r>
      <w:r w:rsidRPr="00720E73">
        <w:rPr>
          <w:rFonts w:asciiTheme="majorBidi" w:hAnsiTheme="majorBidi" w:cstheme="majorBidi"/>
          <w:i/>
          <w:iCs/>
          <w:sz w:val="24"/>
          <w:szCs w:val="24"/>
        </w:rPr>
        <w:t>E. coli</w:t>
      </w:r>
      <w:r w:rsidRPr="00720E73">
        <w:rPr>
          <w:rFonts w:asciiTheme="majorBidi" w:hAnsiTheme="majorBidi" w:cstheme="majorBidi"/>
          <w:sz w:val="24"/>
          <w:szCs w:val="24"/>
        </w:rPr>
        <w:t xml:space="preserve"> strain 39R861 was used as a size marker control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720E73">
        <w:rPr>
          <w:rFonts w:asciiTheme="majorBidi" w:hAnsiTheme="majorBidi" w:cstheme="majorBidi"/>
          <w:i/>
          <w:iCs/>
          <w:sz w:val="24"/>
          <w:szCs w:val="24"/>
        </w:rPr>
        <w:t>E. coli</w:t>
      </w:r>
      <w:r w:rsidRPr="00720E73">
        <w:rPr>
          <w:rFonts w:asciiTheme="majorBidi" w:hAnsiTheme="majorBidi" w:cstheme="majorBidi"/>
          <w:sz w:val="24"/>
          <w:szCs w:val="24"/>
        </w:rPr>
        <w:t xml:space="preserve"> strain J53RAZ </w:t>
      </w:r>
      <w:r>
        <w:rPr>
          <w:rFonts w:asciiTheme="majorBidi" w:hAnsiTheme="majorBidi" w:cstheme="majorBidi"/>
          <w:sz w:val="24"/>
          <w:szCs w:val="24"/>
        </w:rPr>
        <w:t>used</w:t>
      </w:r>
      <w:r w:rsidRPr="00720E73">
        <w:rPr>
          <w:rFonts w:asciiTheme="majorBidi" w:hAnsiTheme="majorBidi" w:cstheme="majorBidi"/>
          <w:sz w:val="24"/>
          <w:szCs w:val="24"/>
        </w:rPr>
        <w:t xml:space="preserve"> as a negative control</w:t>
      </w:r>
      <w:r w:rsidRPr="00756E21">
        <w:rPr>
          <w:rFonts w:asciiTheme="majorBidi" w:hAnsiTheme="majorBidi" w:cstheme="majorBidi"/>
          <w:sz w:val="24"/>
          <w:szCs w:val="24"/>
        </w:rPr>
        <w:t>.</w:t>
      </w:r>
      <w:r w:rsidRPr="00720E73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2</w:t>
      </w:r>
      <w:r w:rsidRPr="00720E73">
        <w:rPr>
          <w:rFonts w:asciiTheme="majorBidi" w:hAnsiTheme="majorBidi" w:cstheme="majorBidi"/>
          <w:sz w:val="24"/>
          <w:szCs w:val="24"/>
        </w:rPr>
        <w:t xml:space="preserve">) Southern blot of the same gel hybridized with </w:t>
      </w:r>
      <w:r w:rsidRPr="00BE5D29">
        <w:rPr>
          <w:rFonts w:asciiTheme="majorBidi" w:hAnsiTheme="majorBidi" w:cstheme="majorBidi"/>
          <w:i/>
          <w:iCs/>
          <w:sz w:val="24"/>
          <w:szCs w:val="24"/>
        </w:rPr>
        <w:t>bla</w:t>
      </w:r>
      <w:r w:rsidRPr="00BE5D29">
        <w:rPr>
          <w:rFonts w:asciiTheme="majorBidi" w:hAnsiTheme="majorBidi" w:cstheme="majorBidi"/>
          <w:sz w:val="24"/>
          <w:szCs w:val="24"/>
          <w:vertAlign w:val="subscript"/>
        </w:rPr>
        <w:t>KPC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20E73">
        <w:rPr>
          <w:rFonts w:asciiTheme="majorBidi" w:hAnsiTheme="majorBidi" w:cstheme="majorBidi"/>
          <w:sz w:val="24"/>
          <w:szCs w:val="24"/>
        </w:rPr>
        <w:t>probe.</w:t>
      </w:r>
    </w:p>
    <w:p w14:paraId="6B480BB3" w14:textId="77777777" w:rsidR="00265DF4" w:rsidRDefault="00265DF4" w:rsidP="00265DF4">
      <w:pPr>
        <w:spacing w:after="0" w:line="24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</w:p>
    <w:p w14:paraId="45F5D1EE" w14:textId="77777777" w:rsidR="00265DF4" w:rsidRDefault="00265DF4" w:rsidP="00265DF4">
      <w:pPr>
        <w:spacing w:after="0" w:line="24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</w:p>
    <w:p w14:paraId="028373B4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07FA6483" w14:textId="77777777" w:rsidR="00265DF4" w:rsidRDefault="00265DF4" w:rsidP="00265DF4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709CFFE" wp14:editId="59254352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7261860" cy="3953679"/>
            <wp:effectExtent l="0" t="0" r="0" b="8890"/>
            <wp:wrapNone/>
            <wp:docPr id="1803072669" name="Picture 1" descr="A close-up of a blue and yellow im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72669" name="Picture 1" descr="A close-up of a blue and yellow image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860" cy="395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E97D6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7B43B795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6FE6D1B0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05074D98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04386F0E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04090D5C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6A522869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6CE52181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2D433824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06CD94AC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17CD4AED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39C021AB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1AD8601C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79EBD47B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6743695E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202E3090" w14:textId="77777777" w:rsidR="00265DF4" w:rsidRDefault="00265DF4" w:rsidP="00265DF4">
      <w:pPr>
        <w:jc w:val="both"/>
        <w:rPr>
          <w:rFonts w:asciiTheme="majorBidi" w:hAnsiTheme="majorBidi" w:cstheme="majorBidi"/>
        </w:rPr>
      </w:pPr>
    </w:p>
    <w:p w14:paraId="02956C97" w14:textId="52AF102F" w:rsidR="00265DF4" w:rsidRPr="00D267D6" w:rsidRDefault="00265DF4" w:rsidP="00265DF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</w:rPr>
        <w:t xml:space="preserve">Supplementary </w:t>
      </w:r>
      <w:r w:rsidRPr="00E67578">
        <w:rPr>
          <w:rFonts w:asciiTheme="majorBidi" w:hAnsiTheme="majorBidi" w:cstheme="majorBidi"/>
        </w:rPr>
        <w:t xml:space="preserve">Figure </w:t>
      </w:r>
      <w:r>
        <w:rPr>
          <w:rFonts w:asciiTheme="majorBidi" w:hAnsiTheme="majorBidi" w:cstheme="majorBidi"/>
        </w:rPr>
        <w:t>2</w:t>
      </w:r>
      <w:r w:rsidRPr="00E67578">
        <w:rPr>
          <w:rFonts w:asciiTheme="majorBidi" w:hAnsiTheme="majorBidi" w:cstheme="majorBidi"/>
        </w:rPr>
        <w:t xml:space="preserve">: Genomic characterization of </w:t>
      </w:r>
      <w:r w:rsidRPr="00E67578">
        <w:rPr>
          <w:rStyle w:val="Emphasis"/>
          <w:rFonts w:asciiTheme="majorBidi" w:hAnsiTheme="majorBidi"/>
        </w:rPr>
        <w:t>bla</w:t>
      </w:r>
      <w:r w:rsidRPr="00BE5D29">
        <w:rPr>
          <w:rStyle w:val="Emphasis"/>
          <w:rFonts w:asciiTheme="majorBidi" w:hAnsiTheme="majorBidi"/>
          <w:i w:val="0"/>
          <w:iCs w:val="0"/>
          <w:vertAlign w:val="subscript"/>
        </w:rPr>
        <w:t>KPC-2</w:t>
      </w:r>
      <w:r w:rsidRPr="00E67578">
        <w:rPr>
          <w:rFonts w:asciiTheme="majorBidi" w:hAnsiTheme="majorBidi" w:cstheme="majorBidi"/>
        </w:rPr>
        <w:t xml:space="preserve">-carrying isolates and accompanying plasmids. A) Sequence comparison of reconstructed </w:t>
      </w:r>
      <w:r w:rsidRPr="00E67578">
        <w:rPr>
          <w:rStyle w:val="Emphasis"/>
          <w:rFonts w:asciiTheme="majorBidi" w:hAnsiTheme="majorBidi"/>
        </w:rPr>
        <w:t>bla</w:t>
      </w:r>
      <w:r w:rsidRPr="00BE5D29">
        <w:rPr>
          <w:rStyle w:val="Emphasis"/>
          <w:rFonts w:asciiTheme="majorBidi" w:hAnsiTheme="majorBidi"/>
          <w:i w:val="0"/>
          <w:iCs w:val="0"/>
          <w:vertAlign w:val="subscript"/>
        </w:rPr>
        <w:t>KPC-2</w:t>
      </w:r>
      <w:r w:rsidRPr="00E67578">
        <w:rPr>
          <w:rFonts w:asciiTheme="majorBidi" w:hAnsiTheme="majorBidi" w:cstheme="majorBidi"/>
        </w:rPr>
        <w:t xml:space="preserve">-positive </w:t>
      </w:r>
      <w:r>
        <w:rPr>
          <w:rFonts w:ascii="Times New Roman" w:eastAsia="Calibri" w:hAnsi="Times New Roman" w:cs="Times New Roman"/>
        </w:rPr>
        <w:t>plasmids</w:t>
      </w:r>
      <w:r w:rsidRPr="00E67578">
        <w:rPr>
          <w:rFonts w:asciiTheme="majorBidi" w:hAnsiTheme="majorBidi" w:cstheme="majorBidi"/>
        </w:rPr>
        <w:t xml:space="preserve"> from a whole-genome sequence of </w:t>
      </w:r>
      <w:r w:rsidRPr="00E67578">
        <w:rPr>
          <w:rFonts w:asciiTheme="majorBidi" w:hAnsiTheme="majorBidi" w:cstheme="majorBidi"/>
          <w:i/>
          <w:iCs/>
        </w:rPr>
        <w:t>K. pneumoniae</w:t>
      </w:r>
      <w:r w:rsidRPr="00E67578">
        <w:rPr>
          <w:rFonts w:asciiTheme="majorBidi" w:hAnsiTheme="majorBidi" w:cstheme="majorBidi"/>
          <w:color w:val="000000"/>
          <w:shd w:val="clear" w:color="auto" w:fill="FFFFFF"/>
        </w:rPr>
        <w:t xml:space="preserve"> </w:t>
      </w:r>
      <w:r w:rsidRPr="00E67578">
        <w:rPr>
          <w:rFonts w:asciiTheme="majorBidi" w:hAnsiTheme="majorBidi" w:cstheme="majorBidi"/>
          <w:i/>
          <w:iCs/>
        </w:rPr>
        <w:t>CRE_</w:t>
      </w:r>
      <w:r w:rsidRPr="00E67578">
        <w:rPr>
          <w:rStyle w:val="Emphasis"/>
          <w:rFonts w:asciiTheme="majorBidi" w:hAnsiTheme="majorBidi"/>
        </w:rPr>
        <w:t xml:space="preserve">51 </w:t>
      </w:r>
      <w:r w:rsidRPr="00E67578">
        <w:rPr>
          <w:rFonts w:asciiTheme="majorBidi" w:hAnsiTheme="majorBidi" w:cstheme="majorBidi"/>
        </w:rPr>
        <w:t xml:space="preserve">with </w:t>
      </w:r>
      <w:r w:rsidRPr="00E67578">
        <w:rPr>
          <w:rFonts w:asciiTheme="majorBidi" w:hAnsiTheme="majorBidi" w:cstheme="majorBidi"/>
          <w:i/>
          <w:iCs/>
        </w:rPr>
        <w:t>K. pneumoniae</w:t>
      </w:r>
      <w:r>
        <w:rPr>
          <w:rFonts w:asciiTheme="majorBidi" w:hAnsiTheme="majorBidi" w:cstheme="majorBidi"/>
          <w:color w:val="000000"/>
          <w:shd w:val="clear" w:color="auto" w:fill="FFFFFF"/>
        </w:rPr>
        <w:t xml:space="preserve"> KP1034 and 16HN-263 plasmids</w:t>
      </w:r>
      <w:r w:rsidRPr="00E67578">
        <w:rPr>
          <w:rFonts w:asciiTheme="majorBidi" w:hAnsiTheme="majorBidi" w:cstheme="majorBidi"/>
        </w:rPr>
        <w:t xml:space="preserve">. B) Sequence comparison of reconstructed </w:t>
      </w:r>
      <w:r w:rsidRPr="00E67578">
        <w:rPr>
          <w:rStyle w:val="Emphasis"/>
          <w:rFonts w:asciiTheme="majorBidi" w:hAnsiTheme="majorBidi"/>
        </w:rPr>
        <w:t>bla</w:t>
      </w:r>
      <w:r w:rsidRPr="00BE5D29">
        <w:rPr>
          <w:rStyle w:val="Emphasis"/>
          <w:rFonts w:asciiTheme="majorBidi" w:hAnsiTheme="majorBidi"/>
          <w:i w:val="0"/>
          <w:iCs w:val="0"/>
          <w:vertAlign w:val="subscript"/>
        </w:rPr>
        <w:t>KPC-2</w:t>
      </w:r>
      <w:r w:rsidRPr="00E67578">
        <w:rPr>
          <w:rFonts w:asciiTheme="majorBidi" w:hAnsiTheme="majorBidi" w:cstheme="majorBidi"/>
        </w:rPr>
        <w:t xml:space="preserve">-positive </w:t>
      </w:r>
      <w:r>
        <w:rPr>
          <w:rFonts w:ascii="Times New Roman" w:eastAsia="Calibri" w:hAnsi="Times New Roman" w:cs="Times New Roman"/>
        </w:rPr>
        <w:t>plasmids</w:t>
      </w:r>
      <w:r w:rsidRPr="00E67578">
        <w:rPr>
          <w:rFonts w:asciiTheme="majorBidi" w:hAnsiTheme="majorBidi" w:cstheme="majorBidi"/>
        </w:rPr>
        <w:t xml:space="preserve"> from a whole-genome sequence of </w:t>
      </w:r>
      <w:r w:rsidRPr="00E67578">
        <w:rPr>
          <w:rFonts w:asciiTheme="majorBidi" w:hAnsiTheme="majorBidi" w:cstheme="majorBidi"/>
          <w:i/>
          <w:iCs/>
        </w:rPr>
        <w:t>K. pneumoniae</w:t>
      </w:r>
      <w:r w:rsidRPr="00E67578">
        <w:rPr>
          <w:rFonts w:asciiTheme="majorBidi" w:hAnsiTheme="majorBidi" w:cstheme="majorBidi"/>
          <w:color w:val="000000"/>
          <w:shd w:val="clear" w:color="auto" w:fill="FFFFFF"/>
        </w:rPr>
        <w:t xml:space="preserve"> </w:t>
      </w:r>
      <w:r w:rsidRPr="00E67578">
        <w:rPr>
          <w:rFonts w:asciiTheme="majorBidi" w:hAnsiTheme="majorBidi" w:cstheme="majorBidi"/>
          <w:i/>
          <w:iCs/>
        </w:rPr>
        <w:t>CRE_</w:t>
      </w:r>
      <w:r w:rsidRPr="00E67578">
        <w:rPr>
          <w:rStyle w:val="Emphasis"/>
          <w:rFonts w:asciiTheme="majorBidi" w:hAnsiTheme="majorBidi"/>
        </w:rPr>
        <w:t xml:space="preserve">79 </w:t>
      </w:r>
      <w:r w:rsidRPr="00E67578">
        <w:rPr>
          <w:rFonts w:asciiTheme="majorBidi" w:hAnsiTheme="majorBidi" w:cstheme="majorBidi"/>
        </w:rPr>
        <w:t xml:space="preserve">with </w:t>
      </w:r>
      <w:r w:rsidRPr="00E67578">
        <w:rPr>
          <w:rFonts w:asciiTheme="majorBidi" w:hAnsiTheme="majorBidi" w:cstheme="majorBidi"/>
          <w:i/>
          <w:iCs/>
        </w:rPr>
        <w:t>K. pneumoniae</w:t>
      </w:r>
      <w:r>
        <w:rPr>
          <w:rFonts w:asciiTheme="majorBidi" w:hAnsiTheme="majorBidi" w:cstheme="majorBidi"/>
          <w:color w:val="000000"/>
          <w:shd w:val="clear" w:color="auto" w:fill="FFFFFF"/>
        </w:rPr>
        <w:t xml:space="preserve"> pKPC2 (CP061353.1), </w:t>
      </w:r>
      <w:r>
        <w:rPr>
          <w:rFonts w:asciiTheme="majorBidi" w:hAnsiTheme="majorBidi" w:cstheme="majorBidi"/>
        </w:rPr>
        <w:t>pKPC2_1332 (CP063432.1) and pKPC2_sg1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Theme="majorBidi" w:hAnsiTheme="majorBidi" w:cstheme="majorBidi"/>
        </w:rPr>
        <w:t xml:space="preserve">(MN542377.1) </w:t>
      </w:r>
      <w:r>
        <w:rPr>
          <w:rFonts w:asciiTheme="majorBidi" w:hAnsiTheme="majorBidi" w:cstheme="majorBidi"/>
          <w:color w:val="000000"/>
          <w:shd w:val="clear" w:color="auto" w:fill="FFFFFF"/>
        </w:rPr>
        <w:t>plasmids</w:t>
      </w:r>
      <w:r w:rsidRPr="00E67578">
        <w:rPr>
          <w:rFonts w:asciiTheme="majorBidi" w:hAnsiTheme="majorBidi" w:cstheme="majorBidi"/>
        </w:rPr>
        <w:t xml:space="preserve">. C) Sequence comparison of reconstructed </w:t>
      </w:r>
      <w:r w:rsidRPr="00E67578">
        <w:rPr>
          <w:rStyle w:val="Emphasis"/>
          <w:rFonts w:asciiTheme="majorBidi" w:hAnsiTheme="majorBidi"/>
        </w:rPr>
        <w:t>bla</w:t>
      </w:r>
      <w:r w:rsidRPr="00BE5D29">
        <w:rPr>
          <w:rStyle w:val="Emphasis"/>
          <w:rFonts w:asciiTheme="majorBidi" w:hAnsiTheme="majorBidi"/>
          <w:i w:val="0"/>
          <w:iCs w:val="0"/>
          <w:vertAlign w:val="subscript"/>
        </w:rPr>
        <w:t>KPC-2</w:t>
      </w:r>
      <w:r w:rsidRPr="00E67578">
        <w:rPr>
          <w:rFonts w:asciiTheme="majorBidi" w:hAnsiTheme="majorBidi" w:cstheme="majorBidi"/>
        </w:rPr>
        <w:t xml:space="preserve">-positive </w:t>
      </w:r>
      <w:r>
        <w:rPr>
          <w:rFonts w:ascii="Times New Roman" w:eastAsia="Calibri" w:hAnsi="Times New Roman" w:cs="Times New Roman"/>
        </w:rPr>
        <w:t>plasmids</w:t>
      </w:r>
      <w:r w:rsidRPr="00E67578">
        <w:rPr>
          <w:rFonts w:asciiTheme="majorBidi" w:hAnsiTheme="majorBidi" w:cstheme="majorBidi"/>
        </w:rPr>
        <w:t xml:space="preserve"> from whole-genome </w:t>
      </w:r>
      <w:r>
        <w:rPr>
          <w:rFonts w:ascii="Times New Roman" w:eastAsia="Calibri" w:hAnsi="Times New Roman" w:cs="Times New Roman"/>
        </w:rPr>
        <w:t>sequences</w:t>
      </w:r>
      <w:r w:rsidRPr="00E67578">
        <w:rPr>
          <w:rFonts w:asciiTheme="majorBidi" w:hAnsiTheme="majorBidi" w:cstheme="majorBidi"/>
        </w:rPr>
        <w:t xml:space="preserve"> of </w:t>
      </w:r>
      <w:r w:rsidRPr="00E67578">
        <w:rPr>
          <w:rFonts w:asciiTheme="majorBidi" w:hAnsiTheme="majorBidi" w:cstheme="majorBidi"/>
          <w:i/>
          <w:iCs/>
        </w:rPr>
        <w:t>K. pneumoniae</w:t>
      </w:r>
      <w:r w:rsidRPr="00E67578">
        <w:rPr>
          <w:rFonts w:asciiTheme="majorBidi" w:hAnsiTheme="majorBidi" w:cstheme="majorBidi"/>
          <w:color w:val="000000"/>
          <w:shd w:val="clear" w:color="auto" w:fill="FFFFFF"/>
        </w:rPr>
        <w:t xml:space="preserve"> </w:t>
      </w:r>
      <w:r w:rsidRPr="002D5E33">
        <w:rPr>
          <w:rFonts w:asciiTheme="majorBidi" w:hAnsiTheme="majorBidi" w:cstheme="majorBidi"/>
        </w:rPr>
        <w:t>CRE_</w:t>
      </w:r>
      <w:r w:rsidRPr="002D5E33">
        <w:rPr>
          <w:rStyle w:val="Emphasis"/>
          <w:rFonts w:asciiTheme="majorBidi" w:hAnsiTheme="majorBidi"/>
        </w:rPr>
        <w:t>93</w:t>
      </w:r>
      <w:r>
        <w:rPr>
          <w:rStyle w:val="Emphasis"/>
          <w:rFonts w:asciiTheme="majorBidi" w:hAnsiTheme="majorBidi"/>
          <w:i w:val="0"/>
          <w:iCs w:val="0"/>
        </w:rPr>
        <w:t>, PFZ360, PFZ363, PFZ401 and PFZ410</w:t>
      </w:r>
      <w:r w:rsidRPr="00E67578">
        <w:rPr>
          <w:rStyle w:val="Emphasis"/>
          <w:rFonts w:asciiTheme="majorBidi" w:hAnsiTheme="majorBidi"/>
        </w:rPr>
        <w:t xml:space="preserve"> </w:t>
      </w:r>
      <w:r w:rsidRPr="00E67578">
        <w:rPr>
          <w:rFonts w:asciiTheme="majorBidi" w:hAnsiTheme="majorBidi" w:cstheme="majorBidi"/>
        </w:rPr>
        <w:t xml:space="preserve">with </w:t>
      </w:r>
      <w:r>
        <w:rPr>
          <w:rFonts w:ascii="Times New Roman" w:eastAsia="Calibri" w:hAnsi="Times New Roman" w:cs="Times New Roman"/>
        </w:rPr>
        <w:t xml:space="preserve">the </w:t>
      </w:r>
      <w:r w:rsidRPr="00E67578">
        <w:rPr>
          <w:rFonts w:asciiTheme="majorBidi" w:hAnsiTheme="majorBidi" w:cstheme="majorBidi"/>
          <w:i/>
          <w:iCs/>
        </w:rPr>
        <w:t>K. pneumoniae</w:t>
      </w:r>
      <w:r w:rsidRPr="00E67578">
        <w:rPr>
          <w:rFonts w:asciiTheme="majorBidi" w:hAnsiTheme="majorBidi" w:cstheme="majorBidi"/>
          <w:color w:val="000000"/>
          <w:shd w:val="clear" w:color="auto" w:fill="FFFFFF"/>
        </w:rPr>
        <w:t xml:space="preserve"> </w:t>
      </w:r>
      <w:r>
        <w:rPr>
          <w:rFonts w:asciiTheme="majorBidi" w:hAnsiTheme="majorBidi" w:cstheme="majorBidi"/>
        </w:rPr>
        <w:t xml:space="preserve">BA33875 </w:t>
      </w:r>
      <w:r>
        <w:rPr>
          <w:rFonts w:asciiTheme="majorBidi" w:hAnsiTheme="majorBidi" w:cstheme="majorBidi"/>
          <w:color w:val="000000"/>
          <w:shd w:val="clear" w:color="auto" w:fill="FFFFFF"/>
        </w:rPr>
        <w:t>plasmid</w:t>
      </w:r>
      <w:r w:rsidRPr="00E67578">
        <w:rPr>
          <w:rFonts w:asciiTheme="majorBidi" w:hAnsiTheme="majorBidi" w:cstheme="majorBidi"/>
        </w:rPr>
        <w:t xml:space="preserve">. D) Sequence comparison of reconstructed </w:t>
      </w:r>
      <w:r w:rsidRPr="00E67578">
        <w:rPr>
          <w:rStyle w:val="Emphasis"/>
          <w:rFonts w:asciiTheme="majorBidi" w:hAnsiTheme="majorBidi"/>
        </w:rPr>
        <w:t>bla</w:t>
      </w:r>
      <w:r w:rsidRPr="00BE5D29">
        <w:rPr>
          <w:rStyle w:val="Emphasis"/>
          <w:rFonts w:asciiTheme="majorBidi" w:hAnsiTheme="majorBidi"/>
          <w:i w:val="0"/>
          <w:iCs w:val="0"/>
          <w:vertAlign w:val="subscript"/>
        </w:rPr>
        <w:t>KPC-2</w:t>
      </w:r>
      <w:r w:rsidRPr="00E67578">
        <w:rPr>
          <w:rFonts w:asciiTheme="majorBidi" w:hAnsiTheme="majorBidi" w:cstheme="majorBidi"/>
        </w:rPr>
        <w:t xml:space="preserve">-positive </w:t>
      </w:r>
      <w:r>
        <w:rPr>
          <w:rFonts w:ascii="Times New Roman" w:eastAsia="Calibri" w:hAnsi="Times New Roman" w:cs="Times New Roman"/>
        </w:rPr>
        <w:t>plasmids</w:t>
      </w:r>
      <w:r w:rsidRPr="00E67578">
        <w:rPr>
          <w:rFonts w:asciiTheme="majorBidi" w:hAnsiTheme="majorBidi" w:cstheme="majorBidi"/>
        </w:rPr>
        <w:t xml:space="preserve"> from </w:t>
      </w:r>
      <w:r>
        <w:rPr>
          <w:rFonts w:ascii="Times New Roman" w:eastAsia="Calibri" w:hAnsi="Times New Roman" w:cs="Times New Roman"/>
        </w:rPr>
        <w:t>the</w:t>
      </w:r>
      <w:r w:rsidRPr="00E67578">
        <w:rPr>
          <w:rFonts w:asciiTheme="majorBidi" w:hAnsiTheme="majorBidi" w:cstheme="majorBidi"/>
        </w:rPr>
        <w:t xml:space="preserve"> whole-genome sequence of </w:t>
      </w:r>
      <w:r w:rsidRPr="00E67578">
        <w:rPr>
          <w:rFonts w:asciiTheme="majorBidi" w:hAnsiTheme="majorBidi" w:cstheme="majorBidi"/>
          <w:i/>
          <w:iCs/>
        </w:rPr>
        <w:t>K. pneumoniae</w:t>
      </w:r>
      <w:r w:rsidRPr="00E67578">
        <w:rPr>
          <w:rFonts w:asciiTheme="majorBidi" w:hAnsiTheme="majorBidi" w:cstheme="majorBidi"/>
          <w:color w:val="000000"/>
          <w:shd w:val="clear" w:color="auto" w:fill="FFFFFF"/>
        </w:rPr>
        <w:t xml:space="preserve"> </w:t>
      </w:r>
      <w:r>
        <w:rPr>
          <w:rStyle w:val="Emphasis"/>
          <w:rFonts w:asciiTheme="majorBidi" w:hAnsiTheme="majorBidi"/>
          <w:i w:val="0"/>
          <w:iCs w:val="0"/>
        </w:rPr>
        <w:t>PFZ529</w:t>
      </w:r>
      <w:r w:rsidRPr="00E67578">
        <w:rPr>
          <w:rStyle w:val="Emphasis"/>
          <w:rFonts w:asciiTheme="majorBidi" w:hAnsiTheme="majorBidi"/>
        </w:rPr>
        <w:t xml:space="preserve"> </w:t>
      </w:r>
      <w:r w:rsidRPr="00E67578">
        <w:rPr>
          <w:rFonts w:asciiTheme="majorBidi" w:hAnsiTheme="majorBidi" w:cstheme="majorBidi"/>
        </w:rPr>
        <w:t xml:space="preserve">with </w:t>
      </w:r>
      <w:r>
        <w:rPr>
          <w:rFonts w:ascii="Times New Roman" w:eastAsia="Calibri" w:hAnsi="Times New Roman" w:cs="Times New Roman"/>
        </w:rPr>
        <w:t xml:space="preserve">those of </w:t>
      </w:r>
      <w:r w:rsidRPr="00E67578">
        <w:rPr>
          <w:rFonts w:asciiTheme="majorBidi" w:hAnsiTheme="majorBidi" w:cstheme="majorBidi"/>
          <w:i/>
          <w:iCs/>
        </w:rPr>
        <w:t>K. pneumoniae</w:t>
      </w:r>
      <w:r w:rsidRPr="00E67578">
        <w:rPr>
          <w:rFonts w:asciiTheme="majorBidi" w:hAnsiTheme="majorBidi" w:cstheme="majorBidi"/>
          <w:color w:val="000000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BJ108KPC and CR-hvkP005-KPC-P1</w:t>
      </w:r>
      <w:r w:rsidRPr="00E67578">
        <w:rPr>
          <w:rFonts w:asciiTheme="majorBidi" w:hAnsiTheme="majorBidi" w:cstheme="majorBidi"/>
        </w:rPr>
        <w:t>.</w:t>
      </w:r>
    </w:p>
    <w:p w14:paraId="397392BB" w14:textId="77777777" w:rsidR="00265DF4" w:rsidRDefault="00265DF4" w:rsidP="00265DF4">
      <w:r>
        <w:rPr>
          <w:noProof/>
        </w:rPr>
        <w:drawing>
          <wp:anchor distT="0" distB="0" distL="114300" distR="114300" simplePos="0" relativeHeight="251661312" behindDoc="0" locked="0" layoutInCell="1" allowOverlap="1" wp14:anchorId="19BFC253" wp14:editId="33E108E9">
            <wp:simplePos x="0" y="0"/>
            <wp:positionH relativeFrom="column">
              <wp:posOffset>1186775</wp:posOffset>
            </wp:positionH>
            <wp:positionV relativeFrom="paragraph">
              <wp:posOffset>178111</wp:posOffset>
            </wp:positionV>
            <wp:extent cx="5140325" cy="4799330"/>
            <wp:effectExtent l="0" t="0" r="3175" b="1270"/>
            <wp:wrapNone/>
            <wp:docPr id="1609714424" name="Picture 1" descr="A diagram of a diagram of a number of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14424" name="Picture 1" descr="A diagram of a diagram of a number of colors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0DA6B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6457F41D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1D3CF40C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466B3F55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1B698AF4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3B047BC5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360D1932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2F8C6AD5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38EB34C9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3254E0D5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7D420EBC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6A3C4DD0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268206CC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654B789A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1B5EAA80" w14:textId="77777777" w:rsidR="00265DF4" w:rsidRDefault="00265DF4" w:rsidP="00265DF4">
      <w:pPr>
        <w:rPr>
          <w:rFonts w:asciiTheme="majorBidi" w:hAnsiTheme="majorBidi" w:cstheme="majorBidi"/>
          <w:sz w:val="24"/>
          <w:szCs w:val="24"/>
        </w:rPr>
      </w:pPr>
    </w:p>
    <w:p w14:paraId="54E595DC" w14:textId="77777777" w:rsidR="00995AC3" w:rsidRDefault="00995AC3"/>
    <w:p w14:paraId="194BDDB2" w14:textId="77777777" w:rsidR="00995AC3" w:rsidRDefault="00995AC3"/>
    <w:p w14:paraId="15E31304" w14:textId="77777777" w:rsidR="00995AC3" w:rsidRDefault="00995AC3"/>
    <w:p w14:paraId="6A7B592C" w14:textId="77777777" w:rsidR="00995AC3" w:rsidRDefault="00995AC3"/>
    <w:p w14:paraId="6AAF4EDC" w14:textId="77777777" w:rsidR="00995AC3" w:rsidRDefault="00995AC3"/>
    <w:p w14:paraId="2D4DF023" w14:textId="77777777" w:rsidR="00995AC3" w:rsidRDefault="00995AC3"/>
    <w:p w14:paraId="2BA4FF50" w14:textId="77777777" w:rsidR="00995AC3" w:rsidRDefault="00995AC3"/>
    <w:sectPr w:rsidR="00995AC3" w:rsidSect="00406E8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sDel="0"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E85"/>
    <w:rsid w:val="00265DF4"/>
    <w:rsid w:val="002B0927"/>
    <w:rsid w:val="00406E85"/>
    <w:rsid w:val="0099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F3634"/>
  <w15:chartTrackingRefBased/>
  <w15:docId w15:val="{4CCB9058-23D8-4E4F-B717-FAD6F944E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E85"/>
    <w:pPr>
      <w:spacing w:line="259" w:lineRule="auto"/>
    </w:pPr>
    <w:rPr>
      <w:kern w:val="0"/>
      <w:sz w:val="22"/>
      <w:szCs w:val="22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6E8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6E8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6E8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6E8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6E8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6E8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6E8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6E8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6E8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6E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6E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6E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6E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6E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6E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6E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6E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6E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6E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06E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6E8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06E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6E85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06E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6E85"/>
    <w:pPr>
      <w:spacing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06E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6E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6E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6E85"/>
    <w:rPr>
      <w:b/>
      <w:bCs/>
      <w:smallCaps/>
      <w:color w:val="0F4761" w:themeColor="accent1" w:themeShade="BF"/>
      <w:spacing w:val="5"/>
    </w:rPr>
  </w:style>
  <w:style w:type="table" w:styleId="TableGridLight">
    <w:name w:val="Grid Table Light"/>
    <w:basedOn w:val="TableNormal"/>
    <w:uiPriority w:val="40"/>
    <w:rsid w:val="00406E8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abel">
    <w:name w:val="label"/>
    <w:basedOn w:val="DefaultParagraphFont"/>
    <w:rsid w:val="00995AC3"/>
  </w:style>
  <w:style w:type="table" w:styleId="ListTable2">
    <w:name w:val="List Table 2"/>
    <w:basedOn w:val="TableNormal"/>
    <w:uiPriority w:val="47"/>
    <w:rsid w:val="00995AC3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Emphasis">
    <w:name w:val="Emphasis"/>
    <w:basedOn w:val="DefaultParagraphFont"/>
    <w:uiPriority w:val="20"/>
    <w:qFormat/>
    <w:rsid w:val="00265D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" TargetMode="External"/><Relationship Id="rId13" Type="http://schemas.openxmlformats.org/officeDocument/2006/relationships/hyperlink" Target="https://ncbi.nlm.nih.gov/pubmed/?term=16718602;" TargetMode="External"/><Relationship Id="rId18" Type="http://schemas.openxmlformats.org/officeDocument/2006/relationships/hyperlink" Target="https://ncbi.nlm.nih.gov/pubmed/?term=20932940" TargetMode="External"/><Relationship Id="rId26" Type="http://schemas.openxmlformats.org/officeDocument/2006/relationships/hyperlink" Target="https://ncbi.nlm.nih.gov/pubmed/?term=17610513;17030570;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javascript:void(0)" TargetMode="External"/><Relationship Id="rId7" Type="http://schemas.openxmlformats.org/officeDocument/2006/relationships/hyperlink" Target="javascript:void(0)" TargetMode="Externa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25" Type="http://schemas.openxmlformats.org/officeDocument/2006/relationships/hyperlink" Target="https://ncbi.nlm.nih.gov/pubmed/?term=15908362;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void(0)" TargetMode="External"/><Relationship Id="rId20" Type="http://schemas.openxmlformats.org/officeDocument/2006/relationships/hyperlink" Target="javascript:void(0)" TargetMode="External"/><Relationship Id="rId29" Type="http://schemas.openxmlformats.org/officeDocument/2006/relationships/image" Target="media/image1.tiff"/><Relationship Id="rId1" Type="http://schemas.openxmlformats.org/officeDocument/2006/relationships/styles" Target="styles.xml"/><Relationship Id="rId6" Type="http://schemas.openxmlformats.org/officeDocument/2006/relationships/hyperlink" Target="javascript:void(0)" TargetMode="External"/><Relationship Id="rId11" Type="http://schemas.openxmlformats.org/officeDocument/2006/relationships/hyperlink" Target="javascript:void(0)" TargetMode="External"/><Relationship Id="rId24" Type="http://schemas.openxmlformats.org/officeDocument/2006/relationships/hyperlink" Target="javascript:void(0)" TargetMode="External"/><Relationship Id="rId32" Type="http://schemas.openxmlformats.org/officeDocument/2006/relationships/theme" Target="theme/theme1.xml"/><Relationship Id="rId5" Type="http://schemas.openxmlformats.org/officeDocument/2006/relationships/hyperlink" Target="javascript:void(0)" TargetMode="External"/><Relationship Id="rId15" Type="http://schemas.openxmlformats.org/officeDocument/2006/relationships/hyperlink" Target="javascript:void(0)" TargetMode="External"/><Relationship Id="rId23" Type="http://schemas.openxmlformats.org/officeDocument/2006/relationships/hyperlink" Target="javascript:void(0)" TargetMode="External"/><Relationship Id="rId28" Type="http://schemas.openxmlformats.org/officeDocument/2006/relationships/hyperlink" Target="javascript:void(0)" TargetMode="External"/><Relationship Id="rId10" Type="http://schemas.openxmlformats.org/officeDocument/2006/relationships/hyperlink" Target="javascript:void(0)" TargetMode="External"/><Relationship Id="rId19" Type="http://schemas.openxmlformats.org/officeDocument/2006/relationships/hyperlink" Target="https://ncbi.nlm.nih.gov/pubmed/?term=20932940" TargetMode="External"/><Relationship Id="rId31" Type="http://schemas.openxmlformats.org/officeDocument/2006/relationships/fontTable" Target="fontTable.xml"/><Relationship Id="rId4" Type="http://schemas.openxmlformats.org/officeDocument/2006/relationships/hyperlink" Target="javascript:void(0)" TargetMode="External"/><Relationship Id="rId9" Type="http://schemas.openxmlformats.org/officeDocument/2006/relationships/hyperlink" Target="javascript:void(0)" TargetMode="External"/><Relationship Id="rId14" Type="http://schemas.openxmlformats.org/officeDocument/2006/relationships/hyperlink" Target="https://ncbi.nlm.nih.gov/pubmed/?term=16514154;" TargetMode="External"/><Relationship Id="rId22" Type="http://schemas.openxmlformats.org/officeDocument/2006/relationships/hyperlink" Target="https://ncbi.nlm.nih.gov/pubmed/?term=17101653;10564519;" TargetMode="External"/><Relationship Id="rId27" Type="http://schemas.openxmlformats.org/officeDocument/2006/relationships/hyperlink" Target="javascript:void(0)" TargetMode="External"/><Relationship Id="rId30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997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Akela Ghazawi</dc:creator>
  <cp:keywords/>
  <dc:description/>
  <cp:lastModifiedBy>Akela Ghazawi</cp:lastModifiedBy>
  <cp:revision>3</cp:revision>
  <dcterms:created xsi:type="dcterms:W3CDTF">2025-07-08T08:24:00Z</dcterms:created>
  <dcterms:modified xsi:type="dcterms:W3CDTF">2025-07-08T08:45:00Z</dcterms:modified>
</cp:coreProperties>
</file>