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05A74" w14:textId="77777777" w:rsidR="007126A7" w:rsidRDefault="007126A7" w:rsidP="007126A7">
      <w:pPr>
        <w:jc w:val="center"/>
        <w:rPr>
          <w:b/>
          <w:bCs/>
          <w:sz w:val="28"/>
          <w:szCs w:val="28"/>
        </w:rPr>
      </w:pPr>
      <w:r w:rsidRPr="007126A7">
        <w:rPr>
          <w:b/>
          <w:bCs/>
          <w:sz w:val="28"/>
          <w:szCs w:val="28"/>
        </w:rPr>
        <w:t>Supplementary Methods</w:t>
      </w:r>
    </w:p>
    <w:p w14:paraId="7FAB4EDE" w14:textId="77777777" w:rsidR="004422CC" w:rsidRPr="007126A7" w:rsidRDefault="004422CC" w:rsidP="007126A7">
      <w:pPr>
        <w:jc w:val="center"/>
        <w:rPr>
          <w:sz w:val="28"/>
          <w:szCs w:val="28"/>
        </w:rPr>
      </w:pPr>
    </w:p>
    <w:p w14:paraId="3177D82F" w14:textId="77777777" w:rsidR="00460CC7" w:rsidRPr="00460CC7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>Variable Selection for Clustering</w:t>
      </w:r>
      <w:r w:rsidRPr="00460CC7">
        <w:rPr>
          <w:b/>
          <w:bCs/>
        </w:rPr>
        <w:t xml:space="preserve"> </w:t>
      </w:r>
    </w:p>
    <w:p w14:paraId="0DA454FA" w14:textId="7BE8EA77" w:rsidR="00460CC7" w:rsidRPr="00460CC7" w:rsidRDefault="00460CC7" w:rsidP="00460CC7">
      <w:pPr>
        <w:jc w:val="both"/>
      </w:pPr>
      <w:r>
        <w:t>Cl</w:t>
      </w:r>
      <w:r w:rsidRPr="00460CC7">
        <w:t xml:space="preserve">inical and serological variables were selected based on their recognized relevance in systemic sclerosis (SSc), their association with major organ involvement, and the </w:t>
      </w:r>
      <w:proofErr w:type="spellStart"/>
      <w:r w:rsidRPr="00460CC7">
        <w:t>availability</w:t>
      </w:r>
      <w:proofErr w:type="spellEnd"/>
      <w:r w:rsidRPr="00460CC7">
        <w:t xml:space="preserve"> of complete data in the primary cohort. This hypothesis-driven approach aimed to </w:t>
      </w:r>
      <w:proofErr w:type="spellStart"/>
      <w:r w:rsidRPr="00460CC7">
        <w:t>prioritize</w:t>
      </w:r>
      <w:proofErr w:type="spellEnd"/>
      <w:r w:rsidRPr="00460CC7">
        <w:t xml:space="preserve"> biological interpretability while minimizing data loss due to </w:t>
      </w:r>
      <w:proofErr w:type="spellStart"/>
      <w:r w:rsidRPr="00460CC7">
        <w:t>missingness</w:t>
      </w:r>
      <w:proofErr w:type="spellEnd"/>
      <w:r w:rsidRPr="00460CC7">
        <w:t xml:space="preserve">. A total of 20 variables were retained for clustering, </w:t>
      </w:r>
      <w:proofErr w:type="spellStart"/>
      <w:r w:rsidRPr="00460CC7">
        <w:t>encompassing</w:t>
      </w:r>
      <w:proofErr w:type="spellEnd"/>
      <w:r w:rsidRPr="00460CC7">
        <w:t xml:space="preserve"> demographic (age, sex), immunological (autoantibodies), and clinical (e.g., digital ulcers, interstitial lung disease) features. Supplementary Table S1 provides detailed </w:t>
      </w:r>
      <w:proofErr w:type="spellStart"/>
      <w:r w:rsidRPr="00460CC7">
        <w:t>definitions</w:t>
      </w:r>
      <w:proofErr w:type="spellEnd"/>
      <w:r w:rsidRPr="00460CC7">
        <w:t xml:space="preserve"> and inclusion status.</w:t>
      </w:r>
    </w:p>
    <w:p w14:paraId="22955F34" w14:textId="77777777" w:rsidR="00460CC7" w:rsidRPr="00460CC7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 xml:space="preserve">Data </w:t>
      </w:r>
      <w:proofErr w:type="spellStart"/>
      <w:r w:rsidRPr="00460CC7">
        <w:rPr>
          <w:b/>
          <w:bCs/>
        </w:rPr>
        <w:t>Preprocessin</w:t>
      </w:r>
      <w:r w:rsidRPr="00460CC7">
        <w:rPr>
          <w:b/>
          <w:bCs/>
        </w:rPr>
        <w:t>g</w:t>
      </w:r>
      <w:proofErr w:type="spellEnd"/>
    </w:p>
    <w:p w14:paraId="745CA0CE" w14:textId="0DCD9337" w:rsidR="00460CC7" w:rsidRPr="00460CC7" w:rsidRDefault="00460CC7" w:rsidP="00460CC7">
      <w:pPr>
        <w:jc w:val="both"/>
      </w:pPr>
      <w:r w:rsidRPr="00460CC7">
        <w:t xml:space="preserve">Prior to clustering, all continuous variables were standardized (z-scores) and </w:t>
      </w:r>
      <w:proofErr w:type="spellStart"/>
      <w:r w:rsidRPr="00460CC7">
        <w:t>binary</w:t>
      </w:r>
      <w:proofErr w:type="spellEnd"/>
      <w:r w:rsidRPr="00460CC7">
        <w:t xml:space="preserve"> variables were </w:t>
      </w:r>
      <w:proofErr w:type="spellStart"/>
      <w:r w:rsidRPr="00460CC7">
        <w:t>encoded</w:t>
      </w:r>
      <w:proofErr w:type="spellEnd"/>
      <w:r w:rsidRPr="00460CC7">
        <w:t xml:space="preserve"> </w:t>
      </w:r>
      <w:proofErr w:type="spellStart"/>
      <w:r w:rsidRPr="00460CC7">
        <w:t>numerically</w:t>
      </w:r>
      <w:proofErr w:type="spellEnd"/>
      <w:r w:rsidRPr="00460CC7">
        <w:t xml:space="preserve"> (0/1). Variables were </w:t>
      </w:r>
      <w:proofErr w:type="spellStart"/>
      <w:r w:rsidRPr="00460CC7">
        <w:t>visually</w:t>
      </w:r>
      <w:proofErr w:type="spellEnd"/>
      <w:r w:rsidRPr="00460CC7">
        <w:t xml:space="preserve"> </w:t>
      </w:r>
      <w:proofErr w:type="spellStart"/>
      <w:r w:rsidRPr="00460CC7">
        <w:t>inspected</w:t>
      </w:r>
      <w:proofErr w:type="spellEnd"/>
      <w:r w:rsidRPr="00460CC7">
        <w:t xml:space="preserve"> for </w:t>
      </w:r>
      <w:proofErr w:type="spellStart"/>
      <w:r w:rsidRPr="00460CC7">
        <w:t>outliers</w:t>
      </w:r>
      <w:proofErr w:type="spellEnd"/>
      <w:r w:rsidRPr="00460CC7">
        <w:t xml:space="preserve"> and </w:t>
      </w:r>
      <w:proofErr w:type="spellStart"/>
      <w:r w:rsidRPr="00460CC7">
        <w:t>collinearity</w:t>
      </w:r>
      <w:proofErr w:type="spellEnd"/>
      <w:r w:rsidRPr="00460CC7">
        <w:t>, ensuring robust input data. Analyses were performed in RStudio v.2024.09.</w:t>
      </w:r>
    </w:p>
    <w:p w14:paraId="217F5516" w14:textId="77777777" w:rsidR="00460CC7" w:rsidRPr="00460CC7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>Unsupervised Clustering Approach</w:t>
      </w:r>
    </w:p>
    <w:p w14:paraId="20920290" w14:textId="5A5C4992" w:rsidR="00460CC7" w:rsidRPr="00460CC7" w:rsidRDefault="00460CC7" w:rsidP="00460CC7">
      <w:pPr>
        <w:jc w:val="both"/>
      </w:pPr>
      <w:r w:rsidRPr="00460CC7">
        <w:t>Clustering was performed using the k-means algorithm (</w:t>
      </w:r>
      <w:proofErr w:type="gramStart"/>
      <w:r w:rsidRPr="00460CC7">
        <w:t>stats::</w:t>
      </w:r>
      <w:proofErr w:type="spellStart"/>
      <w:proofErr w:type="gramEnd"/>
      <w:r w:rsidRPr="00460CC7">
        <w:t>kmeans</w:t>
      </w:r>
      <w:proofErr w:type="spellEnd"/>
      <w:r w:rsidRPr="00460CC7">
        <w:t>) due to its interpretability and performance in medium-</w:t>
      </w:r>
      <w:proofErr w:type="spellStart"/>
      <w:r w:rsidRPr="00460CC7">
        <w:t>sized</w:t>
      </w:r>
      <w:proofErr w:type="spellEnd"/>
      <w:r w:rsidRPr="00460CC7">
        <w:t xml:space="preserve"> cohorts with well-defined variables. While k-means </w:t>
      </w:r>
      <w:proofErr w:type="spellStart"/>
      <w:r w:rsidRPr="00460CC7">
        <w:t>assumes</w:t>
      </w:r>
      <w:proofErr w:type="spellEnd"/>
      <w:r w:rsidRPr="00460CC7">
        <w:t xml:space="preserve"> Euclidean space and </w:t>
      </w:r>
      <w:proofErr w:type="spellStart"/>
      <w:r w:rsidRPr="00460CC7">
        <w:t>homogeneity</w:t>
      </w:r>
      <w:proofErr w:type="spellEnd"/>
      <w:r w:rsidRPr="00460CC7">
        <w:t xml:space="preserve"> of </w:t>
      </w:r>
      <w:proofErr w:type="spellStart"/>
      <w:r w:rsidRPr="00460CC7">
        <w:t>variance</w:t>
      </w:r>
      <w:proofErr w:type="spellEnd"/>
      <w:r w:rsidRPr="00460CC7">
        <w:t xml:space="preserve">, these limitations were </w:t>
      </w:r>
      <w:proofErr w:type="spellStart"/>
      <w:r w:rsidRPr="00460CC7">
        <w:t>balanced</w:t>
      </w:r>
      <w:proofErr w:type="spellEnd"/>
      <w:r w:rsidRPr="00460CC7">
        <w:t xml:space="preserve"> by our careful </w:t>
      </w:r>
      <w:proofErr w:type="spellStart"/>
      <w:r w:rsidRPr="00460CC7">
        <w:t>preprocessing</w:t>
      </w:r>
      <w:proofErr w:type="spellEnd"/>
      <w:r w:rsidRPr="00460CC7">
        <w:t xml:space="preserve"> and variable selection.</w:t>
      </w:r>
    </w:p>
    <w:p w14:paraId="3F60EC61" w14:textId="77777777" w:rsidR="00460CC7" w:rsidRPr="004422CC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>Determination of Optimal Cluster Number</w:t>
      </w:r>
    </w:p>
    <w:p w14:paraId="1C790E61" w14:textId="5E5B75A7" w:rsidR="00460CC7" w:rsidRPr="00460CC7" w:rsidRDefault="00460CC7" w:rsidP="004422CC">
      <w:pPr>
        <w:jc w:val="both"/>
      </w:pPr>
      <w:r w:rsidRPr="00460CC7">
        <w:t xml:space="preserve">To guide the </w:t>
      </w:r>
      <w:proofErr w:type="spellStart"/>
      <w:r w:rsidRPr="00460CC7">
        <w:t>choice</w:t>
      </w:r>
      <w:proofErr w:type="spellEnd"/>
      <w:r w:rsidRPr="00460CC7">
        <w:t xml:space="preserve"> of </w:t>
      </w:r>
      <w:r w:rsidRPr="00460CC7">
        <w:rPr>
          <w:i/>
          <w:iCs/>
        </w:rPr>
        <w:t>k</w:t>
      </w:r>
      <w:r w:rsidRPr="00460CC7">
        <w:t xml:space="preserve">, we used the NbClust package, which </w:t>
      </w:r>
      <w:proofErr w:type="spellStart"/>
      <w:r w:rsidRPr="00460CC7">
        <w:t>aggregates</w:t>
      </w:r>
      <w:proofErr w:type="spellEnd"/>
      <w:r w:rsidRPr="00460CC7">
        <w:t xml:space="preserve"> </w:t>
      </w:r>
      <w:r w:rsidR="004422CC">
        <w:t>23</w:t>
      </w:r>
      <w:r w:rsidRPr="00460CC7">
        <w:t xml:space="preserve"> internal validation indices including Silhouette width, Dunn index, Gap statistic, and </w:t>
      </w:r>
      <w:proofErr w:type="spellStart"/>
      <w:r w:rsidRPr="00460CC7">
        <w:t>Calinski-Harabasz</w:t>
      </w:r>
      <w:proofErr w:type="spellEnd"/>
      <w:r w:rsidRPr="00460CC7">
        <w:t xml:space="preserve"> criterion. The optimal number of clusters was determined to be two, supported by </w:t>
      </w:r>
      <w:proofErr w:type="spellStart"/>
      <w:r w:rsidR="004422CC">
        <w:t>seven</w:t>
      </w:r>
      <w:proofErr w:type="spellEnd"/>
      <w:r w:rsidRPr="00460CC7">
        <w:t xml:space="preserve"> distinct indices. A </w:t>
      </w:r>
      <w:proofErr w:type="spellStart"/>
      <w:r w:rsidRPr="00460CC7">
        <w:t>graphical</w:t>
      </w:r>
      <w:proofErr w:type="spellEnd"/>
      <w:r w:rsidRPr="00460CC7">
        <w:t xml:space="preserve"> summary of these results is shown in Supplementary Figure S1, highlighting consensus across methods. Alternative </w:t>
      </w:r>
      <w:proofErr w:type="spellStart"/>
      <w:r w:rsidRPr="00460CC7">
        <w:t>solutions</w:t>
      </w:r>
      <w:proofErr w:type="spellEnd"/>
      <w:r w:rsidRPr="00460CC7">
        <w:t xml:space="preserve"> (</w:t>
      </w:r>
      <w:r w:rsidRPr="00460CC7">
        <w:rPr>
          <w:i/>
          <w:iCs/>
        </w:rPr>
        <w:t>k</w:t>
      </w:r>
      <w:r w:rsidRPr="00460CC7">
        <w:t xml:space="preserve"> = 3–5) yielded less stable or clinically non-informative </w:t>
      </w:r>
      <w:proofErr w:type="spellStart"/>
      <w:r w:rsidRPr="00460CC7">
        <w:t>partitions</w:t>
      </w:r>
      <w:proofErr w:type="spellEnd"/>
      <w:r w:rsidRPr="00460CC7">
        <w:t xml:space="preserve">. Visual support for the </w:t>
      </w:r>
      <w:r w:rsidRPr="00460CC7">
        <w:rPr>
          <w:i/>
          <w:iCs/>
        </w:rPr>
        <w:t>k = 2</w:t>
      </w:r>
      <w:r w:rsidRPr="00460CC7">
        <w:t xml:space="preserve"> solution is provided in Supplementary Figure S2, which </w:t>
      </w:r>
      <w:proofErr w:type="spellStart"/>
      <w:r w:rsidRPr="00460CC7">
        <w:t>displays</w:t>
      </w:r>
      <w:proofErr w:type="spellEnd"/>
      <w:r w:rsidRPr="00460CC7">
        <w:t xml:space="preserve"> the cluster separation based on principal component analysis.</w:t>
      </w:r>
    </w:p>
    <w:p w14:paraId="60FC80EE" w14:textId="77777777" w:rsidR="00460CC7" w:rsidRPr="00460CC7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>Timing and Definition of Clinical Data</w:t>
      </w:r>
    </w:p>
    <w:p w14:paraId="6B295E53" w14:textId="680D4AD3" w:rsidR="00460CC7" w:rsidRPr="00460CC7" w:rsidRDefault="00460CC7" w:rsidP="00460CC7">
      <w:pPr>
        <w:jc w:val="both"/>
      </w:pPr>
      <w:r w:rsidRPr="00460CC7">
        <w:t xml:space="preserve">Clinical variables were extracted from a standardized time point </w:t>
      </w:r>
      <w:proofErr w:type="spellStart"/>
      <w:r w:rsidRPr="00460CC7">
        <w:t>coinciding</w:t>
      </w:r>
      <w:proofErr w:type="spellEnd"/>
      <w:r w:rsidRPr="00460CC7">
        <w:t xml:space="preserve"> with serum collection to avoid bias related to disease trajectory. The </w:t>
      </w:r>
      <w:proofErr w:type="spellStart"/>
      <w:r w:rsidRPr="00460CC7">
        <w:t>cohort's</w:t>
      </w:r>
      <w:proofErr w:type="spellEnd"/>
      <w:r w:rsidRPr="00460CC7">
        <w:t xml:space="preserve"> longitudinal nature was leveraged for precise phenotypic </w:t>
      </w:r>
      <w:proofErr w:type="spellStart"/>
      <w:r w:rsidRPr="00460CC7">
        <w:t>definitions</w:t>
      </w:r>
      <w:proofErr w:type="spellEnd"/>
      <w:r w:rsidRPr="00460CC7">
        <w:t xml:space="preserve"> (e.g., maximum skin involvement, history of digital ulcers), but clustering used </w:t>
      </w:r>
      <w:proofErr w:type="spellStart"/>
      <w:r w:rsidRPr="00460CC7">
        <w:t>strictly</w:t>
      </w:r>
      <w:proofErr w:type="spellEnd"/>
      <w:r w:rsidRPr="00460CC7">
        <w:t xml:space="preserve"> cross-sectional data. All autoantibodies were assessed </w:t>
      </w:r>
      <w:proofErr w:type="spellStart"/>
      <w:r w:rsidRPr="00460CC7">
        <w:t>locally</w:t>
      </w:r>
      <w:proofErr w:type="spellEnd"/>
      <w:r w:rsidRPr="00460CC7">
        <w:t xml:space="preserve"> using ELISA.</w:t>
      </w:r>
    </w:p>
    <w:p w14:paraId="7B942814" w14:textId="77777777" w:rsidR="00460CC7" w:rsidRPr="00460CC7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>Validation Cohort and Comparisons</w:t>
      </w:r>
    </w:p>
    <w:p w14:paraId="2D14941C" w14:textId="3FE2D1B7" w:rsidR="00460CC7" w:rsidRPr="00460CC7" w:rsidRDefault="00460CC7" w:rsidP="00460CC7">
      <w:pPr>
        <w:jc w:val="both"/>
      </w:pPr>
      <w:r w:rsidRPr="00460CC7">
        <w:t xml:space="preserve">The clustering strategy was </w:t>
      </w:r>
      <w:proofErr w:type="spellStart"/>
      <w:r w:rsidRPr="00460CC7">
        <w:t>replicated</w:t>
      </w:r>
      <w:proofErr w:type="spellEnd"/>
      <w:r w:rsidRPr="00460CC7">
        <w:t xml:space="preserve"> in an independent SSc cohort from our </w:t>
      </w:r>
      <w:proofErr w:type="spellStart"/>
      <w:r w:rsidRPr="00460CC7">
        <w:t>institution</w:t>
      </w:r>
      <w:proofErr w:type="spellEnd"/>
      <w:r w:rsidRPr="00460CC7">
        <w:t xml:space="preserve"> using the same variables and pipeline. While general trends were preserved, we acknowledge differences in disease duration and phenotype frequencies between cohorts. These </w:t>
      </w:r>
      <w:proofErr w:type="spellStart"/>
      <w:r w:rsidRPr="00460CC7">
        <w:t>discrepancies</w:t>
      </w:r>
      <w:proofErr w:type="spellEnd"/>
      <w:r w:rsidRPr="00460CC7">
        <w:t xml:space="preserve"> likely reflect sampling variability and cohort heterogeneity.</w:t>
      </w:r>
    </w:p>
    <w:p w14:paraId="3E094DDD" w14:textId="77777777" w:rsidR="00460CC7" w:rsidRPr="00460CC7" w:rsidRDefault="00460CC7" w:rsidP="00460CC7">
      <w:pPr>
        <w:numPr>
          <w:ilvl w:val="0"/>
          <w:numId w:val="1"/>
        </w:numPr>
        <w:rPr>
          <w:b/>
          <w:bCs/>
        </w:rPr>
      </w:pPr>
      <w:r w:rsidRPr="00460CC7">
        <w:rPr>
          <w:b/>
          <w:bCs/>
        </w:rPr>
        <w:t>Proteomic Profiling</w:t>
      </w:r>
    </w:p>
    <w:p w14:paraId="0982B6B0" w14:textId="0E0056A9" w:rsidR="00460CC7" w:rsidRPr="00460CC7" w:rsidRDefault="00460CC7" w:rsidP="00460CC7">
      <w:pPr>
        <w:jc w:val="both"/>
      </w:pPr>
      <w:r w:rsidRPr="00460CC7">
        <w:lastRenderedPageBreak/>
        <w:t xml:space="preserve">Serum proteomic data were obtained using the OLINK Target 96 Organ Damage panel, which </w:t>
      </w:r>
      <w:proofErr w:type="spellStart"/>
      <w:r w:rsidRPr="00460CC7">
        <w:t>quantifies</w:t>
      </w:r>
      <w:proofErr w:type="spellEnd"/>
      <w:r w:rsidRPr="00460CC7">
        <w:t xml:space="preserve"> 92 protein biomarkers relevant to tissue injury and organ dysfunction via </w:t>
      </w:r>
      <w:proofErr w:type="spellStart"/>
      <w:r w:rsidRPr="00460CC7">
        <w:t>proximity</w:t>
      </w:r>
      <w:proofErr w:type="spellEnd"/>
      <w:r w:rsidRPr="00460CC7">
        <w:t xml:space="preserve"> extension </w:t>
      </w:r>
      <w:proofErr w:type="spellStart"/>
      <w:r w:rsidRPr="00460CC7">
        <w:t>assay</w:t>
      </w:r>
      <w:proofErr w:type="spellEnd"/>
      <w:r w:rsidRPr="00460CC7">
        <w:t xml:space="preserve"> (PEA). Protein </w:t>
      </w:r>
      <w:proofErr w:type="spellStart"/>
      <w:r w:rsidRPr="00460CC7">
        <w:t>abundances</w:t>
      </w:r>
      <w:proofErr w:type="spellEnd"/>
      <w:r w:rsidRPr="00460CC7">
        <w:t xml:space="preserve"> were reported as NPX (normalized protein expression) values. Differential </w:t>
      </w:r>
      <w:proofErr w:type="spellStart"/>
      <w:r w:rsidRPr="00460CC7">
        <w:t>abundance</w:t>
      </w:r>
      <w:proofErr w:type="spellEnd"/>
      <w:r w:rsidRPr="00460CC7">
        <w:t xml:space="preserve"> analysis between clusters was conducted using </w:t>
      </w:r>
      <w:proofErr w:type="spellStart"/>
      <w:r w:rsidRPr="00460CC7">
        <w:t>Welch’s</w:t>
      </w:r>
      <w:proofErr w:type="spellEnd"/>
      <w:r w:rsidRPr="00460CC7">
        <w:t xml:space="preserve"> t-tests with Benjamini-Hochberg </w:t>
      </w:r>
      <w:proofErr w:type="spellStart"/>
      <w:r w:rsidRPr="00460CC7">
        <w:t>correction</w:t>
      </w:r>
      <w:proofErr w:type="spellEnd"/>
      <w:r w:rsidRPr="00460CC7">
        <w:t>.</w:t>
      </w:r>
    </w:p>
    <w:p w14:paraId="76A74079" w14:textId="77777777" w:rsidR="00460CC7" w:rsidRDefault="00460CC7" w:rsidP="00460CC7">
      <w:r w:rsidRPr="00460CC7">
        <w:t xml:space="preserve">All scripts and </w:t>
      </w:r>
      <w:proofErr w:type="spellStart"/>
      <w:r w:rsidRPr="00460CC7">
        <w:t>intermediate</w:t>
      </w:r>
      <w:proofErr w:type="spellEnd"/>
      <w:r w:rsidRPr="00460CC7">
        <w:t xml:space="preserve"> data files are available upon </w:t>
      </w:r>
      <w:proofErr w:type="spellStart"/>
      <w:r w:rsidRPr="00460CC7">
        <w:t>request</w:t>
      </w:r>
      <w:proofErr w:type="spellEnd"/>
      <w:r w:rsidRPr="00460CC7">
        <w:t>.</w:t>
      </w:r>
    </w:p>
    <w:p w14:paraId="24564021" w14:textId="77777777" w:rsidR="004422CC" w:rsidRPr="00460CC7" w:rsidRDefault="004422CC" w:rsidP="00460CC7"/>
    <w:p w14:paraId="1DD0E659" w14:textId="6BBE2E3D" w:rsidR="00F5457E" w:rsidRDefault="004422CC" w:rsidP="007126A7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A00BA11" wp14:editId="0A7DD17B">
            <wp:extent cx="5400040" cy="3324860"/>
            <wp:effectExtent l="0" t="0" r="0" b="8890"/>
            <wp:docPr id="14312522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252262" name="Imagen 14312522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2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CE6A8" w14:textId="04D56E35" w:rsidR="004422CC" w:rsidRDefault="004422CC" w:rsidP="004422CC">
      <w:pPr>
        <w:jc w:val="both"/>
      </w:pPr>
      <w:r w:rsidRPr="004422CC">
        <w:rPr>
          <w:b/>
          <w:bCs/>
        </w:rPr>
        <w:t xml:space="preserve">Supplementary Figure S1. </w:t>
      </w:r>
      <w:r w:rsidRPr="004422CC">
        <w:t>NbClust consensus on optimal number of clusters.</w:t>
      </w:r>
      <w:r w:rsidRPr="004422CC">
        <w:br/>
        <w:t xml:space="preserve">The figure illustrates the number of internal validation indices supporting each </w:t>
      </w:r>
      <w:r w:rsidRPr="004422CC">
        <w:rPr>
          <w:i/>
          <w:iCs/>
        </w:rPr>
        <w:t>k</w:t>
      </w:r>
      <w:r w:rsidRPr="004422CC">
        <w:t xml:space="preserve"> value (from 2 to 5). The highest consensus was observed for </w:t>
      </w:r>
      <w:r w:rsidRPr="004422CC">
        <w:rPr>
          <w:i/>
          <w:iCs/>
        </w:rPr>
        <w:t>k</w:t>
      </w:r>
      <w:r w:rsidRPr="004422CC">
        <w:t xml:space="preserve"> = 2, supported by </w:t>
      </w:r>
      <w:r>
        <w:t>7</w:t>
      </w:r>
      <w:r w:rsidRPr="004422CC">
        <w:t xml:space="preserve"> indices.</w:t>
      </w:r>
    </w:p>
    <w:p w14:paraId="5FF3AA0A" w14:textId="45980D00" w:rsidR="004422CC" w:rsidRPr="004422CC" w:rsidRDefault="004422CC" w:rsidP="004422CC">
      <w:pPr>
        <w:jc w:val="both"/>
      </w:pPr>
      <w:r>
        <w:rPr>
          <w:noProof/>
        </w:rPr>
        <w:drawing>
          <wp:inline distT="0" distB="0" distL="0" distR="0" wp14:anchorId="75379143" wp14:editId="3B1B7B5E">
            <wp:extent cx="5400040" cy="303657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01"/>
                    <a:stretch/>
                  </pic:blipFill>
                  <pic:spPr bwMode="auto">
                    <a:xfrm>
                      <a:off x="0" y="0"/>
                      <a:ext cx="5400040" cy="3036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A981FE" w14:textId="77777777" w:rsidR="004422CC" w:rsidRPr="004422CC" w:rsidRDefault="004422CC" w:rsidP="004422CC">
      <w:pPr>
        <w:jc w:val="both"/>
        <w:rPr>
          <w:b/>
          <w:bCs/>
        </w:rPr>
      </w:pPr>
      <w:r w:rsidRPr="004422CC">
        <w:rPr>
          <w:b/>
          <w:bCs/>
        </w:rPr>
        <w:lastRenderedPageBreak/>
        <w:t xml:space="preserve">Supplementary Figure S2. </w:t>
      </w:r>
      <w:r w:rsidRPr="004422CC">
        <w:rPr>
          <w:i/>
          <w:iCs/>
        </w:rPr>
        <w:t>Clustering visualization for k = 2.</w:t>
      </w:r>
      <w:r w:rsidRPr="004422CC">
        <w:br/>
        <w:t>Principal component plot showing distribution of subjects based on clustering results (</w:t>
      </w:r>
      <w:r w:rsidRPr="004422CC">
        <w:rPr>
          <w:i/>
          <w:iCs/>
        </w:rPr>
        <w:t>k</w:t>
      </w:r>
      <w:r w:rsidRPr="004422CC">
        <w:t xml:space="preserve"> = 2). Distinct </w:t>
      </w:r>
      <w:proofErr w:type="spellStart"/>
      <w:r w:rsidRPr="004422CC">
        <w:t>grouping</w:t>
      </w:r>
      <w:proofErr w:type="spellEnd"/>
      <w:r w:rsidRPr="004422CC">
        <w:t xml:space="preserve"> is observed between clusters with minimal overlap, supporting the biological </w:t>
      </w:r>
      <w:proofErr w:type="spellStart"/>
      <w:r w:rsidRPr="004422CC">
        <w:t>plausibility</w:t>
      </w:r>
      <w:proofErr w:type="spellEnd"/>
      <w:r w:rsidRPr="004422CC">
        <w:t xml:space="preserve"> of the partition.</w:t>
      </w:r>
    </w:p>
    <w:p w14:paraId="323A585D" w14:textId="77777777" w:rsidR="004422CC" w:rsidRPr="00460CC7" w:rsidRDefault="004422CC" w:rsidP="007126A7">
      <w:pPr>
        <w:rPr>
          <w:b/>
          <w:bCs/>
        </w:rPr>
      </w:pPr>
    </w:p>
    <w:sectPr w:rsidR="004422CC" w:rsidRPr="00460C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9741A2"/>
    <w:multiLevelType w:val="multilevel"/>
    <w:tmpl w:val="4234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68946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97"/>
    <w:rsid w:val="00201297"/>
    <w:rsid w:val="004422CC"/>
    <w:rsid w:val="00460CC7"/>
    <w:rsid w:val="004D27A5"/>
    <w:rsid w:val="005C739E"/>
    <w:rsid w:val="007126A7"/>
    <w:rsid w:val="00B4253B"/>
    <w:rsid w:val="00EE16C0"/>
    <w:rsid w:val="00F5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8C117"/>
  <w15:chartTrackingRefBased/>
  <w15:docId w15:val="{C21F912C-4C71-4FB3-8EC1-4E07D4BE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3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4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9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3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589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2025-06-09T17:01:00Z</dcterms:created>
  <dcterms:modified xsi:type="dcterms:W3CDTF">2025-06-09T17:17:00Z</dcterms:modified>
</cp:coreProperties>
</file>